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50"/>
        <w:gridCol w:w="3671"/>
      </w:tblGrid>
      <w:tr w:rsidR="008942F9" w:rsidRPr="007D3F58" w14:paraId="0235C67B" w14:textId="77777777" w:rsidTr="00CD43D8">
        <w:trPr>
          <w:trHeight w:hRule="exact" w:val="418"/>
          <w:jc w:val="center"/>
        </w:trPr>
        <w:tc>
          <w:tcPr>
            <w:tcW w:w="8721" w:type="dxa"/>
            <w:gridSpan w:val="2"/>
          </w:tcPr>
          <w:p w14:paraId="1CD71462" w14:textId="77777777" w:rsidR="008942F9" w:rsidRPr="007D3F58" w:rsidRDefault="008942F9" w:rsidP="00C472AC">
            <w:pPr>
              <w:pStyle w:val="a3"/>
              <w:jc w:val="center"/>
              <w:rPr>
                <w:rFonts w:ascii="Tahoma" w:hAnsi="Tahoma"/>
                <w:color w:val="000080"/>
                <w:sz w:val="28"/>
                <w:szCs w:val="28"/>
                <w:rtl/>
              </w:rPr>
            </w:pPr>
            <w:bookmarkStart w:id="0" w:name="LastJudge"/>
            <w:r w:rsidRPr="007D3F58">
              <w:rPr>
                <w:rFonts w:ascii="Tahoma" w:hAnsi="Tahoma" w:hint="cs"/>
                <w:b/>
                <w:bCs/>
                <w:color w:val="000080"/>
                <w:sz w:val="28"/>
                <w:szCs w:val="28"/>
                <w:rtl/>
              </w:rPr>
              <w:t>בתי משפט</w:t>
            </w:r>
          </w:p>
        </w:tc>
      </w:tr>
      <w:tr w:rsidR="008942F9" w:rsidRPr="007D3F58" w14:paraId="24051709" w14:textId="77777777" w:rsidTr="00CD43D8">
        <w:trPr>
          <w:trHeight w:val="337"/>
          <w:jc w:val="center"/>
        </w:trPr>
        <w:tc>
          <w:tcPr>
            <w:tcW w:w="5050" w:type="dxa"/>
          </w:tcPr>
          <w:p w14:paraId="640BFCC0" w14:textId="77777777" w:rsidR="008942F9" w:rsidRPr="007D3F58" w:rsidRDefault="008942F9" w:rsidP="00C472AC">
            <w:pPr>
              <w:pStyle w:val="a3"/>
              <w:rPr>
                <w:b/>
                <w:bCs/>
                <w:rtl/>
              </w:rPr>
            </w:pPr>
            <w:r w:rsidRPr="007D3F58">
              <w:rPr>
                <w:rFonts w:hint="cs"/>
                <w:b/>
                <w:bCs/>
                <w:rtl/>
              </w:rPr>
              <w:t>בית המשפט המחוזי ירושלים</w:t>
            </w:r>
          </w:p>
          <w:p w14:paraId="3AEC4811" w14:textId="77777777" w:rsidR="008942F9" w:rsidRPr="007D3F58" w:rsidRDefault="008942F9" w:rsidP="00C472AC">
            <w:pPr>
              <w:pStyle w:val="a3"/>
              <w:rPr>
                <w:rFonts w:cs="FrankRuehl"/>
                <w:sz w:val="28"/>
                <w:szCs w:val="28"/>
                <w:rtl/>
              </w:rPr>
            </w:pPr>
          </w:p>
        </w:tc>
        <w:tc>
          <w:tcPr>
            <w:tcW w:w="3671" w:type="dxa"/>
          </w:tcPr>
          <w:p w14:paraId="15957764" w14:textId="77777777" w:rsidR="008942F9" w:rsidRPr="007D3F58" w:rsidRDefault="008942F9" w:rsidP="00C472AC">
            <w:pPr>
              <w:pStyle w:val="a3"/>
              <w:jc w:val="right"/>
              <w:rPr>
                <w:rtl/>
              </w:rPr>
            </w:pPr>
            <w:r w:rsidRPr="007D3F58">
              <w:rPr>
                <w:b/>
                <w:bCs/>
                <w:rtl/>
              </w:rPr>
              <w:t>ת"פ</w:t>
            </w:r>
            <w:r w:rsidRPr="007D3F58">
              <w:rPr>
                <w:rFonts w:hint="cs"/>
                <w:b/>
                <w:bCs/>
                <w:rtl/>
              </w:rPr>
              <w:t xml:space="preserve"> </w:t>
            </w:r>
            <w:r w:rsidRPr="007D3F58">
              <w:rPr>
                <w:b/>
                <w:bCs/>
                <w:rtl/>
              </w:rPr>
              <w:t>1316-04-19</w:t>
            </w:r>
            <w:r w:rsidRPr="007D3F58">
              <w:rPr>
                <w:rFonts w:hint="cs"/>
                <w:b/>
                <w:bCs/>
                <w:rtl/>
              </w:rPr>
              <w:t xml:space="preserve"> </w:t>
            </w:r>
          </w:p>
          <w:p w14:paraId="2211E82F" w14:textId="77777777" w:rsidR="008942F9" w:rsidRPr="007D3F58" w:rsidRDefault="008942F9" w:rsidP="00C472AC">
            <w:pPr>
              <w:pStyle w:val="a3"/>
              <w:jc w:val="right"/>
              <w:rPr>
                <w:b/>
                <w:bCs/>
                <w:rtl/>
              </w:rPr>
            </w:pPr>
          </w:p>
        </w:tc>
      </w:tr>
      <w:tr w:rsidR="008942F9" w:rsidRPr="007D3F58" w14:paraId="4F307109" w14:textId="77777777" w:rsidTr="00CD43D8">
        <w:trPr>
          <w:trHeight w:val="337"/>
          <w:jc w:val="center"/>
        </w:trPr>
        <w:tc>
          <w:tcPr>
            <w:tcW w:w="5050" w:type="dxa"/>
          </w:tcPr>
          <w:p w14:paraId="72518471" w14:textId="77777777" w:rsidR="008942F9" w:rsidRPr="007D3F58" w:rsidRDefault="008942F9" w:rsidP="00C472AC">
            <w:pPr>
              <w:pStyle w:val="a3"/>
              <w:rPr>
                <w:b/>
                <w:bCs/>
                <w:rtl/>
              </w:rPr>
            </w:pPr>
            <w:r w:rsidRPr="007D3F58">
              <w:rPr>
                <w:rFonts w:hint="cs"/>
                <w:b/>
                <w:bCs/>
                <w:rtl/>
              </w:rPr>
              <w:t>לפני כב' השופטת רבקה פרידמן-פלדמן</w:t>
            </w:r>
          </w:p>
        </w:tc>
        <w:tc>
          <w:tcPr>
            <w:tcW w:w="3671" w:type="dxa"/>
          </w:tcPr>
          <w:p w14:paraId="3C52CA87" w14:textId="77777777" w:rsidR="008942F9" w:rsidRPr="007D3F58" w:rsidRDefault="008942F9" w:rsidP="00C472AC">
            <w:pPr>
              <w:pStyle w:val="a3"/>
              <w:jc w:val="right"/>
              <w:rPr>
                <w:b/>
                <w:bCs/>
                <w:rtl/>
              </w:rPr>
            </w:pPr>
            <w:r w:rsidRPr="007D3F58">
              <w:rPr>
                <w:b/>
                <w:bCs/>
                <w:rtl/>
              </w:rPr>
              <w:t>03 מרץ 2020</w:t>
            </w:r>
          </w:p>
        </w:tc>
      </w:tr>
    </w:tbl>
    <w:p w14:paraId="106D57DD" w14:textId="77777777" w:rsidR="008942F9" w:rsidRPr="007D3F58" w:rsidRDefault="008942F9" w:rsidP="008942F9">
      <w:pPr>
        <w:pStyle w:val="a3"/>
        <w:rPr>
          <w:rtl/>
        </w:rPr>
      </w:pPr>
      <w:r w:rsidRPr="007D3F58">
        <w:rPr>
          <w:rFonts w:hint="cs"/>
          <w:rtl/>
        </w:rPr>
        <w:t xml:space="preserve"> </w:t>
      </w:r>
    </w:p>
    <w:p w14:paraId="4DD07AD9" w14:textId="77777777" w:rsidR="008942F9" w:rsidRPr="007D3F58" w:rsidRDefault="008942F9" w:rsidP="008942F9">
      <w:pPr>
        <w:pStyle w:val="a3"/>
      </w:pPr>
      <w:r w:rsidRPr="007D3F58">
        <w:rPr>
          <w:rFonts w:cs="Times New Roman" w:hint="cs"/>
          <w:b/>
          <w:bCs/>
          <w:sz w:val="26"/>
          <w:szCs w:val="28"/>
          <w:rtl/>
        </w:rPr>
        <w:t xml:space="preserve"> </w:t>
      </w:r>
    </w:p>
    <w:p w14:paraId="5205AE33" w14:textId="77777777" w:rsidR="008942F9" w:rsidRPr="007D3F58" w:rsidRDefault="008942F9" w:rsidP="008942F9">
      <w:pPr>
        <w:rPr>
          <w:rtl/>
        </w:rPr>
      </w:pPr>
    </w:p>
    <w:p w14:paraId="3EF8AC6D" w14:textId="77777777" w:rsidR="008942F9" w:rsidRPr="007D3F58" w:rsidRDefault="008942F9" w:rsidP="008942F9">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5220"/>
        <w:gridCol w:w="2677"/>
      </w:tblGrid>
      <w:tr w:rsidR="008942F9" w:rsidRPr="007D3F58" w14:paraId="66183453" w14:textId="77777777" w:rsidTr="008942F9">
        <w:trPr>
          <w:trHeight w:val="355"/>
          <w:jc w:val="center"/>
        </w:trPr>
        <w:tc>
          <w:tcPr>
            <w:tcW w:w="923" w:type="dxa"/>
            <w:tcBorders>
              <w:top w:val="nil"/>
              <w:left w:val="nil"/>
              <w:bottom w:val="nil"/>
              <w:right w:val="nil"/>
            </w:tcBorders>
            <w:shd w:val="clear" w:color="auto" w:fill="auto"/>
          </w:tcPr>
          <w:p w14:paraId="64FB9987" w14:textId="77777777" w:rsidR="008942F9" w:rsidRPr="007D3F58" w:rsidRDefault="008942F9" w:rsidP="008942F9">
            <w:pPr>
              <w:jc w:val="both"/>
              <w:rPr>
                <w:rFonts w:ascii="Arial" w:hAnsi="Arial"/>
                <w:b/>
                <w:bCs/>
              </w:rPr>
            </w:pPr>
            <w:bookmarkStart w:id="1" w:name="FirstAppellant"/>
            <w:r w:rsidRPr="007D3F58">
              <w:rPr>
                <w:rFonts w:ascii="Arial" w:hAnsi="Arial" w:hint="cs"/>
                <w:b/>
                <w:bCs/>
                <w:rtl/>
              </w:rPr>
              <w:t>בעניין:</w:t>
            </w:r>
          </w:p>
        </w:tc>
        <w:tc>
          <w:tcPr>
            <w:tcW w:w="5220" w:type="dxa"/>
            <w:tcBorders>
              <w:top w:val="nil"/>
              <w:left w:val="nil"/>
              <w:bottom w:val="nil"/>
              <w:right w:val="nil"/>
            </w:tcBorders>
            <w:shd w:val="clear" w:color="auto" w:fill="auto"/>
          </w:tcPr>
          <w:p w14:paraId="233DB845" w14:textId="77777777" w:rsidR="008942F9" w:rsidRPr="007D3F58" w:rsidRDefault="008942F9" w:rsidP="00C472AC">
            <w:pPr>
              <w:rPr>
                <w:b/>
                <w:bCs/>
              </w:rPr>
            </w:pPr>
            <w:r w:rsidRPr="007D3F58">
              <w:rPr>
                <w:rFonts w:ascii="Arial" w:hAnsi="Arial"/>
                <w:b/>
                <w:bCs/>
                <w:rtl/>
              </w:rPr>
              <w:t>מדינת ישראל</w:t>
            </w:r>
          </w:p>
        </w:tc>
        <w:tc>
          <w:tcPr>
            <w:tcW w:w="2677" w:type="dxa"/>
            <w:tcBorders>
              <w:top w:val="nil"/>
              <w:left w:val="nil"/>
              <w:bottom w:val="nil"/>
              <w:right w:val="nil"/>
            </w:tcBorders>
            <w:shd w:val="clear" w:color="auto" w:fill="auto"/>
          </w:tcPr>
          <w:p w14:paraId="11D2FBF2" w14:textId="77777777" w:rsidR="008942F9" w:rsidRPr="007D3F58" w:rsidRDefault="008942F9" w:rsidP="008942F9">
            <w:pPr>
              <w:jc w:val="both"/>
              <w:rPr>
                <w:rFonts w:ascii="Arial" w:hAnsi="Arial"/>
                <w:b/>
                <w:bCs/>
              </w:rPr>
            </w:pPr>
          </w:p>
        </w:tc>
      </w:tr>
      <w:bookmarkEnd w:id="1"/>
      <w:tr w:rsidR="008942F9" w:rsidRPr="007D3F58" w14:paraId="60DA5CF8" w14:textId="77777777" w:rsidTr="008942F9">
        <w:trPr>
          <w:trHeight w:val="355"/>
          <w:jc w:val="center"/>
        </w:trPr>
        <w:tc>
          <w:tcPr>
            <w:tcW w:w="923" w:type="dxa"/>
            <w:tcBorders>
              <w:top w:val="nil"/>
              <w:left w:val="nil"/>
              <w:bottom w:val="nil"/>
              <w:right w:val="nil"/>
            </w:tcBorders>
            <w:shd w:val="clear" w:color="auto" w:fill="auto"/>
          </w:tcPr>
          <w:p w14:paraId="499C43F2" w14:textId="77777777" w:rsidR="008942F9" w:rsidRPr="007D3F58" w:rsidRDefault="008942F9" w:rsidP="008942F9">
            <w:pPr>
              <w:jc w:val="both"/>
              <w:rPr>
                <w:rFonts w:ascii="Arial" w:hAnsi="Arial"/>
                <w:b/>
                <w:bCs/>
                <w:rtl/>
              </w:rPr>
            </w:pPr>
          </w:p>
        </w:tc>
        <w:tc>
          <w:tcPr>
            <w:tcW w:w="5220" w:type="dxa"/>
            <w:tcBorders>
              <w:top w:val="nil"/>
              <w:left w:val="nil"/>
              <w:bottom w:val="nil"/>
              <w:right w:val="nil"/>
            </w:tcBorders>
            <w:shd w:val="clear" w:color="auto" w:fill="auto"/>
          </w:tcPr>
          <w:p w14:paraId="0AE7750E" w14:textId="77777777" w:rsidR="008942F9" w:rsidRPr="007D3F58" w:rsidRDefault="008942F9" w:rsidP="008942F9">
            <w:pPr>
              <w:jc w:val="both"/>
              <w:rPr>
                <w:b/>
                <w:bCs/>
                <w:rtl/>
              </w:rPr>
            </w:pPr>
          </w:p>
        </w:tc>
        <w:tc>
          <w:tcPr>
            <w:tcW w:w="2677" w:type="dxa"/>
            <w:tcBorders>
              <w:top w:val="nil"/>
              <w:left w:val="nil"/>
              <w:bottom w:val="nil"/>
              <w:right w:val="nil"/>
            </w:tcBorders>
            <w:shd w:val="clear" w:color="auto" w:fill="auto"/>
          </w:tcPr>
          <w:p w14:paraId="6C826144" w14:textId="77777777" w:rsidR="008942F9" w:rsidRPr="007D3F58" w:rsidRDefault="008942F9" w:rsidP="00C472AC">
            <w:pPr>
              <w:rPr>
                <w:rFonts w:ascii="Arial" w:hAnsi="Arial"/>
                <w:b/>
                <w:bCs/>
                <w:rtl/>
              </w:rPr>
            </w:pPr>
            <w:r w:rsidRPr="007D3F58">
              <w:rPr>
                <w:rFonts w:ascii="Arial" w:hAnsi="Arial" w:hint="cs"/>
                <w:b/>
                <w:bCs/>
                <w:rtl/>
              </w:rPr>
              <w:t>ה</w:t>
            </w:r>
            <w:r w:rsidRPr="007D3F58">
              <w:rPr>
                <w:rFonts w:ascii="Arial" w:hAnsi="Arial"/>
                <w:b/>
                <w:bCs/>
                <w:rtl/>
              </w:rPr>
              <w:t>מאשימה</w:t>
            </w:r>
          </w:p>
        </w:tc>
      </w:tr>
      <w:tr w:rsidR="008942F9" w:rsidRPr="007D3F58" w14:paraId="5B6E3D32" w14:textId="77777777" w:rsidTr="008942F9">
        <w:trPr>
          <w:trHeight w:val="355"/>
          <w:jc w:val="center"/>
        </w:trPr>
        <w:tc>
          <w:tcPr>
            <w:tcW w:w="923" w:type="dxa"/>
            <w:tcBorders>
              <w:top w:val="nil"/>
              <w:left w:val="nil"/>
              <w:bottom w:val="nil"/>
              <w:right w:val="nil"/>
            </w:tcBorders>
            <w:shd w:val="clear" w:color="auto" w:fill="auto"/>
          </w:tcPr>
          <w:p w14:paraId="342D8C42" w14:textId="77777777" w:rsidR="008942F9" w:rsidRPr="007D3F58" w:rsidRDefault="008942F9" w:rsidP="008942F9">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vAlign w:val="center"/>
          </w:tcPr>
          <w:p w14:paraId="526A849C" w14:textId="77777777" w:rsidR="008942F9" w:rsidRPr="007D3F58" w:rsidRDefault="008942F9" w:rsidP="008942F9">
            <w:pPr>
              <w:jc w:val="center"/>
              <w:rPr>
                <w:rFonts w:ascii="Arial" w:hAnsi="Arial"/>
                <w:b/>
                <w:bCs/>
              </w:rPr>
            </w:pPr>
            <w:r w:rsidRPr="007D3F58">
              <w:rPr>
                <w:rFonts w:ascii="Arial" w:hAnsi="Arial"/>
                <w:b/>
                <w:bCs/>
                <w:rtl/>
              </w:rPr>
              <w:t>נ</w:t>
            </w:r>
            <w:r w:rsidRPr="007D3F58">
              <w:rPr>
                <w:rFonts w:ascii="Arial" w:hAnsi="Arial" w:hint="cs"/>
                <w:b/>
                <w:bCs/>
                <w:rtl/>
              </w:rPr>
              <w:t xml:space="preserve"> </w:t>
            </w:r>
            <w:r w:rsidRPr="007D3F58">
              <w:rPr>
                <w:rFonts w:ascii="Arial" w:hAnsi="Arial"/>
                <w:b/>
                <w:bCs/>
                <w:rtl/>
              </w:rPr>
              <w:t>ג</w:t>
            </w:r>
            <w:r w:rsidRPr="007D3F58">
              <w:rPr>
                <w:rFonts w:ascii="Arial" w:hAnsi="Arial" w:hint="cs"/>
                <w:b/>
                <w:bCs/>
                <w:rtl/>
              </w:rPr>
              <w:t xml:space="preserve"> </w:t>
            </w:r>
            <w:r w:rsidRPr="007D3F58">
              <w:rPr>
                <w:rFonts w:ascii="Arial" w:hAnsi="Arial"/>
                <w:b/>
                <w:bCs/>
                <w:rtl/>
              </w:rPr>
              <w:t>ד</w:t>
            </w:r>
          </w:p>
        </w:tc>
      </w:tr>
      <w:tr w:rsidR="008942F9" w:rsidRPr="007D3F58" w14:paraId="3ADA71F2" w14:textId="77777777" w:rsidTr="008942F9">
        <w:trPr>
          <w:trHeight w:val="355"/>
          <w:jc w:val="center"/>
        </w:trPr>
        <w:tc>
          <w:tcPr>
            <w:tcW w:w="923" w:type="dxa"/>
            <w:tcBorders>
              <w:top w:val="nil"/>
              <w:left w:val="nil"/>
              <w:bottom w:val="nil"/>
              <w:right w:val="nil"/>
            </w:tcBorders>
            <w:shd w:val="clear" w:color="auto" w:fill="auto"/>
          </w:tcPr>
          <w:p w14:paraId="2F2E8FEA" w14:textId="77777777" w:rsidR="008942F9" w:rsidRPr="007D3F58" w:rsidRDefault="008942F9" w:rsidP="008942F9">
            <w:pPr>
              <w:jc w:val="both"/>
              <w:rPr>
                <w:rFonts w:ascii="Arial" w:hAnsi="Arial" w:cs="FrankRuehl"/>
                <w:sz w:val="28"/>
                <w:szCs w:val="28"/>
                <w:rtl/>
              </w:rPr>
            </w:pPr>
          </w:p>
        </w:tc>
        <w:tc>
          <w:tcPr>
            <w:tcW w:w="5220" w:type="dxa"/>
            <w:tcBorders>
              <w:top w:val="nil"/>
              <w:left w:val="nil"/>
              <w:bottom w:val="nil"/>
              <w:right w:val="nil"/>
            </w:tcBorders>
            <w:shd w:val="clear" w:color="auto" w:fill="auto"/>
          </w:tcPr>
          <w:p w14:paraId="2853DB4D" w14:textId="77777777" w:rsidR="008942F9" w:rsidRPr="007D3F58" w:rsidRDefault="008942F9" w:rsidP="008942F9">
            <w:pPr>
              <w:jc w:val="both"/>
              <w:rPr>
                <w:b/>
                <w:bCs/>
                <w:rtl/>
              </w:rPr>
            </w:pPr>
            <w:r w:rsidRPr="007D3F58">
              <w:rPr>
                <w:rFonts w:hint="cs"/>
                <w:b/>
                <w:bCs/>
                <w:rtl/>
              </w:rPr>
              <w:t>עמרו כבאגה</w:t>
            </w:r>
          </w:p>
        </w:tc>
        <w:tc>
          <w:tcPr>
            <w:tcW w:w="2677" w:type="dxa"/>
            <w:tcBorders>
              <w:top w:val="nil"/>
              <w:left w:val="nil"/>
              <w:bottom w:val="nil"/>
              <w:right w:val="nil"/>
            </w:tcBorders>
            <w:shd w:val="clear" w:color="auto" w:fill="auto"/>
          </w:tcPr>
          <w:p w14:paraId="3410E3E7" w14:textId="77777777" w:rsidR="008942F9" w:rsidRPr="007D3F58" w:rsidRDefault="008942F9" w:rsidP="00C472AC">
            <w:pPr>
              <w:rPr>
                <w:rFonts w:ascii="Arial" w:hAnsi="Arial"/>
                <w:b/>
                <w:bCs/>
                <w:rtl/>
              </w:rPr>
            </w:pPr>
          </w:p>
          <w:p w14:paraId="0703E0F9" w14:textId="77777777" w:rsidR="008942F9" w:rsidRPr="007D3F58" w:rsidRDefault="008942F9" w:rsidP="00C472AC">
            <w:pPr>
              <w:rPr>
                <w:rFonts w:ascii="Arial" w:hAnsi="Arial"/>
                <w:b/>
                <w:bCs/>
              </w:rPr>
            </w:pPr>
            <w:r w:rsidRPr="007D3F58">
              <w:rPr>
                <w:rFonts w:ascii="Arial" w:hAnsi="Arial" w:hint="cs"/>
                <w:b/>
                <w:bCs/>
                <w:rtl/>
              </w:rPr>
              <w:t>ה</w:t>
            </w:r>
            <w:r w:rsidRPr="007D3F58">
              <w:rPr>
                <w:rFonts w:ascii="Arial" w:hAnsi="Arial"/>
                <w:b/>
                <w:bCs/>
                <w:rtl/>
              </w:rPr>
              <w:t>נאשם</w:t>
            </w:r>
          </w:p>
        </w:tc>
      </w:tr>
    </w:tbl>
    <w:p w14:paraId="6952214F" w14:textId="77777777" w:rsidR="008942F9" w:rsidRPr="007D3F58" w:rsidRDefault="008942F9" w:rsidP="008942F9"/>
    <w:p w14:paraId="0ED4D015" w14:textId="77777777" w:rsidR="00CD43D8" w:rsidRPr="00CD43D8" w:rsidRDefault="00CD43D8" w:rsidP="00CD43D8">
      <w:pPr>
        <w:spacing w:before="120" w:after="120" w:line="240" w:lineRule="exact"/>
        <w:ind w:left="283" w:hanging="283"/>
        <w:jc w:val="both"/>
        <w:rPr>
          <w:rStyle w:val="ArialFrankRuehl14"/>
          <w:rFonts w:ascii="FrankRuehl" w:hAnsi="FrankRuehl" w:cs="FrankRuehl"/>
          <w:sz w:val="24"/>
          <w:rtl/>
        </w:rPr>
      </w:pPr>
      <w:bookmarkStart w:id="2" w:name="LawTable"/>
      <w:bookmarkEnd w:id="2"/>
      <w:r w:rsidRPr="00CD43D8">
        <w:rPr>
          <w:rStyle w:val="ArialFrankRuehl14"/>
          <w:rFonts w:ascii="FrankRuehl" w:hAnsi="FrankRuehl" w:cs="FrankRuehl"/>
          <w:sz w:val="24"/>
          <w:rtl/>
        </w:rPr>
        <w:t xml:space="preserve">חקיקה שאוזכרה: </w:t>
      </w:r>
    </w:p>
    <w:p w14:paraId="153F7D30" w14:textId="77777777" w:rsidR="00CD43D8" w:rsidRPr="00CD43D8" w:rsidRDefault="00CD43D8" w:rsidP="00CD43D8">
      <w:pPr>
        <w:spacing w:before="120" w:after="120" w:line="240" w:lineRule="exact"/>
        <w:ind w:left="283" w:hanging="283"/>
        <w:jc w:val="both"/>
        <w:rPr>
          <w:rStyle w:val="ArialFrankRuehl14"/>
          <w:rFonts w:ascii="FrankRuehl" w:hAnsi="FrankRuehl" w:cs="FrankRuehl"/>
          <w:color w:val="0000FF"/>
          <w:sz w:val="24"/>
          <w:rtl/>
        </w:rPr>
      </w:pPr>
      <w:hyperlink r:id="rId6" w:history="1">
        <w:r w:rsidRPr="00CD43D8">
          <w:rPr>
            <w:rStyle w:val="Hyperlink"/>
            <w:rFonts w:ascii="FrankRuehl" w:hAnsi="FrankRuehl" w:cs="FrankRuehl"/>
            <w:rtl/>
          </w:rPr>
          <w:t>חוק העונשין, תשל"ז-1977</w:t>
        </w:r>
      </w:hyperlink>
      <w:r w:rsidRPr="00CD43D8">
        <w:rPr>
          <w:rStyle w:val="ArialFrankRuehl14"/>
          <w:rFonts w:ascii="FrankRuehl" w:hAnsi="FrankRuehl" w:cs="FrankRuehl"/>
          <w:color w:val="0000FF"/>
          <w:sz w:val="24"/>
          <w:u w:val="single"/>
          <w:rtl/>
        </w:rPr>
        <w:t xml:space="preserve">: סע'  </w:t>
      </w:r>
      <w:hyperlink r:id="rId7" w:history="1">
        <w:r w:rsidRPr="00CD43D8">
          <w:rPr>
            <w:rStyle w:val="Hyperlink"/>
            <w:rFonts w:ascii="FrankRuehl" w:hAnsi="FrankRuehl" w:cs="FrankRuehl"/>
          </w:rPr>
          <w:t>25</w:t>
        </w:r>
      </w:hyperlink>
      <w:r w:rsidRPr="00CD43D8">
        <w:rPr>
          <w:rStyle w:val="ArialFrankRuehl14"/>
          <w:rFonts w:ascii="FrankRuehl" w:hAnsi="FrankRuehl" w:cs="FrankRuehl"/>
          <w:color w:val="0000FF"/>
          <w:sz w:val="24"/>
          <w:u w:val="single"/>
          <w:rtl/>
        </w:rPr>
        <w:t xml:space="preserve">, </w:t>
      </w:r>
      <w:hyperlink r:id="rId8" w:history="1">
        <w:r w:rsidRPr="00CD43D8">
          <w:rPr>
            <w:rStyle w:val="Hyperlink"/>
            <w:rFonts w:ascii="FrankRuehl" w:hAnsi="FrankRuehl" w:cs="FrankRuehl"/>
          </w:rPr>
          <w:t>40</w:t>
        </w:r>
        <w:r w:rsidRPr="00CD43D8">
          <w:rPr>
            <w:rStyle w:val="Hyperlink"/>
            <w:rFonts w:ascii="FrankRuehl" w:hAnsi="FrankRuehl" w:cs="FrankRuehl"/>
            <w:rtl/>
          </w:rPr>
          <w:t>ב</w:t>
        </w:r>
      </w:hyperlink>
      <w:r w:rsidRPr="00CD43D8">
        <w:rPr>
          <w:rStyle w:val="ArialFrankRuehl14"/>
          <w:rFonts w:ascii="FrankRuehl" w:hAnsi="FrankRuehl" w:cs="FrankRuehl"/>
          <w:color w:val="0000FF"/>
          <w:sz w:val="24"/>
          <w:u w:val="single"/>
          <w:rtl/>
        </w:rPr>
        <w:t xml:space="preserve">, </w:t>
      </w:r>
      <w:hyperlink r:id="rId9" w:history="1">
        <w:r w:rsidRPr="00CD43D8">
          <w:rPr>
            <w:rStyle w:val="Hyperlink"/>
            <w:rFonts w:ascii="FrankRuehl" w:hAnsi="FrankRuehl" w:cs="FrankRuehl"/>
          </w:rPr>
          <w:t>40</w:t>
        </w:r>
        <w:r w:rsidRPr="00CD43D8">
          <w:rPr>
            <w:rStyle w:val="Hyperlink"/>
            <w:rFonts w:ascii="FrankRuehl" w:hAnsi="FrankRuehl" w:cs="FrankRuehl"/>
            <w:rtl/>
          </w:rPr>
          <w:t>ג</w:t>
        </w:r>
      </w:hyperlink>
      <w:r w:rsidRPr="00CD43D8">
        <w:rPr>
          <w:rStyle w:val="ArialFrankRuehl14"/>
          <w:rFonts w:ascii="FrankRuehl" w:hAnsi="FrankRuehl" w:cs="FrankRuehl"/>
          <w:color w:val="0000FF"/>
          <w:sz w:val="24"/>
          <w:u w:val="single"/>
          <w:rtl/>
        </w:rPr>
        <w:t xml:space="preserve">, </w:t>
      </w:r>
      <w:hyperlink r:id="rId10" w:history="1">
        <w:r w:rsidRPr="00CD43D8">
          <w:rPr>
            <w:rStyle w:val="Hyperlink"/>
            <w:rFonts w:ascii="FrankRuehl" w:hAnsi="FrankRuehl" w:cs="FrankRuehl"/>
          </w:rPr>
          <w:t>144</w:t>
        </w:r>
      </w:hyperlink>
      <w:r w:rsidRPr="00CD43D8">
        <w:rPr>
          <w:rStyle w:val="ArialFrankRuehl14"/>
          <w:rFonts w:ascii="FrankRuehl" w:hAnsi="FrankRuehl" w:cs="FrankRuehl"/>
          <w:color w:val="0000FF"/>
          <w:sz w:val="24"/>
          <w:rtl/>
        </w:rPr>
        <w:t>(ב2)</w:t>
      </w:r>
    </w:p>
    <w:p w14:paraId="3FB25FD2" w14:textId="77777777" w:rsidR="008942F9" w:rsidRPr="00CD43D8" w:rsidRDefault="008942F9" w:rsidP="00CD43D8">
      <w:pPr>
        <w:spacing w:line="360" w:lineRule="auto"/>
        <w:jc w:val="both"/>
        <w:rPr>
          <w:rStyle w:val="ArialFrankRuehl14"/>
          <w:rtl/>
        </w:rPr>
      </w:pPr>
      <w:bookmarkStart w:id="3" w:name="LawTable_End"/>
      <w:bookmarkEnd w:id="3"/>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942F9" w14:paraId="25A471A2" w14:textId="77777777" w:rsidTr="008942F9">
        <w:trPr>
          <w:trHeight w:val="355"/>
          <w:jc w:val="center"/>
        </w:trPr>
        <w:tc>
          <w:tcPr>
            <w:tcW w:w="8820" w:type="dxa"/>
            <w:tcBorders>
              <w:top w:val="nil"/>
              <w:left w:val="nil"/>
              <w:bottom w:val="nil"/>
              <w:right w:val="nil"/>
            </w:tcBorders>
            <w:shd w:val="clear" w:color="auto" w:fill="auto"/>
          </w:tcPr>
          <w:p w14:paraId="3912DCC6" w14:textId="77777777" w:rsidR="007D3F58" w:rsidRPr="007D3F58" w:rsidRDefault="007D3F58" w:rsidP="007D3F58">
            <w:pPr>
              <w:jc w:val="center"/>
              <w:rPr>
                <w:rFonts w:ascii="Arial" w:hAnsi="Arial"/>
                <w:b/>
                <w:bCs/>
                <w:sz w:val="32"/>
                <w:szCs w:val="32"/>
                <w:u w:val="single"/>
                <w:rtl/>
              </w:rPr>
            </w:pPr>
            <w:bookmarkStart w:id="4" w:name="PsakDin" w:colFirst="0" w:colLast="0"/>
            <w:bookmarkEnd w:id="0"/>
            <w:r w:rsidRPr="007D3F58">
              <w:rPr>
                <w:rFonts w:ascii="Arial" w:hAnsi="Arial"/>
                <w:b/>
                <w:bCs/>
                <w:sz w:val="32"/>
                <w:szCs w:val="32"/>
                <w:u w:val="single"/>
                <w:rtl/>
              </w:rPr>
              <w:t>גזר דין</w:t>
            </w:r>
          </w:p>
          <w:p w14:paraId="23AC5779" w14:textId="77777777" w:rsidR="008942F9" w:rsidRPr="007D3F58" w:rsidRDefault="008942F9" w:rsidP="007D3F58">
            <w:pPr>
              <w:jc w:val="center"/>
              <w:rPr>
                <w:rFonts w:ascii="Arial" w:hAnsi="Arial"/>
                <w:bCs/>
                <w:sz w:val="32"/>
                <w:szCs w:val="32"/>
                <w:u w:val="single"/>
                <w:rtl/>
              </w:rPr>
            </w:pPr>
          </w:p>
        </w:tc>
      </w:tr>
      <w:bookmarkEnd w:id="4"/>
    </w:tbl>
    <w:p w14:paraId="30A821EE" w14:textId="77777777" w:rsidR="008942F9" w:rsidRPr="00A65C7C" w:rsidRDefault="008942F9" w:rsidP="008942F9">
      <w:pPr>
        <w:spacing w:line="360" w:lineRule="auto"/>
        <w:jc w:val="both"/>
        <w:rPr>
          <w:rStyle w:val="ArialFrankRuehl14"/>
          <w:rtl/>
        </w:rPr>
      </w:pPr>
    </w:p>
    <w:p w14:paraId="3D2A6547" w14:textId="77777777" w:rsidR="008942F9" w:rsidRPr="001E3304" w:rsidRDefault="008942F9" w:rsidP="008942F9">
      <w:pPr>
        <w:spacing w:line="360" w:lineRule="auto"/>
        <w:jc w:val="both"/>
        <w:rPr>
          <w:rFonts w:ascii="Arial" w:hAnsi="Arial"/>
          <w:b/>
          <w:bCs/>
          <w:sz w:val="28"/>
          <w:u w:val="single"/>
          <w:rtl/>
        </w:rPr>
      </w:pPr>
      <w:r w:rsidRPr="001E3304">
        <w:rPr>
          <w:rFonts w:ascii="Arial" w:hAnsi="Arial"/>
          <w:b/>
          <w:bCs/>
          <w:sz w:val="28"/>
          <w:u w:val="single"/>
          <w:rtl/>
        </w:rPr>
        <w:t>כתב האישום</w:t>
      </w:r>
    </w:p>
    <w:p w14:paraId="1E7C2904" w14:textId="77777777" w:rsidR="008942F9" w:rsidRPr="001E3304" w:rsidRDefault="008942F9" w:rsidP="008942F9">
      <w:pPr>
        <w:spacing w:line="360" w:lineRule="auto"/>
        <w:jc w:val="both"/>
        <w:rPr>
          <w:rFonts w:ascii="Arial" w:hAnsi="Arial"/>
          <w:sz w:val="28"/>
          <w:rtl/>
        </w:rPr>
      </w:pPr>
    </w:p>
    <w:p w14:paraId="1C3E383A" w14:textId="77777777" w:rsidR="008942F9" w:rsidRPr="001E3304" w:rsidRDefault="008942F9" w:rsidP="008942F9">
      <w:pPr>
        <w:spacing w:line="360" w:lineRule="auto"/>
        <w:jc w:val="both"/>
        <w:rPr>
          <w:rFonts w:ascii="Arial" w:hAnsi="Arial"/>
          <w:sz w:val="28"/>
          <w:rtl/>
        </w:rPr>
      </w:pPr>
      <w:r w:rsidRPr="001E3304">
        <w:rPr>
          <w:rFonts w:ascii="Arial" w:hAnsi="Arial"/>
          <w:sz w:val="28"/>
          <w:rtl/>
        </w:rPr>
        <w:t xml:space="preserve">1.  </w:t>
      </w:r>
      <w:r w:rsidRPr="001E3304">
        <w:rPr>
          <w:rFonts w:ascii="Arial" w:hAnsi="Arial"/>
          <w:sz w:val="28"/>
          <w:rtl/>
        </w:rPr>
        <w:tab/>
      </w:r>
      <w:bookmarkStart w:id="5" w:name="ABSTRACT_START"/>
      <w:bookmarkEnd w:id="5"/>
      <w:r w:rsidRPr="001E3304">
        <w:rPr>
          <w:rFonts w:ascii="Arial" w:hAnsi="Arial"/>
          <w:sz w:val="28"/>
          <w:rtl/>
        </w:rPr>
        <w:t xml:space="preserve">הנאשם הורשע, על פי הודאתו במסגרת הסדר טיעון, בעבירות של ניסיון לסחר בנשק, לפי </w:t>
      </w:r>
      <w:hyperlink r:id="rId11" w:history="1">
        <w:r w:rsidR="00CD43D8" w:rsidRPr="00CD43D8">
          <w:rPr>
            <w:rStyle w:val="Hyperlink"/>
            <w:rFonts w:ascii="Arial" w:hAnsi="Arial"/>
            <w:color w:val="0000FF"/>
            <w:sz w:val="28"/>
            <w:rtl/>
          </w:rPr>
          <w:t>סעיף 144(ב2)</w:t>
        </w:r>
      </w:hyperlink>
      <w:r w:rsidRPr="001E3304">
        <w:rPr>
          <w:rFonts w:ascii="Arial" w:hAnsi="Arial"/>
          <w:sz w:val="28"/>
          <w:rtl/>
        </w:rPr>
        <w:t xml:space="preserve"> בצירוף </w:t>
      </w:r>
      <w:hyperlink r:id="rId12" w:history="1">
        <w:r w:rsidR="00CD43D8" w:rsidRPr="00CD43D8">
          <w:rPr>
            <w:rStyle w:val="Hyperlink"/>
            <w:rFonts w:ascii="Arial" w:hAnsi="Arial"/>
            <w:color w:val="0000FF"/>
            <w:sz w:val="28"/>
            <w:rtl/>
          </w:rPr>
          <w:t>סעיף 25</w:t>
        </w:r>
      </w:hyperlink>
      <w:r w:rsidRPr="001E3304">
        <w:rPr>
          <w:rFonts w:ascii="Arial" w:hAnsi="Arial"/>
          <w:sz w:val="28"/>
          <w:rtl/>
        </w:rPr>
        <w:t xml:space="preserve"> ל</w:t>
      </w:r>
      <w:hyperlink r:id="rId13" w:history="1">
        <w:r w:rsidR="007D3F58" w:rsidRPr="007D3F58">
          <w:rPr>
            <w:rFonts w:ascii="Arial" w:hAnsi="Arial"/>
            <w:color w:val="0000FF"/>
            <w:sz w:val="28"/>
            <w:u w:val="single"/>
            <w:rtl/>
          </w:rPr>
          <w:t>חוק העונשין</w:t>
        </w:r>
      </w:hyperlink>
      <w:r w:rsidRPr="001E3304">
        <w:rPr>
          <w:rFonts w:ascii="Arial" w:hAnsi="Arial"/>
          <w:sz w:val="28"/>
          <w:rtl/>
        </w:rPr>
        <w:t xml:space="preserve"> תשל"ז-1977 (להלן: "החוק"); ובעבירה של סחר בנשק, לפי </w:t>
      </w:r>
      <w:hyperlink r:id="rId14" w:history="1">
        <w:r w:rsidR="00CD43D8" w:rsidRPr="00CD43D8">
          <w:rPr>
            <w:rStyle w:val="Hyperlink"/>
            <w:rFonts w:ascii="Arial" w:hAnsi="Arial"/>
            <w:color w:val="0000FF"/>
            <w:sz w:val="28"/>
            <w:rtl/>
          </w:rPr>
          <w:t>סעיף 144(ב2)</w:t>
        </w:r>
      </w:hyperlink>
      <w:r w:rsidRPr="001E3304">
        <w:rPr>
          <w:rFonts w:ascii="Arial" w:hAnsi="Arial"/>
          <w:sz w:val="28"/>
          <w:rtl/>
        </w:rPr>
        <w:t xml:space="preserve"> לחוק. </w:t>
      </w:r>
    </w:p>
    <w:p w14:paraId="19FFBE46" w14:textId="77777777" w:rsidR="008942F9" w:rsidRPr="001E3304" w:rsidRDefault="008942F9" w:rsidP="008942F9">
      <w:pPr>
        <w:spacing w:line="360" w:lineRule="auto"/>
        <w:jc w:val="both"/>
        <w:rPr>
          <w:rFonts w:ascii="Arial" w:hAnsi="Arial"/>
          <w:sz w:val="28"/>
          <w:rtl/>
        </w:rPr>
      </w:pPr>
      <w:bookmarkStart w:id="6" w:name="ABSTRACT_END"/>
      <w:bookmarkEnd w:id="6"/>
    </w:p>
    <w:p w14:paraId="03333590" w14:textId="77777777" w:rsidR="008942F9" w:rsidRPr="001E3304" w:rsidRDefault="008942F9" w:rsidP="008942F9">
      <w:pPr>
        <w:spacing w:line="360" w:lineRule="auto"/>
        <w:jc w:val="both"/>
        <w:rPr>
          <w:rFonts w:ascii="Arial" w:hAnsi="Arial"/>
          <w:sz w:val="28"/>
          <w:rtl/>
        </w:rPr>
      </w:pPr>
      <w:r w:rsidRPr="001E3304">
        <w:rPr>
          <w:rFonts w:ascii="Arial" w:hAnsi="Arial"/>
          <w:sz w:val="28"/>
          <w:rtl/>
        </w:rPr>
        <w:t xml:space="preserve">2. </w:t>
      </w:r>
      <w:r w:rsidRPr="001E3304">
        <w:rPr>
          <w:rFonts w:ascii="Arial" w:hAnsi="Arial"/>
          <w:sz w:val="28"/>
          <w:rtl/>
        </w:rPr>
        <w:tab/>
        <w:t xml:space="preserve">על פי עובדות כתב האישום המתוקן בהסדר, ביצע הנאשם עסקה בה מכר נשק, ועסקה של ניסיון למכירת נשק, מול לוחם מספר 188 המכונה "עלי", שהנו שוטר אשר במועדים הרלוונטיים לכתב האישום שימש כ"סוכן" מטעם משטרת ישראל. </w:t>
      </w:r>
    </w:p>
    <w:p w14:paraId="5E9A7648" w14:textId="77777777" w:rsidR="008942F9" w:rsidRPr="001E3304" w:rsidRDefault="008942F9" w:rsidP="008942F9">
      <w:pPr>
        <w:spacing w:line="360" w:lineRule="auto"/>
        <w:jc w:val="both"/>
        <w:rPr>
          <w:rFonts w:ascii="Arial" w:hAnsi="Arial"/>
          <w:sz w:val="28"/>
          <w:rtl/>
        </w:rPr>
      </w:pPr>
      <w:r w:rsidRPr="001E3304">
        <w:rPr>
          <w:rFonts w:ascii="Arial" w:hAnsi="Arial"/>
          <w:sz w:val="28"/>
          <w:rtl/>
        </w:rPr>
        <w:t xml:space="preserve">ביום 10.2.2019 שוחחו הנאשם והסוכן על עסקה למכירת נשק. </w:t>
      </w:r>
    </w:p>
    <w:p w14:paraId="66B87F00" w14:textId="77777777" w:rsidR="008942F9" w:rsidRPr="001E3304" w:rsidRDefault="008942F9" w:rsidP="008942F9">
      <w:pPr>
        <w:spacing w:line="360" w:lineRule="auto"/>
        <w:jc w:val="both"/>
        <w:rPr>
          <w:rFonts w:ascii="Arial" w:hAnsi="Arial"/>
          <w:sz w:val="28"/>
          <w:rtl/>
        </w:rPr>
      </w:pPr>
      <w:r w:rsidRPr="001E3304">
        <w:rPr>
          <w:rFonts w:ascii="Arial" w:hAnsi="Arial"/>
          <w:sz w:val="28"/>
          <w:rtl/>
        </w:rPr>
        <w:t xml:space="preserve">ביום 14.2.2019 התקשר הנאשם אל הסוכן והציע למכור לו נשק מסוג תת מקלע מאולתר המכונה "קרלו". הסוכן אמר לנאשם כי הוא מעוניין באקדח, אך בשיחה נוספת באותו יום, נעתר הסוכן להצעת הנאשם, והשניים סיכמו להיפגש בשבוע הבא לצורך רכישת הקרלו. הסוכן ביקש מהנאשם "לדאוג לו" למחיר עבור הקרלו, וכן הזכיר לנאשם בנוגע לרכישת אקדח. </w:t>
      </w:r>
    </w:p>
    <w:p w14:paraId="4EED017C" w14:textId="77777777" w:rsidR="008942F9" w:rsidRPr="001E3304" w:rsidRDefault="008942F9" w:rsidP="008942F9">
      <w:pPr>
        <w:spacing w:line="360" w:lineRule="auto"/>
        <w:jc w:val="both"/>
        <w:rPr>
          <w:rFonts w:ascii="Arial" w:hAnsi="Arial"/>
          <w:sz w:val="28"/>
          <w:rtl/>
        </w:rPr>
      </w:pPr>
      <w:r w:rsidRPr="001E3304">
        <w:rPr>
          <w:rFonts w:ascii="Arial" w:hAnsi="Arial"/>
          <w:sz w:val="28"/>
          <w:rtl/>
        </w:rPr>
        <w:t xml:space="preserve">ביום 17.2.2019 התקשר הסוכן לנאשם. במהלך השיחה שאל הנאשם את הסוכן מתי יגיע אליו לשם רכישת הקרלו, והסוכן השיב לו כי יגיע אליו למחרת בערב. במהלך שיחות נוספות באותו יום, הודיע הנאשם לסוכן כי עלות הקרלו, בתוספת 1,100 כדורים מסוג </w:t>
      </w:r>
      <w:r w:rsidRPr="001E3304">
        <w:rPr>
          <w:rFonts w:ascii="Arial" w:hAnsi="Arial"/>
          <w:sz w:val="28"/>
        </w:rPr>
        <w:t>M</w:t>
      </w:r>
      <w:r w:rsidRPr="001E3304">
        <w:rPr>
          <w:rFonts w:ascii="Arial" w:hAnsi="Arial"/>
          <w:sz w:val="28"/>
          <w:rtl/>
        </w:rPr>
        <w:t xml:space="preserve">16, הינה 17,000 ₪ (להלן: "העסקה"). </w:t>
      </w:r>
    </w:p>
    <w:p w14:paraId="755ECDC2" w14:textId="77777777" w:rsidR="008942F9" w:rsidRDefault="008942F9" w:rsidP="008942F9">
      <w:pPr>
        <w:spacing w:line="360" w:lineRule="auto"/>
        <w:jc w:val="both"/>
        <w:rPr>
          <w:rFonts w:ascii="Arial" w:hAnsi="Arial"/>
          <w:sz w:val="28"/>
          <w:rtl/>
        </w:rPr>
      </w:pPr>
      <w:r w:rsidRPr="001E3304">
        <w:rPr>
          <w:rFonts w:ascii="Arial" w:hAnsi="Arial"/>
          <w:sz w:val="28"/>
          <w:rtl/>
        </w:rPr>
        <w:t xml:space="preserve">ביום 18.2.2019, בהמשך לשיחות התיאום, נסע הסוכן למקום אליו כיוון אותו הנאשם בא-ראם. כאשר הגיעו למקום, התקרב הנאשם לרכב בו נסע הסוכן, כשבאמתחתו ארגז מלא בתחמושת מסוג </w:t>
      </w:r>
      <w:r w:rsidRPr="001E3304">
        <w:rPr>
          <w:rFonts w:ascii="Arial" w:hAnsi="Arial"/>
          <w:sz w:val="28"/>
        </w:rPr>
        <w:lastRenderedPageBreak/>
        <w:t>M</w:t>
      </w:r>
      <w:r w:rsidRPr="001E3304">
        <w:rPr>
          <w:rFonts w:ascii="Arial" w:hAnsi="Arial"/>
          <w:sz w:val="28"/>
          <w:rtl/>
        </w:rPr>
        <w:t xml:space="preserve">16 (להלן: "הארגז"). הנאשם ניגש לסוכן, הניח את הארגז על רצפת הרכב בו ישב הסוכן, בצמוד לרגליו של הסוכן אשר בדק את תכולתו. בשלב זה הודיע הנאשם לסוכן כי ישנו עיכוב בהבאת הקרלו, והנשק יובא בתוך מספר דקות. בתגובה החזיר הסוכן לנאשם את הארגז, ואמר לו כי כשיגיע הקרלו, יחזור לקחת אותו יחד עם הארגז. הסוכן ביקש לעדכן אותו מתי להגיע ואמר כי הוא יהיה בקרבת מקום. </w:t>
      </w:r>
    </w:p>
    <w:p w14:paraId="510871E7" w14:textId="77777777" w:rsidR="008942F9" w:rsidRPr="001E3304" w:rsidRDefault="008942F9" w:rsidP="008942F9">
      <w:pPr>
        <w:spacing w:line="360" w:lineRule="auto"/>
        <w:jc w:val="both"/>
        <w:rPr>
          <w:rFonts w:ascii="Arial" w:hAnsi="Arial"/>
          <w:sz w:val="28"/>
          <w:rtl/>
        </w:rPr>
      </w:pPr>
    </w:p>
    <w:p w14:paraId="4C069072" w14:textId="77777777" w:rsidR="008942F9" w:rsidRPr="001E3304" w:rsidRDefault="008942F9" w:rsidP="008942F9">
      <w:pPr>
        <w:spacing w:line="360" w:lineRule="auto"/>
        <w:jc w:val="both"/>
        <w:rPr>
          <w:rFonts w:ascii="Arial" w:hAnsi="Arial"/>
          <w:sz w:val="28"/>
          <w:rtl/>
        </w:rPr>
      </w:pPr>
      <w:r w:rsidRPr="001E3304">
        <w:rPr>
          <w:rFonts w:ascii="Arial" w:hAnsi="Arial"/>
          <w:sz w:val="28"/>
          <w:rtl/>
        </w:rPr>
        <w:t xml:space="preserve">בהמשך למתואר, שוחח הנאשם עם אחר, שזהותו אינה ידועה למאשימה (להלן: "האחר"), במטרה לברר היכן הנשק שבכוונתו למכור לסוכן ובניסיון לזרז את הגעתו למקום. האחר הודיע לנאשם כי הוא מתעכב וכי הנשק שניסה הנאשם למכור לסוכן "מקולקל". הנאשם ביקש מהאחר להביא לו את הנשק "המקולקל" בכל זאת. </w:t>
      </w:r>
    </w:p>
    <w:p w14:paraId="32E043FA" w14:textId="77777777" w:rsidR="008942F9" w:rsidRPr="001E3304" w:rsidRDefault="008942F9" w:rsidP="008942F9">
      <w:pPr>
        <w:spacing w:line="360" w:lineRule="auto"/>
        <w:jc w:val="both"/>
        <w:rPr>
          <w:rFonts w:ascii="Arial" w:hAnsi="Arial"/>
          <w:sz w:val="28"/>
          <w:rtl/>
        </w:rPr>
      </w:pPr>
      <w:r w:rsidRPr="001E3304">
        <w:rPr>
          <w:rFonts w:ascii="Arial" w:hAnsi="Arial"/>
          <w:sz w:val="28"/>
          <w:rtl/>
        </w:rPr>
        <w:t xml:space="preserve">בהמשך למתואר, בשעה 19:21, התקשר הנאשם לסוכן והודיע לו כי עליו לדחות את ביצוע העסקה בכל הנוגע לנשק. הנאשם אמר לסוכן כי הקרלו שהתכוון למכור לו "מקולקל" וביקש ממנו לחזור להשלים את רכישת ארגז התחמושת, אך הסוכן סירב לרכוש את הארגז ללא הקרלו. </w:t>
      </w:r>
    </w:p>
    <w:p w14:paraId="609C8A23" w14:textId="77777777" w:rsidR="008942F9" w:rsidRPr="001E3304" w:rsidRDefault="008942F9" w:rsidP="008942F9">
      <w:pPr>
        <w:spacing w:line="360" w:lineRule="auto"/>
        <w:jc w:val="both"/>
        <w:rPr>
          <w:rFonts w:ascii="Arial" w:hAnsi="Arial"/>
          <w:sz w:val="28"/>
          <w:rtl/>
        </w:rPr>
      </w:pPr>
      <w:r w:rsidRPr="001E3304">
        <w:rPr>
          <w:rFonts w:ascii="Arial" w:hAnsi="Arial"/>
          <w:sz w:val="28"/>
          <w:rtl/>
        </w:rPr>
        <w:t xml:space="preserve">במהלך הימים 26.2.2019 עד 3.3.2019 ובסמוך לכך, שוחחו הנאשם והסוכן במספר הזדמנויות במטרה לקדם עסקה בנשק. </w:t>
      </w:r>
    </w:p>
    <w:p w14:paraId="706C4305" w14:textId="77777777" w:rsidR="008942F9" w:rsidRPr="001E3304" w:rsidRDefault="008942F9" w:rsidP="008942F9">
      <w:pPr>
        <w:spacing w:line="360" w:lineRule="auto"/>
        <w:jc w:val="both"/>
        <w:rPr>
          <w:rFonts w:ascii="Arial" w:hAnsi="Arial"/>
          <w:sz w:val="28"/>
          <w:rtl/>
        </w:rPr>
      </w:pPr>
      <w:r w:rsidRPr="001E3304">
        <w:rPr>
          <w:rFonts w:ascii="Arial" w:hAnsi="Arial"/>
          <w:sz w:val="28"/>
          <w:rtl/>
        </w:rPr>
        <w:t xml:space="preserve">מספר ימים עובר לתאריך 18.3.2019, שוחחו הנאשם והסוכן על אפשרות רכישת אקדח ונשק מסוג "קרלו". </w:t>
      </w:r>
    </w:p>
    <w:p w14:paraId="0453FCA6" w14:textId="77777777" w:rsidR="008942F9" w:rsidRPr="001E3304" w:rsidRDefault="008942F9" w:rsidP="008942F9">
      <w:pPr>
        <w:spacing w:line="360" w:lineRule="auto"/>
        <w:jc w:val="both"/>
        <w:rPr>
          <w:rFonts w:ascii="Arial" w:hAnsi="Arial"/>
          <w:sz w:val="28"/>
          <w:rtl/>
        </w:rPr>
      </w:pPr>
      <w:r w:rsidRPr="001E3304">
        <w:rPr>
          <w:rFonts w:ascii="Arial" w:hAnsi="Arial"/>
          <w:sz w:val="28"/>
          <w:rtl/>
        </w:rPr>
        <w:t xml:space="preserve">בשיחה ביום 3.3.2019 הודיע הנאשם לסוכן כי השיג עבורו אקדח והסוכן סיכם עם הנאשם שיהיה איתו בקשר. בשיחה ביום 13.3.2019 מסר הנאשם לסוכן כי עלות האקדח הינה 18,000 ₪, והסוכן אמר לו כי ישקול את ההצעה. </w:t>
      </w:r>
    </w:p>
    <w:p w14:paraId="25101A16" w14:textId="77777777" w:rsidR="008942F9" w:rsidRPr="001E3304" w:rsidRDefault="008942F9" w:rsidP="008942F9">
      <w:pPr>
        <w:spacing w:line="360" w:lineRule="auto"/>
        <w:jc w:val="both"/>
        <w:rPr>
          <w:rFonts w:ascii="Arial" w:hAnsi="Arial"/>
          <w:sz w:val="28"/>
          <w:rtl/>
        </w:rPr>
      </w:pPr>
      <w:r w:rsidRPr="001E3304">
        <w:rPr>
          <w:rFonts w:ascii="Arial" w:hAnsi="Arial"/>
          <w:sz w:val="28"/>
          <w:rtl/>
        </w:rPr>
        <w:t xml:space="preserve">ביום 17.3.2019 הודיע הנאשם לסוכן כי האקדח עליו שוחחו כבר נמכר, והציע למכור לסוכן נשק מסוג קרלו וכדורים תואמים תמורת 18,000 ₪. במהלך השיחה תיאמו השניים להיפגש למחרת לשם ביצוע העיסקה, והנאשם הבטיח לסוכן להשיג עבורו בהמשך אקדח, באומרו כי עד לחודש הרמדאן הסוכן "יצא עם אחד שלא היה לאף אחד לפניו". </w:t>
      </w:r>
    </w:p>
    <w:p w14:paraId="75C59727" w14:textId="77777777" w:rsidR="008942F9" w:rsidRPr="001E3304" w:rsidRDefault="008942F9" w:rsidP="008942F9">
      <w:pPr>
        <w:spacing w:line="360" w:lineRule="auto"/>
        <w:jc w:val="both"/>
        <w:rPr>
          <w:rFonts w:ascii="Arial" w:hAnsi="Arial"/>
          <w:sz w:val="28"/>
          <w:rtl/>
        </w:rPr>
      </w:pPr>
      <w:r w:rsidRPr="001E3304">
        <w:rPr>
          <w:rFonts w:ascii="Arial" w:hAnsi="Arial"/>
          <w:sz w:val="28"/>
          <w:rtl/>
        </w:rPr>
        <w:t xml:space="preserve">למחרת, ביום 18.3.2019, לאחר שיחות תיאום בין השניים, נסע הסוכן למקום אליו כיוון אותו הנאשם בא-ראם. בהגיעו למקום, התקרב הנאשם לרכב בו נסע הסוכן והניח על רצפת הרכב, בין רגליו של הסוכן, שקית ובה נשק מסוג קרלו שבכוחו להמית אדם, וכן מחסנית תואמת. הסוכן בדק את תקינות הנשק. בהמשך מסר הנאשם לסוכן שקית נוספת שבתוכה 900 כדורי 5.56 מ"מ, כל זאת תמורת 19,000 ₪ במזומן, אשר העביר הסוכן לידי הנאשם. </w:t>
      </w:r>
    </w:p>
    <w:p w14:paraId="3844B937" w14:textId="77777777" w:rsidR="008942F9" w:rsidRDefault="008942F9" w:rsidP="008942F9">
      <w:pPr>
        <w:spacing w:line="360" w:lineRule="auto"/>
        <w:jc w:val="both"/>
        <w:rPr>
          <w:rFonts w:ascii="Arial" w:hAnsi="Arial"/>
          <w:sz w:val="28"/>
          <w:rtl/>
        </w:rPr>
      </w:pPr>
      <w:r w:rsidRPr="001E3304">
        <w:rPr>
          <w:rFonts w:ascii="Arial" w:hAnsi="Arial"/>
          <w:sz w:val="28"/>
          <w:rtl/>
        </w:rPr>
        <w:t xml:space="preserve">בסיום הפגישה שאל הנאשם את הסוכן אם הוא מעוניין לרכוש נשק נוסף. הסוכן השיב כי הוא מעוניין לרכוש אקדח, והנאשם אמר לו כי בפעם הבאה "יסדר" עבורו אקדח ותחמושת תואמת. </w:t>
      </w:r>
    </w:p>
    <w:p w14:paraId="3F824B2C" w14:textId="77777777" w:rsidR="008942F9" w:rsidRDefault="008942F9" w:rsidP="008942F9">
      <w:pPr>
        <w:spacing w:line="360" w:lineRule="auto"/>
        <w:jc w:val="both"/>
        <w:rPr>
          <w:rFonts w:ascii="Arial" w:hAnsi="Arial"/>
          <w:sz w:val="28"/>
          <w:rtl/>
        </w:rPr>
      </w:pPr>
    </w:p>
    <w:p w14:paraId="048AA8CF" w14:textId="77777777" w:rsidR="008942F9" w:rsidRPr="001E3304" w:rsidRDefault="008942F9" w:rsidP="008942F9">
      <w:pPr>
        <w:spacing w:line="360" w:lineRule="auto"/>
        <w:jc w:val="both"/>
        <w:rPr>
          <w:rFonts w:ascii="Arial" w:hAnsi="Arial"/>
          <w:sz w:val="28"/>
          <w:rtl/>
        </w:rPr>
      </w:pPr>
      <w:r>
        <w:rPr>
          <w:rFonts w:ascii="Arial" w:hAnsi="Arial" w:hint="cs"/>
          <w:sz w:val="28"/>
          <w:rtl/>
        </w:rPr>
        <w:t xml:space="preserve">3. </w:t>
      </w:r>
      <w:r>
        <w:rPr>
          <w:rFonts w:ascii="Arial" w:hAnsi="Arial" w:hint="cs"/>
          <w:sz w:val="28"/>
          <w:rtl/>
        </w:rPr>
        <w:tab/>
        <w:t xml:space="preserve">הסדר הטיעון לא כלל הסכמה לעניין העונש, אך במועד הטיעונים לעונש, הודיעו הצדדים כי מוסכם עליהם שעונשו של הנאשם ייגזר בתחתית מתחם העונש ההולם, שייקבע על ידי בית המשפט. </w:t>
      </w:r>
    </w:p>
    <w:p w14:paraId="567ACE29" w14:textId="77777777" w:rsidR="008942F9" w:rsidRPr="001E3304" w:rsidRDefault="008942F9" w:rsidP="008942F9">
      <w:pPr>
        <w:spacing w:line="360" w:lineRule="auto"/>
        <w:jc w:val="both"/>
        <w:rPr>
          <w:rFonts w:ascii="Arial" w:hAnsi="Arial"/>
          <w:sz w:val="28"/>
          <w:rtl/>
        </w:rPr>
      </w:pPr>
    </w:p>
    <w:p w14:paraId="4043E73E" w14:textId="77777777" w:rsidR="008942F9" w:rsidRPr="001E3304" w:rsidRDefault="008942F9" w:rsidP="008942F9">
      <w:pPr>
        <w:spacing w:line="360" w:lineRule="auto"/>
        <w:jc w:val="both"/>
        <w:rPr>
          <w:rFonts w:ascii="Arial" w:hAnsi="Arial"/>
          <w:b/>
          <w:bCs/>
          <w:sz w:val="28"/>
          <w:u w:val="single"/>
          <w:rtl/>
        </w:rPr>
      </w:pPr>
      <w:r w:rsidRPr="001E3304">
        <w:rPr>
          <w:rFonts w:ascii="Arial" w:hAnsi="Arial"/>
          <w:b/>
          <w:bCs/>
          <w:sz w:val="28"/>
          <w:u w:val="single"/>
          <w:rtl/>
        </w:rPr>
        <w:t>תסקיר שירות המבחן</w:t>
      </w:r>
    </w:p>
    <w:p w14:paraId="080B0207" w14:textId="77777777" w:rsidR="008942F9" w:rsidRPr="001E3304" w:rsidRDefault="008942F9" w:rsidP="008942F9">
      <w:pPr>
        <w:spacing w:line="360" w:lineRule="auto"/>
        <w:jc w:val="both"/>
        <w:rPr>
          <w:rFonts w:ascii="Arial" w:hAnsi="Arial"/>
          <w:sz w:val="28"/>
          <w:rtl/>
        </w:rPr>
      </w:pPr>
    </w:p>
    <w:p w14:paraId="29598B7B" w14:textId="77777777" w:rsidR="008942F9" w:rsidRPr="001E3304" w:rsidRDefault="008942F9" w:rsidP="008942F9">
      <w:pPr>
        <w:spacing w:line="360" w:lineRule="auto"/>
        <w:jc w:val="both"/>
        <w:rPr>
          <w:rFonts w:ascii="Arial" w:hAnsi="Arial"/>
          <w:sz w:val="28"/>
          <w:rtl/>
        </w:rPr>
      </w:pPr>
      <w:r>
        <w:rPr>
          <w:rFonts w:ascii="Arial" w:hAnsi="Arial" w:hint="cs"/>
          <w:sz w:val="28"/>
          <w:rtl/>
        </w:rPr>
        <w:lastRenderedPageBreak/>
        <w:t>4</w:t>
      </w:r>
      <w:r w:rsidRPr="001E3304">
        <w:rPr>
          <w:rFonts w:ascii="Arial" w:hAnsi="Arial"/>
          <w:sz w:val="28"/>
          <w:rtl/>
        </w:rPr>
        <w:t xml:space="preserve">. </w:t>
      </w:r>
      <w:r w:rsidRPr="001E3304">
        <w:rPr>
          <w:rFonts w:ascii="Arial" w:hAnsi="Arial"/>
          <w:sz w:val="28"/>
          <w:rtl/>
        </w:rPr>
        <w:tab/>
        <w:t xml:space="preserve">על פי האמור בתסקיר מיום 30.12.2019, הנאשם בן 40, נשוי ואב לשלושה ילדים. טרם מעצרו התגורר בכפר עקב ועבד באופן לא קבוע בשיפוצים. </w:t>
      </w:r>
    </w:p>
    <w:p w14:paraId="6B48A55A" w14:textId="77777777" w:rsidR="008942F9" w:rsidRPr="001E3304" w:rsidRDefault="008942F9" w:rsidP="008942F9">
      <w:pPr>
        <w:spacing w:line="360" w:lineRule="auto"/>
        <w:jc w:val="both"/>
        <w:rPr>
          <w:rFonts w:ascii="Arial" w:hAnsi="Arial"/>
          <w:sz w:val="28"/>
          <w:rtl/>
        </w:rPr>
      </w:pPr>
      <w:r w:rsidRPr="001E3304">
        <w:rPr>
          <w:rFonts w:ascii="Arial" w:hAnsi="Arial"/>
          <w:sz w:val="28"/>
          <w:rtl/>
        </w:rPr>
        <w:t xml:space="preserve">בתסקיר התייחסות למשפחת המוצא של הנאשם. לגבי הנאשם צוין כי עזב את הלימודים בהיותו בכיתה ו', וכי אינו יודע קרוא וכתוב. בהמשך השתלב הנאשם במסגרת העבודה. הנאשם התמודד לאורך השנים עם קשיים כלכליים. כיום מתקשה אשתו לכלכל את המשפחה ויש מחסור בדברים בסיסיים בבית, מאחר שהנאשם עצור ואשתו איננה עובדת מחוץ לבית. </w:t>
      </w:r>
    </w:p>
    <w:p w14:paraId="5CFC6C53" w14:textId="77777777" w:rsidR="008942F9" w:rsidRPr="001E3304" w:rsidRDefault="008942F9" w:rsidP="008942F9">
      <w:pPr>
        <w:spacing w:line="360" w:lineRule="auto"/>
        <w:jc w:val="both"/>
        <w:rPr>
          <w:rFonts w:ascii="Arial" w:hAnsi="Arial"/>
          <w:sz w:val="28"/>
          <w:rtl/>
        </w:rPr>
      </w:pPr>
      <w:r w:rsidRPr="001E3304">
        <w:rPr>
          <w:rFonts w:ascii="Arial" w:hAnsi="Arial"/>
          <w:sz w:val="28"/>
          <w:rtl/>
        </w:rPr>
        <w:t xml:space="preserve">הנאשם שיתף כי חווה משבר כאשר לפני חמש שנים נהרג בנו בתאונת דרכים. </w:t>
      </w:r>
    </w:p>
    <w:p w14:paraId="5AD48517" w14:textId="77777777" w:rsidR="008942F9" w:rsidRPr="001E3304" w:rsidRDefault="008942F9" w:rsidP="008942F9">
      <w:pPr>
        <w:spacing w:line="360" w:lineRule="auto"/>
        <w:jc w:val="both"/>
        <w:rPr>
          <w:rFonts w:ascii="Arial" w:hAnsi="Arial"/>
          <w:sz w:val="28"/>
          <w:rtl/>
        </w:rPr>
      </w:pPr>
      <w:r w:rsidRPr="001E3304">
        <w:rPr>
          <w:rFonts w:ascii="Arial" w:hAnsi="Arial"/>
          <w:sz w:val="28"/>
          <w:rtl/>
        </w:rPr>
        <w:t xml:space="preserve">שירות המבחן התרשם כי הנאשם חווה משבר, בהיותו במעצר לראשונה בחייו, רחוק מביתו, ובחוסר וודאות לגבי עתידו מבחינה משפטית. </w:t>
      </w:r>
    </w:p>
    <w:p w14:paraId="2602B480" w14:textId="77777777" w:rsidR="008942F9" w:rsidRPr="001E3304" w:rsidRDefault="008942F9" w:rsidP="008942F9">
      <w:pPr>
        <w:spacing w:line="360" w:lineRule="auto"/>
        <w:jc w:val="both"/>
        <w:rPr>
          <w:rFonts w:ascii="Arial" w:hAnsi="Arial"/>
          <w:sz w:val="28"/>
          <w:rtl/>
        </w:rPr>
      </w:pPr>
      <w:r w:rsidRPr="001E3304">
        <w:rPr>
          <w:rFonts w:ascii="Arial" w:hAnsi="Arial"/>
          <w:sz w:val="28"/>
          <w:rtl/>
        </w:rPr>
        <w:t xml:space="preserve">הנאשם נעדר עבר פלילי. לגבי העבירות, הנאשם טען לפני שירות המבחן כי מצא את הנשק ברחוב, לקח אותו לביתו ולאחר מכן החליט למכור אותו, כדי לא לסכן את משפחתו. הנאשם טשטש את מעשיו ומזער את חומרתם, הוא שלל כל כוונה לקבלת רווח כספי מהעסקה המתוארת בכתב האישום, ושלל מניעים עברייניים או תכנון מוקדם. שירות המבחן התרשם כי הנאשם מתקשה להציב גבולות לעצמו ונוטה לפעול גם בדרכים בעלות מאפיינים עברייניים. התנהלותו משקפת קושי לפעול בתוך גבולות ברורים. הנאשם לוקח אחריות חלקית בלבד על מעשיו. מנגד, שירות המבחן התרשם כי אין לנאשם דפוסים עברייניים מושרשים והוא מגלה אחריות ומסירות למשפחתו. </w:t>
      </w:r>
    </w:p>
    <w:p w14:paraId="50D3509D" w14:textId="77777777" w:rsidR="008942F9" w:rsidRPr="001E3304" w:rsidRDefault="008942F9" w:rsidP="008942F9">
      <w:pPr>
        <w:spacing w:line="360" w:lineRule="auto"/>
        <w:jc w:val="both"/>
        <w:rPr>
          <w:rFonts w:ascii="Arial" w:hAnsi="Arial"/>
          <w:sz w:val="28"/>
          <w:rtl/>
        </w:rPr>
      </w:pPr>
      <w:r w:rsidRPr="001E3304">
        <w:rPr>
          <w:rFonts w:ascii="Arial" w:hAnsi="Arial"/>
          <w:sz w:val="28"/>
          <w:rtl/>
        </w:rPr>
        <w:t xml:space="preserve">בשל אופי העבירה והשלכותיה האפשריות, ומאחר שהנאשם אינו לוקח אחריות מלאה למעשיו, לא בא שירות המבחן בהמלצה בעניינו. </w:t>
      </w:r>
    </w:p>
    <w:p w14:paraId="55C88720" w14:textId="77777777" w:rsidR="008942F9" w:rsidRPr="001E3304" w:rsidRDefault="008942F9" w:rsidP="008942F9">
      <w:pPr>
        <w:spacing w:line="360" w:lineRule="auto"/>
        <w:jc w:val="both"/>
        <w:rPr>
          <w:rFonts w:ascii="Arial" w:hAnsi="Arial"/>
          <w:sz w:val="28"/>
          <w:rtl/>
        </w:rPr>
      </w:pPr>
    </w:p>
    <w:p w14:paraId="08F4CCA4" w14:textId="77777777" w:rsidR="008942F9" w:rsidRPr="001E3304" w:rsidRDefault="008942F9" w:rsidP="008942F9">
      <w:pPr>
        <w:spacing w:line="360" w:lineRule="auto"/>
        <w:jc w:val="both"/>
        <w:rPr>
          <w:rFonts w:ascii="Arial" w:hAnsi="Arial"/>
          <w:b/>
          <w:bCs/>
          <w:sz w:val="28"/>
          <w:rtl/>
        </w:rPr>
      </w:pPr>
      <w:r w:rsidRPr="001E3304">
        <w:rPr>
          <w:rFonts w:ascii="Arial" w:hAnsi="Arial"/>
          <w:b/>
          <w:bCs/>
          <w:sz w:val="28"/>
          <w:u w:val="single"/>
          <w:rtl/>
        </w:rPr>
        <w:t>טיעוני הצדדים לעונש</w:t>
      </w:r>
    </w:p>
    <w:p w14:paraId="325B6647" w14:textId="77777777" w:rsidR="008942F9" w:rsidRPr="001E3304" w:rsidRDefault="008942F9" w:rsidP="008942F9">
      <w:pPr>
        <w:spacing w:line="360" w:lineRule="auto"/>
        <w:jc w:val="both"/>
        <w:rPr>
          <w:rFonts w:ascii="Arial" w:hAnsi="Arial"/>
          <w:sz w:val="28"/>
          <w:rtl/>
        </w:rPr>
      </w:pPr>
    </w:p>
    <w:p w14:paraId="776F7C32" w14:textId="77777777" w:rsidR="008942F9" w:rsidRPr="001E3304" w:rsidRDefault="008942F9" w:rsidP="008942F9">
      <w:pPr>
        <w:spacing w:line="360" w:lineRule="auto"/>
        <w:jc w:val="both"/>
        <w:rPr>
          <w:rFonts w:ascii="Arial" w:hAnsi="Arial"/>
          <w:sz w:val="28"/>
          <w:rtl/>
        </w:rPr>
      </w:pPr>
      <w:r>
        <w:rPr>
          <w:rFonts w:ascii="Arial" w:hAnsi="Arial" w:hint="cs"/>
          <w:sz w:val="28"/>
          <w:rtl/>
        </w:rPr>
        <w:t>5</w:t>
      </w:r>
      <w:r w:rsidRPr="001E3304">
        <w:rPr>
          <w:rFonts w:ascii="Arial" w:hAnsi="Arial"/>
          <w:sz w:val="28"/>
          <w:rtl/>
        </w:rPr>
        <w:t xml:space="preserve">.  </w:t>
      </w:r>
      <w:r>
        <w:rPr>
          <w:rFonts w:ascii="Arial" w:hAnsi="Arial"/>
          <w:sz w:val="28"/>
          <w:rtl/>
        </w:rPr>
        <w:tab/>
      </w:r>
      <w:r w:rsidRPr="001E3304">
        <w:rPr>
          <w:rFonts w:ascii="Arial" w:hAnsi="Arial"/>
          <w:sz w:val="28"/>
          <w:rtl/>
        </w:rPr>
        <w:t xml:space="preserve">ב"כ המאשימה התייחסה בטיעוניה לעבירות בהן הורשע הנאשם, סחר בנשק מסוג קרלו ותחמושת מתאימה, וניסיון לסחר בנשק. לדבריה, מדובר בכמות גדולה של תחמושת. </w:t>
      </w:r>
    </w:p>
    <w:p w14:paraId="0AFC722B" w14:textId="77777777" w:rsidR="008942F9" w:rsidRPr="001E3304" w:rsidRDefault="008942F9" w:rsidP="008942F9">
      <w:pPr>
        <w:spacing w:line="360" w:lineRule="auto"/>
        <w:jc w:val="both"/>
        <w:rPr>
          <w:rFonts w:ascii="Arial" w:hAnsi="Arial"/>
          <w:sz w:val="28"/>
          <w:rtl/>
        </w:rPr>
      </w:pPr>
      <w:r w:rsidRPr="001E3304">
        <w:rPr>
          <w:rFonts w:ascii="Arial" w:hAnsi="Arial"/>
          <w:sz w:val="28"/>
          <w:rtl/>
        </w:rPr>
        <w:t xml:space="preserve">לגבי הערכים המוגנים טענה כי מדובר בהגנה על בטחון הציבור ושמירה על שלמות הגוף. </w:t>
      </w:r>
    </w:p>
    <w:p w14:paraId="11B49398" w14:textId="77777777" w:rsidR="008942F9" w:rsidRPr="001E3304" w:rsidRDefault="008942F9" w:rsidP="008942F9">
      <w:pPr>
        <w:spacing w:line="360" w:lineRule="auto"/>
        <w:jc w:val="both"/>
        <w:rPr>
          <w:rFonts w:ascii="Arial" w:hAnsi="Arial"/>
          <w:sz w:val="28"/>
          <w:rtl/>
        </w:rPr>
      </w:pPr>
      <w:r w:rsidRPr="001E3304">
        <w:rPr>
          <w:rFonts w:ascii="Arial" w:hAnsi="Arial"/>
          <w:sz w:val="28"/>
          <w:rtl/>
        </w:rPr>
        <w:t xml:space="preserve">לדברי ב"כ המאשימה, בית המשפט העליון התייחס לחומרה שבעבירות הקשורות בנשק, ולכך שכאשר נשק מגיב לידיים לא מורשות, לא ניתן לדעת מה יהיה בסופו. במקרה זה לא מדובר רק בהחזקת נשק אלא בסחר בנשק, כאשר הנאשם לא ידע מי הקונה. לדבריה "במזל" היה זה סוכן משטרתי, אך באותה מידה יכול היה הנשק להימכר לגורמים עברייניים או טרוריסטים. </w:t>
      </w:r>
    </w:p>
    <w:p w14:paraId="578EFBFE" w14:textId="77777777" w:rsidR="008942F9" w:rsidRPr="001E3304" w:rsidRDefault="008942F9" w:rsidP="008942F9">
      <w:pPr>
        <w:spacing w:line="360" w:lineRule="auto"/>
        <w:jc w:val="both"/>
        <w:rPr>
          <w:rFonts w:ascii="Arial" w:hAnsi="Arial"/>
          <w:sz w:val="28"/>
          <w:rtl/>
        </w:rPr>
      </w:pPr>
      <w:r w:rsidRPr="001E3304">
        <w:rPr>
          <w:rFonts w:ascii="Arial" w:hAnsi="Arial"/>
          <w:sz w:val="28"/>
          <w:rtl/>
        </w:rPr>
        <w:t xml:space="preserve">לגבי נסיבות ביצוע העבירה, ציינה כי לא מדובר באירוע ספונטני אלא במעשה מתוכנן; בקשר מתמשך בין הנאשם לסוכן; בתכנון מדוקדק של פרטי מכירת הנשק. </w:t>
      </w:r>
    </w:p>
    <w:p w14:paraId="23662DF2" w14:textId="77777777" w:rsidR="008942F9" w:rsidRPr="001E3304" w:rsidRDefault="008942F9" w:rsidP="008942F9">
      <w:pPr>
        <w:spacing w:line="360" w:lineRule="auto"/>
        <w:jc w:val="both"/>
        <w:rPr>
          <w:rFonts w:ascii="Arial" w:hAnsi="Arial"/>
          <w:sz w:val="28"/>
          <w:rtl/>
        </w:rPr>
      </w:pPr>
      <w:r w:rsidRPr="001E3304">
        <w:rPr>
          <w:rFonts w:ascii="Arial" w:hAnsi="Arial"/>
          <w:sz w:val="28"/>
          <w:rtl/>
        </w:rPr>
        <w:t xml:space="preserve">חלקו של הנאשם בעבירה מרכזי – הוא העבריין המרכזי, הוא יזם את העסקאות עם הסוכן, הוא הציע לסוכן כלי נשק נוספים, והוא זה שהעביר את הנשק וקיבל תמורה כספית עבורו. לדבריה, מעובדות כתב האישום ניתן ללמוד שלנאשם הייתה גישה לכלי נשק נוספים ומסוגים שונים, כמו גם תחמושת, אותם הציע לסוכן, ומכאן שלא מדובר במעשה חד פעמי. </w:t>
      </w:r>
    </w:p>
    <w:p w14:paraId="21FD5B42" w14:textId="77777777" w:rsidR="008942F9" w:rsidRPr="001E3304" w:rsidRDefault="008942F9" w:rsidP="008942F9">
      <w:pPr>
        <w:spacing w:line="360" w:lineRule="auto"/>
        <w:jc w:val="both"/>
        <w:rPr>
          <w:rFonts w:ascii="Arial" w:hAnsi="Arial"/>
          <w:sz w:val="28"/>
          <w:rtl/>
        </w:rPr>
      </w:pPr>
      <w:r w:rsidRPr="001E3304">
        <w:rPr>
          <w:rFonts w:ascii="Arial" w:hAnsi="Arial"/>
          <w:sz w:val="28"/>
          <w:rtl/>
        </w:rPr>
        <w:t xml:space="preserve">לסחר בנשק נוספה העבירה של ניסיון לסחר בנשק, ניסיון שהגיע כמעט לכדי מימוש. מדובר בניסיון למכור נשק מסוג קרלו וארגז תחמושת. </w:t>
      </w:r>
    </w:p>
    <w:p w14:paraId="0FA2AB40" w14:textId="77777777" w:rsidR="008942F9" w:rsidRPr="001E3304" w:rsidRDefault="008942F9" w:rsidP="008942F9">
      <w:pPr>
        <w:spacing w:line="360" w:lineRule="auto"/>
        <w:jc w:val="both"/>
        <w:rPr>
          <w:rFonts w:ascii="Arial" w:hAnsi="Arial"/>
          <w:sz w:val="28"/>
          <w:rtl/>
        </w:rPr>
      </w:pPr>
      <w:r w:rsidRPr="001E3304">
        <w:rPr>
          <w:rFonts w:ascii="Arial" w:hAnsi="Arial"/>
          <w:sz w:val="28"/>
          <w:rtl/>
        </w:rPr>
        <w:t xml:space="preserve">לטענת ב"כ המאשימה, מתחם העונש ההולם לשני האישומים נע בין ארבע לשמונה שנות מאסר בפועל, בנוסף למאסר על תנאי וקנס. </w:t>
      </w:r>
    </w:p>
    <w:p w14:paraId="6E907988" w14:textId="77777777" w:rsidR="008942F9" w:rsidRPr="001E3304" w:rsidRDefault="008942F9" w:rsidP="008942F9">
      <w:pPr>
        <w:spacing w:line="360" w:lineRule="auto"/>
        <w:jc w:val="both"/>
        <w:rPr>
          <w:rFonts w:ascii="Arial" w:hAnsi="Arial"/>
          <w:sz w:val="28"/>
          <w:rtl/>
        </w:rPr>
      </w:pPr>
      <w:r w:rsidRPr="001E3304">
        <w:rPr>
          <w:rFonts w:ascii="Arial" w:hAnsi="Arial"/>
          <w:sz w:val="28"/>
          <w:rtl/>
        </w:rPr>
        <w:t xml:space="preserve">לגבי העונש בתוך המתחם, התייחסה לאמור בתסקיר שירות המבחן, אשר לא בא בהמלצה. לזכותו של הנאשם ציינה את הודאתו, את החיסכון בזמן שיפוטי, והעדר הרשעות קודמות. לפיכך ביקשה למקם את הנאשם בתחתית המתחם, ולגזור עליו מאסר בפועל למשך ארבע שנים, מאסר על תנאי וקנס. </w:t>
      </w:r>
    </w:p>
    <w:p w14:paraId="37935AF5" w14:textId="77777777" w:rsidR="008942F9" w:rsidRPr="001E3304" w:rsidRDefault="008942F9" w:rsidP="008942F9">
      <w:pPr>
        <w:spacing w:line="360" w:lineRule="auto"/>
        <w:jc w:val="both"/>
        <w:rPr>
          <w:rFonts w:ascii="Arial" w:hAnsi="Arial"/>
          <w:sz w:val="28"/>
          <w:rtl/>
        </w:rPr>
      </w:pPr>
    </w:p>
    <w:p w14:paraId="2B1528EB" w14:textId="77777777" w:rsidR="008942F9" w:rsidRPr="001E3304" w:rsidRDefault="008942F9" w:rsidP="008942F9">
      <w:pPr>
        <w:spacing w:line="360" w:lineRule="auto"/>
        <w:jc w:val="both"/>
        <w:rPr>
          <w:rFonts w:ascii="Arial" w:hAnsi="Arial"/>
          <w:sz w:val="28"/>
          <w:rtl/>
        </w:rPr>
      </w:pPr>
      <w:r>
        <w:rPr>
          <w:rFonts w:ascii="Arial" w:hAnsi="Arial" w:hint="cs"/>
          <w:sz w:val="28"/>
          <w:rtl/>
        </w:rPr>
        <w:t>6</w:t>
      </w:r>
      <w:r w:rsidRPr="001E3304">
        <w:rPr>
          <w:rFonts w:ascii="Arial" w:hAnsi="Arial"/>
          <w:sz w:val="28"/>
          <w:rtl/>
        </w:rPr>
        <w:t xml:space="preserve">. </w:t>
      </w:r>
      <w:r w:rsidRPr="001E3304">
        <w:rPr>
          <w:rFonts w:ascii="Arial" w:hAnsi="Arial"/>
          <w:sz w:val="28"/>
          <w:rtl/>
        </w:rPr>
        <w:tab/>
        <w:t xml:space="preserve">ב"כ הנאשם התייחס בטיעוניו להודאתו של הנאשם. כן ציין לגבי מעשיו של הנאשם, כי מדובר במעשים שנעשו על פני תקופה של חודש ימים, מול אותו סוכן, וכי הייתה המשכיות בביצוע המעשים, אותם ניתן לראות כאירוע אחד גדול שנחלק לשניים. לדבריו, העיסקה נועדה למכור לסוכן נשק מסוג קרלו. חלקה הראשון של העסקה לא יצא אל הפועל, כאשר האדם האחר, שאמור היה להביא את הנשק, לא הגיע, ולאחר זמן מה הצליח הנאשם להשיג קרלו ותחמושת עבור הסוכן. </w:t>
      </w:r>
    </w:p>
    <w:p w14:paraId="65CF96E3" w14:textId="77777777" w:rsidR="008942F9" w:rsidRPr="001E3304" w:rsidRDefault="008942F9" w:rsidP="008942F9">
      <w:pPr>
        <w:spacing w:line="360" w:lineRule="auto"/>
        <w:jc w:val="both"/>
        <w:rPr>
          <w:rFonts w:ascii="Arial" w:hAnsi="Arial"/>
          <w:sz w:val="28"/>
          <w:rtl/>
        </w:rPr>
      </w:pPr>
      <w:r w:rsidRPr="001E3304">
        <w:rPr>
          <w:rFonts w:ascii="Arial" w:hAnsi="Arial"/>
          <w:sz w:val="28"/>
          <w:rtl/>
        </w:rPr>
        <w:t xml:space="preserve">לטענת ב"כ הנאשם, נסיבות ביצוע העבירה פועלות לטובתו של הנאשם. לדבריו, בסופו של דבר לא נגרם נזק כתוצאה ממעשיו של הנאשם. הנשק נמכר לסוכן שהוא זה שמלכתחילה פנה אל הנאשם. אמנם הנאשם פעל לבדו מול הסוכן ולא היו מעורבים נוספים, אך הנאשם היה בקשר עם אדם אחר להשגת הקרלו, ולאחר שנמסר לו שהקרלו מקולקל, העסקה לא יצאה אל הפועל. לנאשם אין מאגר נשק אותו הוא מוכר, הוא פועל באמצעות אחרים, תמורת רווח כספי מסוים. לכל אחד ב"שרשרת" תרומה משלו. במקרה זה לא מדובר בסוחר שברשותו ארסנל נשק. </w:t>
      </w:r>
    </w:p>
    <w:p w14:paraId="67DC624C" w14:textId="77777777" w:rsidR="008942F9" w:rsidRPr="001E3304" w:rsidRDefault="008942F9" w:rsidP="008942F9">
      <w:pPr>
        <w:spacing w:line="360" w:lineRule="auto"/>
        <w:jc w:val="both"/>
        <w:rPr>
          <w:rFonts w:ascii="Arial" w:hAnsi="Arial"/>
          <w:sz w:val="28"/>
          <w:rtl/>
        </w:rPr>
      </w:pPr>
      <w:r w:rsidRPr="001E3304">
        <w:rPr>
          <w:rFonts w:ascii="Arial" w:hAnsi="Arial"/>
          <w:sz w:val="28"/>
          <w:rtl/>
        </w:rPr>
        <w:t xml:space="preserve">לגבי הערכים המוגנים, טען כי הללו ידועים, וכפי שטענה המאשימה, ישנה מגמה של החמרה בענישה בעבירות הקשורות בנשק. אולם לפני העלאת רף הענישה, הייתה הענישה נמוכה בהרבה. </w:t>
      </w:r>
    </w:p>
    <w:p w14:paraId="0CB3E3AA" w14:textId="77777777" w:rsidR="008942F9" w:rsidRPr="001E3304" w:rsidRDefault="008942F9" w:rsidP="008942F9">
      <w:pPr>
        <w:spacing w:line="360" w:lineRule="auto"/>
        <w:jc w:val="both"/>
        <w:rPr>
          <w:rFonts w:ascii="Arial" w:hAnsi="Arial"/>
          <w:sz w:val="28"/>
          <w:rtl/>
        </w:rPr>
      </w:pPr>
      <w:r w:rsidRPr="001E3304">
        <w:rPr>
          <w:rFonts w:ascii="Arial" w:hAnsi="Arial"/>
          <w:sz w:val="28"/>
          <w:rtl/>
        </w:rPr>
        <w:t xml:space="preserve">ב"כ הנאשם טען כי הפסיקה שהגישה המאשימה איננה תומכת בעמדת המאשימה, והפנה לפסיקה נוספת. לטענת ב"כ הנאשם, בהתאם לפסיקה הנוהגת, יש להעמיד את מתחם העונש ההולם על מאסר בפועל  לתקופה שבין שנתיים לארבע/חמש שנים או לכל היותר בין 30 ל- 70 חודשי מאסר בפועל. </w:t>
      </w:r>
    </w:p>
    <w:p w14:paraId="6C31B35E" w14:textId="77777777" w:rsidR="008942F9" w:rsidRPr="001E3304" w:rsidRDefault="008942F9" w:rsidP="008942F9">
      <w:pPr>
        <w:spacing w:line="360" w:lineRule="auto"/>
        <w:jc w:val="both"/>
        <w:rPr>
          <w:rFonts w:ascii="Arial" w:hAnsi="Arial"/>
          <w:sz w:val="28"/>
          <w:rtl/>
        </w:rPr>
      </w:pPr>
      <w:r w:rsidRPr="001E3304">
        <w:rPr>
          <w:rFonts w:ascii="Arial" w:hAnsi="Arial"/>
          <w:sz w:val="28"/>
          <w:rtl/>
        </w:rPr>
        <w:t xml:space="preserve">לגבי העונש בתוך המתחם, טען ב"כ הנאשם כי אין מחלוקת על כך שיש למקם את הנאשם בתחתית המתחם. לדבריו לעונש השפעה על אשתו וילדיו של הנאשם. הנאשם נקלע למצב כלכלי קשה ועשה טעות שיצטרך לתת עליה את הדין. ב"כ הנאשם ביקש לנהוג בנאשם במידת הרחמים, כך שהעונש יבהיר לו את חומרת העבירה, אך לא יפגע בו ובמשפחתו יתר על המידה. </w:t>
      </w:r>
    </w:p>
    <w:p w14:paraId="49BB0958" w14:textId="77777777" w:rsidR="008942F9" w:rsidRPr="001E3304" w:rsidRDefault="008942F9" w:rsidP="008942F9">
      <w:pPr>
        <w:spacing w:line="360" w:lineRule="auto"/>
        <w:jc w:val="both"/>
        <w:rPr>
          <w:rFonts w:ascii="Arial" w:hAnsi="Arial"/>
          <w:sz w:val="28"/>
          <w:rtl/>
        </w:rPr>
      </w:pPr>
    </w:p>
    <w:p w14:paraId="276259E6" w14:textId="77777777" w:rsidR="008942F9" w:rsidRPr="001E3304" w:rsidRDefault="008942F9" w:rsidP="008942F9">
      <w:pPr>
        <w:spacing w:line="360" w:lineRule="auto"/>
        <w:jc w:val="both"/>
        <w:rPr>
          <w:rFonts w:ascii="Arial" w:hAnsi="Arial"/>
          <w:sz w:val="28"/>
          <w:rtl/>
        </w:rPr>
      </w:pPr>
      <w:r>
        <w:rPr>
          <w:rFonts w:ascii="Arial" w:hAnsi="Arial" w:hint="cs"/>
          <w:sz w:val="28"/>
          <w:rtl/>
        </w:rPr>
        <w:t>7</w:t>
      </w:r>
      <w:r w:rsidRPr="001E3304">
        <w:rPr>
          <w:rFonts w:ascii="Arial" w:hAnsi="Arial"/>
          <w:sz w:val="28"/>
          <w:rtl/>
        </w:rPr>
        <w:t xml:space="preserve">. </w:t>
      </w:r>
      <w:r w:rsidRPr="001E3304">
        <w:rPr>
          <w:rFonts w:ascii="Arial" w:hAnsi="Arial"/>
          <w:sz w:val="28"/>
          <w:rtl/>
        </w:rPr>
        <w:tab/>
        <w:t xml:space="preserve">הנאשם ציין כי הוא מצטער. לדבריו הוא לראשונה במעצר, ולמד את הלקח מהכלא. לדברי הנאשם עליו לדאוג למשפחתו, הוא מצטער ומבקש את רחמי בית המשפט. </w:t>
      </w:r>
    </w:p>
    <w:p w14:paraId="031F99BC" w14:textId="77777777" w:rsidR="008942F9" w:rsidRDefault="008942F9" w:rsidP="008942F9">
      <w:pPr>
        <w:spacing w:line="360" w:lineRule="auto"/>
        <w:jc w:val="both"/>
        <w:rPr>
          <w:rFonts w:ascii="Arial" w:hAnsi="Arial"/>
          <w:sz w:val="28"/>
          <w:rtl/>
        </w:rPr>
      </w:pPr>
    </w:p>
    <w:p w14:paraId="6E597838" w14:textId="77777777" w:rsidR="008942F9" w:rsidRDefault="008942F9" w:rsidP="008942F9">
      <w:pPr>
        <w:spacing w:line="360" w:lineRule="auto"/>
        <w:jc w:val="both"/>
        <w:rPr>
          <w:rFonts w:ascii="Arial" w:hAnsi="Arial"/>
          <w:b/>
          <w:bCs/>
          <w:sz w:val="28"/>
          <w:u w:val="single"/>
          <w:rtl/>
        </w:rPr>
      </w:pPr>
      <w:r w:rsidRPr="001E3304">
        <w:rPr>
          <w:rFonts w:ascii="Arial" w:hAnsi="Arial"/>
          <w:b/>
          <w:bCs/>
          <w:sz w:val="28"/>
          <w:u w:val="single"/>
          <w:rtl/>
        </w:rPr>
        <w:t xml:space="preserve">מתחם העונש ההולם </w:t>
      </w:r>
    </w:p>
    <w:p w14:paraId="7965DBA7" w14:textId="77777777" w:rsidR="008942F9" w:rsidRPr="001E3304" w:rsidRDefault="008942F9" w:rsidP="008942F9">
      <w:pPr>
        <w:spacing w:line="360" w:lineRule="auto"/>
        <w:jc w:val="both"/>
        <w:rPr>
          <w:rFonts w:ascii="Arial" w:hAnsi="Arial"/>
          <w:b/>
          <w:bCs/>
          <w:sz w:val="28"/>
          <w:u w:val="single"/>
          <w:rtl/>
        </w:rPr>
      </w:pPr>
    </w:p>
    <w:p w14:paraId="53A88862" w14:textId="77777777" w:rsidR="008942F9" w:rsidRPr="001E3304" w:rsidRDefault="008942F9" w:rsidP="008942F9">
      <w:pPr>
        <w:spacing w:line="360" w:lineRule="auto"/>
        <w:jc w:val="both"/>
        <w:rPr>
          <w:rFonts w:ascii="Arial" w:hAnsi="Arial"/>
          <w:sz w:val="28"/>
          <w:rtl/>
        </w:rPr>
      </w:pPr>
      <w:r>
        <w:rPr>
          <w:rFonts w:ascii="Arial" w:hAnsi="Arial" w:hint="cs"/>
          <w:sz w:val="28"/>
          <w:rtl/>
        </w:rPr>
        <w:t>8</w:t>
      </w:r>
      <w:r w:rsidRPr="001E3304">
        <w:rPr>
          <w:rFonts w:ascii="Arial" w:hAnsi="Arial"/>
          <w:sz w:val="28"/>
          <w:rtl/>
        </w:rPr>
        <w:t xml:space="preserve">.  </w:t>
      </w:r>
      <w:r w:rsidRPr="001E3304">
        <w:rPr>
          <w:rFonts w:ascii="Arial" w:hAnsi="Arial"/>
          <w:sz w:val="28"/>
          <w:rtl/>
        </w:rPr>
        <w:tab/>
        <w:t>בהתאם לתיקון 113 ל</w:t>
      </w:r>
      <w:hyperlink r:id="rId15" w:history="1">
        <w:r w:rsidR="007D3F58" w:rsidRPr="007D3F58">
          <w:rPr>
            <w:rFonts w:ascii="Arial" w:hAnsi="Arial"/>
            <w:color w:val="0000FF"/>
            <w:sz w:val="28"/>
            <w:u w:val="single"/>
            <w:rtl/>
          </w:rPr>
          <w:t>חוק העונשין</w:t>
        </w:r>
      </w:hyperlink>
      <w:r w:rsidRPr="001E3304">
        <w:rPr>
          <w:rFonts w:ascii="Arial" w:hAnsi="Arial"/>
          <w:sz w:val="28"/>
          <w:rtl/>
        </w:rPr>
        <w:t xml:space="preserve">, העקרון המנחה בענישה הוא עקרון ההלימה: </w:t>
      </w:r>
      <w:r w:rsidRPr="001E3304">
        <w:rPr>
          <w:rFonts w:ascii="Arial" w:hAnsi="Arial"/>
          <w:b/>
          <w:bCs/>
          <w:sz w:val="28"/>
          <w:rtl/>
        </w:rPr>
        <w:t>"קיומו של יחס הולם בין חומרת מעשה העבירה בנסיבותיו ומידת אשמו של הנאשם ובין סוג ומידת העונש המוטל עליו"</w:t>
      </w:r>
      <w:r w:rsidRPr="001E3304">
        <w:rPr>
          <w:rFonts w:ascii="Arial" w:hAnsi="Arial"/>
          <w:sz w:val="28"/>
          <w:rtl/>
        </w:rPr>
        <w:t xml:space="preserve"> (סעיף </w:t>
      </w:r>
      <w:hyperlink r:id="rId16" w:history="1">
        <w:r w:rsidR="00CD43D8" w:rsidRPr="00CD43D8">
          <w:rPr>
            <w:rStyle w:val="Hyperlink"/>
            <w:rFonts w:ascii="Arial" w:hAnsi="Arial"/>
            <w:color w:val="0000FF"/>
            <w:sz w:val="28"/>
            <w:rtl/>
          </w:rPr>
          <w:t>40ב</w:t>
        </w:r>
      </w:hyperlink>
      <w:r w:rsidRPr="001E3304">
        <w:rPr>
          <w:rFonts w:ascii="Arial" w:hAnsi="Arial"/>
          <w:sz w:val="28"/>
          <w:rtl/>
        </w:rPr>
        <w:t xml:space="preserve">). עקרון ההלימה משמעו מתן דגש לעקרון הגמול על מעשה העבירה, כאשר הנסיבות האישיות מהוות שיקול רק לאחר מכן, בקביעת העונש בתוך מתחם הענישה. </w:t>
      </w:r>
    </w:p>
    <w:p w14:paraId="0384F50B" w14:textId="77777777" w:rsidR="008942F9" w:rsidRPr="001E3304" w:rsidRDefault="008942F9" w:rsidP="008942F9">
      <w:pPr>
        <w:spacing w:line="360" w:lineRule="auto"/>
        <w:jc w:val="both"/>
        <w:rPr>
          <w:rFonts w:ascii="Arial" w:hAnsi="Arial"/>
          <w:sz w:val="28"/>
          <w:rtl/>
        </w:rPr>
      </w:pPr>
      <w:r w:rsidRPr="001E3304">
        <w:rPr>
          <w:rFonts w:ascii="Arial" w:hAnsi="Arial"/>
          <w:sz w:val="28"/>
          <w:rtl/>
        </w:rPr>
        <w:t xml:space="preserve">קביעת מתחם הענישה נעשית בהתחשב בערך החברתי שנפגע מביצוע העבירה, במידת הפגיעה בו, במדיניות הענישה הנהוגה ובנסיבות הקשורות בביצוע העבירה (סעיף </w:t>
      </w:r>
      <w:hyperlink r:id="rId17" w:history="1">
        <w:r w:rsidR="00CD43D8" w:rsidRPr="00CD43D8">
          <w:rPr>
            <w:rStyle w:val="Hyperlink"/>
            <w:rFonts w:ascii="Arial" w:hAnsi="Arial"/>
            <w:color w:val="0000FF"/>
            <w:sz w:val="28"/>
            <w:rtl/>
          </w:rPr>
          <w:t>40ג</w:t>
        </w:r>
      </w:hyperlink>
      <w:r w:rsidRPr="001E3304">
        <w:rPr>
          <w:rFonts w:ascii="Arial" w:hAnsi="Arial"/>
          <w:sz w:val="28"/>
          <w:rtl/>
        </w:rPr>
        <w:t xml:space="preserve">). </w:t>
      </w:r>
    </w:p>
    <w:p w14:paraId="1EB94784" w14:textId="77777777" w:rsidR="008942F9" w:rsidRPr="001E3304" w:rsidRDefault="008942F9" w:rsidP="008942F9">
      <w:pPr>
        <w:spacing w:line="360" w:lineRule="auto"/>
        <w:jc w:val="both"/>
        <w:rPr>
          <w:rFonts w:ascii="Arial" w:hAnsi="Arial"/>
          <w:sz w:val="28"/>
          <w:rtl/>
        </w:rPr>
      </w:pPr>
    </w:p>
    <w:p w14:paraId="44F96659" w14:textId="77777777" w:rsidR="008942F9" w:rsidRPr="001E3304" w:rsidRDefault="008942F9" w:rsidP="008942F9">
      <w:pPr>
        <w:spacing w:line="360" w:lineRule="auto"/>
        <w:jc w:val="both"/>
        <w:rPr>
          <w:rFonts w:ascii="Arial" w:hAnsi="Arial"/>
          <w:sz w:val="28"/>
          <w:rtl/>
        </w:rPr>
      </w:pPr>
      <w:r>
        <w:rPr>
          <w:rFonts w:ascii="Arial" w:hAnsi="Arial" w:hint="cs"/>
          <w:sz w:val="28"/>
          <w:rtl/>
        </w:rPr>
        <w:t>9</w:t>
      </w:r>
      <w:r w:rsidRPr="001E3304">
        <w:rPr>
          <w:rFonts w:ascii="Arial" w:hAnsi="Arial"/>
          <w:sz w:val="28"/>
          <w:rtl/>
        </w:rPr>
        <w:t xml:space="preserve">.  </w:t>
      </w:r>
      <w:r w:rsidRPr="001E3304">
        <w:rPr>
          <w:rFonts w:ascii="Arial" w:hAnsi="Arial"/>
          <w:sz w:val="28"/>
          <w:rtl/>
        </w:rPr>
        <w:tab/>
        <w:t xml:space="preserve">בראש ובראשונה יש להתייחס לעונש שקבע המחוקק לצד העבירות – </w:t>
      </w:r>
    </w:p>
    <w:p w14:paraId="2ED8448B" w14:textId="77777777" w:rsidR="008942F9" w:rsidRPr="001E3304" w:rsidRDefault="008942F9" w:rsidP="008942F9">
      <w:pPr>
        <w:spacing w:line="360" w:lineRule="auto"/>
        <w:jc w:val="both"/>
        <w:rPr>
          <w:rFonts w:ascii="Arial" w:hAnsi="Arial"/>
          <w:sz w:val="28"/>
          <w:rtl/>
        </w:rPr>
      </w:pPr>
      <w:r w:rsidRPr="001E3304">
        <w:rPr>
          <w:rFonts w:ascii="Arial" w:hAnsi="Arial"/>
          <w:sz w:val="28"/>
          <w:rtl/>
        </w:rPr>
        <w:t xml:space="preserve">לעבירה של סחר בנשק נקבע עונש של 15 שנות מאסר. </w:t>
      </w:r>
    </w:p>
    <w:p w14:paraId="39CA44AA" w14:textId="77777777" w:rsidR="008942F9" w:rsidRPr="001E3304" w:rsidRDefault="008942F9" w:rsidP="008942F9">
      <w:pPr>
        <w:spacing w:line="360" w:lineRule="auto"/>
        <w:jc w:val="both"/>
        <w:rPr>
          <w:rFonts w:ascii="Arial" w:hAnsi="Arial"/>
          <w:sz w:val="28"/>
          <w:rtl/>
        </w:rPr>
      </w:pPr>
    </w:p>
    <w:p w14:paraId="1FB90221" w14:textId="77777777" w:rsidR="008942F9" w:rsidRPr="001E3304" w:rsidRDefault="008942F9" w:rsidP="008942F9">
      <w:pPr>
        <w:spacing w:line="360" w:lineRule="auto"/>
        <w:jc w:val="both"/>
        <w:rPr>
          <w:rFonts w:ascii="Arial" w:hAnsi="Arial"/>
          <w:sz w:val="28"/>
          <w:rtl/>
        </w:rPr>
      </w:pPr>
      <w:r>
        <w:rPr>
          <w:rFonts w:ascii="Arial" w:hAnsi="Arial" w:hint="cs"/>
          <w:sz w:val="28"/>
          <w:rtl/>
        </w:rPr>
        <w:t>10</w:t>
      </w:r>
      <w:r w:rsidRPr="001E3304">
        <w:rPr>
          <w:rFonts w:ascii="Arial" w:hAnsi="Arial"/>
          <w:sz w:val="28"/>
          <w:rtl/>
        </w:rPr>
        <w:t xml:space="preserve">.  </w:t>
      </w:r>
      <w:r w:rsidRPr="001E3304">
        <w:rPr>
          <w:rFonts w:ascii="Arial" w:hAnsi="Arial"/>
          <w:sz w:val="28"/>
          <w:rtl/>
        </w:rPr>
        <w:tab/>
        <w:t xml:space="preserve">לצד הענישה שקבע המחוקק יש להתחשב כאמור במדיניות הענישה הנהוגה. </w:t>
      </w:r>
    </w:p>
    <w:p w14:paraId="179373B3" w14:textId="77777777" w:rsidR="008942F9" w:rsidRPr="001E3304" w:rsidRDefault="008942F9" w:rsidP="008942F9">
      <w:pPr>
        <w:spacing w:line="360" w:lineRule="auto"/>
        <w:jc w:val="both"/>
        <w:rPr>
          <w:rFonts w:ascii="Arial" w:hAnsi="Arial"/>
          <w:sz w:val="28"/>
          <w:rtl/>
        </w:rPr>
      </w:pPr>
    </w:p>
    <w:p w14:paraId="0ECA46FD" w14:textId="77777777" w:rsidR="008942F9" w:rsidRPr="001E3304" w:rsidRDefault="008942F9" w:rsidP="008942F9">
      <w:pPr>
        <w:spacing w:line="360" w:lineRule="auto"/>
        <w:jc w:val="both"/>
        <w:rPr>
          <w:rFonts w:ascii="Arial" w:hAnsi="Arial"/>
          <w:sz w:val="28"/>
          <w:rtl/>
        </w:rPr>
      </w:pPr>
      <w:r w:rsidRPr="001E3304">
        <w:rPr>
          <w:rFonts w:ascii="Arial" w:hAnsi="Arial"/>
          <w:sz w:val="28"/>
          <w:rtl/>
        </w:rPr>
        <w:t>המאשימה הפנתה ל</w:t>
      </w:r>
      <w:hyperlink r:id="rId18" w:history="1">
        <w:r w:rsidR="007D3F58" w:rsidRPr="007D3F58">
          <w:rPr>
            <w:rFonts w:ascii="Arial" w:hAnsi="Arial"/>
            <w:color w:val="0000FF"/>
            <w:sz w:val="28"/>
            <w:u w:val="single"/>
            <w:rtl/>
          </w:rPr>
          <w:t>ת"פ (י-ם) 35608-04-18</w:t>
        </w:r>
      </w:hyperlink>
      <w:r w:rsidRPr="001E3304">
        <w:rPr>
          <w:rFonts w:ascii="Arial" w:hAnsi="Arial"/>
          <w:sz w:val="28"/>
          <w:rtl/>
        </w:rPr>
        <w:t xml:space="preserve"> </w:t>
      </w:r>
      <w:r w:rsidRPr="001E3304">
        <w:rPr>
          <w:rFonts w:ascii="Arial" w:hAnsi="Arial"/>
          <w:sz w:val="28"/>
          <w:u w:val="single"/>
          <w:rtl/>
        </w:rPr>
        <w:t>מדינת ישראל נ' יזן קורד ואח'</w:t>
      </w:r>
      <w:r w:rsidRPr="001E3304">
        <w:rPr>
          <w:rFonts w:ascii="Arial" w:hAnsi="Arial"/>
          <w:sz w:val="28"/>
          <w:rtl/>
        </w:rPr>
        <w:t xml:space="preserve"> (28.2.2019), שם, בגין שתי עבירות של סחר בנשק – מכירת אקדח ומכירת רובה סער לסוכן משטרתי, נגזר על נאשם 3 בכתב האישום מאסר בפועל למשך 34 חודשים, מאסר על תנאי וקנס של 10,000 ₪; </w:t>
      </w:r>
      <w:hyperlink r:id="rId19" w:history="1">
        <w:r w:rsidR="007D3F58" w:rsidRPr="007D3F58">
          <w:rPr>
            <w:rFonts w:ascii="Arial" w:hAnsi="Arial"/>
            <w:color w:val="0000FF"/>
            <w:sz w:val="28"/>
            <w:u w:val="single"/>
            <w:rtl/>
          </w:rPr>
          <w:t>ע"פ 4154/16</w:t>
        </w:r>
      </w:hyperlink>
      <w:r w:rsidRPr="001E3304">
        <w:rPr>
          <w:rFonts w:ascii="Arial" w:hAnsi="Arial"/>
          <w:sz w:val="28"/>
          <w:rtl/>
        </w:rPr>
        <w:t xml:space="preserve"> </w:t>
      </w:r>
      <w:r w:rsidRPr="001E3304">
        <w:rPr>
          <w:rFonts w:ascii="Arial" w:hAnsi="Arial"/>
          <w:sz w:val="28"/>
          <w:u w:val="single"/>
          <w:rtl/>
        </w:rPr>
        <w:t>רונן דהוד נ' מדינת ישראל</w:t>
      </w:r>
      <w:r w:rsidRPr="001E3304">
        <w:rPr>
          <w:rFonts w:ascii="Arial" w:hAnsi="Arial"/>
          <w:sz w:val="28"/>
          <w:rtl/>
        </w:rPr>
        <w:t xml:space="preserve"> (19.1.2017) – בית המשפט העליון אישר גזר דין שכלל 45 חודשי מאסר בפועל, לנאשם שהורשע בעבירות של סחר בנשק והחזקה ונשיאה של נשק, לאחר שמכר לסוכן משטרתי אקדח ורובה ציד; </w:t>
      </w:r>
      <w:hyperlink r:id="rId20" w:history="1">
        <w:r w:rsidR="007D3F58" w:rsidRPr="007D3F58">
          <w:rPr>
            <w:rFonts w:ascii="Arial" w:hAnsi="Arial"/>
            <w:color w:val="0000FF"/>
            <w:sz w:val="28"/>
            <w:u w:val="single"/>
            <w:rtl/>
          </w:rPr>
          <w:t>ע"פ 2422/14</w:t>
        </w:r>
      </w:hyperlink>
      <w:r w:rsidRPr="001E3304">
        <w:rPr>
          <w:rFonts w:ascii="Arial" w:hAnsi="Arial"/>
          <w:sz w:val="28"/>
          <w:rtl/>
        </w:rPr>
        <w:t xml:space="preserve"> </w:t>
      </w:r>
      <w:r w:rsidRPr="001E3304">
        <w:rPr>
          <w:rFonts w:ascii="Arial" w:hAnsi="Arial"/>
          <w:sz w:val="28"/>
          <w:u w:val="single"/>
          <w:rtl/>
        </w:rPr>
        <w:t>עלי ח'דר נ' מדינת ישראל</w:t>
      </w:r>
      <w:r w:rsidRPr="001E3304">
        <w:rPr>
          <w:rFonts w:ascii="Arial" w:hAnsi="Arial"/>
          <w:sz w:val="28"/>
          <w:rtl/>
        </w:rPr>
        <w:t xml:space="preserve"> (21.12.2014) – בגין עבירות נשק נגזר על המערער מאסר בפועל למשך 36 חודשים ומאסר על תנאי; </w:t>
      </w:r>
      <w:hyperlink r:id="rId21" w:history="1">
        <w:r w:rsidR="007D3F58" w:rsidRPr="007D3F58">
          <w:rPr>
            <w:rFonts w:ascii="Arial" w:hAnsi="Arial"/>
            <w:color w:val="0000FF"/>
            <w:sz w:val="28"/>
            <w:u w:val="single"/>
            <w:rtl/>
          </w:rPr>
          <w:t>ע"פ 785/15</w:t>
        </w:r>
      </w:hyperlink>
      <w:r w:rsidRPr="001E3304">
        <w:rPr>
          <w:rFonts w:ascii="Arial" w:hAnsi="Arial"/>
          <w:sz w:val="28"/>
          <w:rtl/>
        </w:rPr>
        <w:t xml:space="preserve"> </w:t>
      </w:r>
      <w:r w:rsidRPr="001E3304">
        <w:rPr>
          <w:rFonts w:ascii="Arial" w:hAnsi="Arial"/>
          <w:sz w:val="28"/>
          <w:u w:val="single"/>
          <w:rtl/>
        </w:rPr>
        <w:t>איהב פואקה נ' מדינת ישראל</w:t>
      </w:r>
      <w:r w:rsidRPr="001E3304">
        <w:rPr>
          <w:rFonts w:ascii="Arial" w:hAnsi="Arial"/>
          <w:sz w:val="28"/>
          <w:rtl/>
        </w:rPr>
        <w:t xml:space="preserve"> (6.12.2015) – המערער נדון למאסר בפועל למשך 84 חודשים, מאסר על תנאי וקנס, לאר שהורשע בעבירות של תיווך בסם ובעבירות של עסקה בנשק וניסיון לעסקה בנשק. בערעור הועמד עונש המאסר בפועל על 78 חודשים. </w:t>
      </w:r>
    </w:p>
    <w:p w14:paraId="01120ACA" w14:textId="77777777" w:rsidR="008942F9" w:rsidRPr="001E3304" w:rsidRDefault="008942F9" w:rsidP="008942F9">
      <w:pPr>
        <w:spacing w:line="360" w:lineRule="auto"/>
        <w:jc w:val="both"/>
        <w:rPr>
          <w:rFonts w:ascii="Arial" w:hAnsi="Arial"/>
          <w:sz w:val="28"/>
          <w:rtl/>
        </w:rPr>
      </w:pPr>
    </w:p>
    <w:p w14:paraId="2C34A7AC" w14:textId="77777777" w:rsidR="008942F9" w:rsidRPr="001E3304" w:rsidRDefault="008942F9" w:rsidP="008942F9">
      <w:pPr>
        <w:spacing w:line="360" w:lineRule="auto"/>
        <w:jc w:val="both"/>
        <w:rPr>
          <w:rFonts w:ascii="Arial" w:hAnsi="Arial"/>
          <w:sz w:val="28"/>
          <w:rtl/>
        </w:rPr>
      </w:pPr>
      <w:r w:rsidRPr="001E3304">
        <w:rPr>
          <w:rFonts w:ascii="Arial" w:hAnsi="Arial"/>
          <w:sz w:val="28"/>
          <w:rtl/>
        </w:rPr>
        <w:t>ב"כ הנאשם הפנה ל</w:t>
      </w:r>
      <w:hyperlink r:id="rId22" w:history="1">
        <w:r w:rsidR="007D3F58" w:rsidRPr="007D3F58">
          <w:rPr>
            <w:rFonts w:ascii="Arial" w:hAnsi="Arial"/>
            <w:color w:val="0000FF"/>
            <w:sz w:val="28"/>
            <w:u w:val="single"/>
            <w:rtl/>
          </w:rPr>
          <w:t>ע"פ 1397/16</w:t>
        </w:r>
      </w:hyperlink>
      <w:r w:rsidRPr="001E3304">
        <w:rPr>
          <w:rFonts w:ascii="Arial" w:hAnsi="Arial"/>
          <w:sz w:val="28"/>
          <w:rtl/>
        </w:rPr>
        <w:t xml:space="preserve"> </w:t>
      </w:r>
      <w:r w:rsidRPr="001E3304">
        <w:rPr>
          <w:rFonts w:ascii="Arial" w:hAnsi="Arial"/>
          <w:sz w:val="28"/>
          <w:u w:val="single"/>
          <w:rtl/>
        </w:rPr>
        <w:t>מדינת ישראל נ' אחמד חמאיל</w:t>
      </w:r>
      <w:r w:rsidRPr="001E3304">
        <w:rPr>
          <w:rFonts w:ascii="Arial" w:hAnsi="Arial"/>
          <w:sz w:val="28"/>
          <w:rtl/>
        </w:rPr>
        <w:t xml:space="preserve"> (6.9.2016) – בגין עסקאות נשק עם סוכן משטרתי, נקבעו מתחמי ענישה של שלוש עד שש שנות מאסר ו- שנתיים וחצי עד חמש שנות מאסר. על הנאשמים נגזרו עונשים של 48 ו- 35 חודשי מאסר בפועל. הערעורים נדחו; </w:t>
      </w:r>
      <w:hyperlink r:id="rId23" w:history="1">
        <w:r w:rsidR="007D3F58" w:rsidRPr="007D3F58">
          <w:rPr>
            <w:rFonts w:ascii="Arial" w:hAnsi="Arial"/>
            <w:color w:val="0000FF"/>
            <w:sz w:val="28"/>
            <w:u w:val="single"/>
            <w:rtl/>
          </w:rPr>
          <w:t>ע"פ 2802/18</w:t>
        </w:r>
      </w:hyperlink>
      <w:r w:rsidRPr="001E3304">
        <w:rPr>
          <w:rFonts w:ascii="Arial" w:hAnsi="Arial"/>
          <w:sz w:val="28"/>
          <w:rtl/>
        </w:rPr>
        <w:t xml:space="preserve"> </w:t>
      </w:r>
      <w:r w:rsidRPr="001E3304">
        <w:rPr>
          <w:rFonts w:ascii="Arial" w:hAnsi="Arial"/>
          <w:sz w:val="28"/>
          <w:u w:val="single"/>
          <w:rtl/>
        </w:rPr>
        <w:t>איוב ג'ואמיס ואח' נ' מדינת ישראל</w:t>
      </w:r>
      <w:r w:rsidRPr="001E3304">
        <w:rPr>
          <w:rFonts w:ascii="Arial" w:hAnsi="Arial"/>
          <w:sz w:val="28"/>
          <w:rtl/>
        </w:rPr>
        <w:t xml:space="preserve"> (26.7.2018) – בגין שתי עבירות הקשורות בסחר בנשק, נגזרו על הנאשמים עונשי מאסר בפועל של 42 חודשים ו- 15 חודשים. הערעורים נדחו; </w:t>
      </w:r>
      <w:hyperlink r:id="rId24" w:history="1">
        <w:r w:rsidR="007D3F58" w:rsidRPr="007D3F58">
          <w:rPr>
            <w:rFonts w:ascii="Arial" w:hAnsi="Arial"/>
            <w:color w:val="0000FF"/>
            <w:sz w:val="28"/>
            <w:u w:val="single"/>
            <w:rtl/>
          </w:rPr>
          <w:t>ת"פ (י-ם) 19384-05-16</w:t>
        </w:r>
      </w:hyperlink>
      <w:r w:rsidRPr="001E3304">
        <w:rPr>
          <w:rFonts w:ascii="Arial" w:hAnsi="Arial"/>
          <w:sz w:val="28"/>
          <w:rtl/>
        </w:rPr>
        <w:t xml:space="preserve"> </w:t>
      </w:r>
      <w:r w:rsidRPr="001E3304">
        <w:rPr>
          <w:rFonts w:ascii="Arial" w:hAnsi="Arial"/>
          <w:sz w:val="28"/>
          <w:u w:val="single"/>
          <w:rtl/>
        </w:rPr>
        <w:t>מדינת ישראל נ' חוסאם אשהב</w:t>
      </w:r>
      <w:r w:rsidRPr="001E3304">
        <w:rPr>
          <w:rFonts w:ascii="Arial" w:hAnsi="Arial"/>
          <w:sz w:val="28"/>
          <w:rtl/>
        </w:rPr>
        <w:t xml:space="preserve"> (20.7.2017) – בגין עבירות הקשורות בנשק, ובהן שתי עבירות של סחר בנשק, נגזר על הנאשם מאסר בפועל למשך 46 חודשים. בגזר דינו הפנה בית המשפט לשורה של גזרי דין שניתנו בעבירות דומות; </w:t>
      </w:r>
      <w:hyperlink r:id="rId25" w:history="1">
        <w:r w:rsidR="007D3F58" w:rsidRPr="007D3F58">
          <w:rPr>
            <w:rFonts w:ascii="Arial" w:hAnsi="Arial"/>
            <w:color w:val="0000FF"/>
            <w:sz w:val="28"/>
            <w:u w:val="single"/>
            <w:rtl/>
          </w:rPr>
          <w:t>ע"פ 8045/17</w:t>
        </w:r>
      </w:hyperlink>
      <w:r w:rsidRPr="001E3304">
        <w:rPr>
          <w:rFonts w:ascii="Arial" w:hAnsi="Arial"/>
          <w:sz w:val="28"/>
          <w:rtl/>
        </w:rPr>
        <w:t xml:space="preserve"> </w:t>
      </w:r>
      <w:r w:rsidRPr="001E3304">
        <w:rPr>
          <w:rFonts w:ascii="Arial" w:hAnsi="Arial"/>
          <w:sz w:val="28"/>
          <w:u w:val="single"/>
          <w:rtl/>
        </w:rPr>
        <w:t>מחמוד בראנסי ואח' נ' מדינת ישראל</w:t>
      </w:r>
      <w:r w:rsidRPr="001E3304">
        <w:rPr>
          <w:rFonts w:ascii="Arial" w:hAnsi="Arial"/>
          <w:sz w:val="28"/>
          <w:rtl/>
        </w:rPr>
        <w:t xml:space="preserve"> (16.8.2018). </w:t>
      </w:r>
    </w:p>
    <w:p w14:paraId="7B11457A" w14:textId="77777777" w:rsidR="008942F9" w:rsidRPr="001E3304" w:rsidRDefault="008942F9" w:rsidP="008942F9">
      <w:pPr>
        <w:spacing w:line="360" w:lineRule="auto"/>
        <w:jc w:val="both"/>
        <w:rPr>
          <w:rFonts w:ascii="Arial" w:hAnsi="Arial"/>
          <w:sz w:val="28"/>
          <w:rtl/>
        </w:rPr>
      </w:pPr>
      <w:r>
        <w:rPr>
          <w:rFonts w:ascii="Arial" w:hAnsi="Arial" w:hint="cs"/>
          <w:sz w:val="28"/>
          <w:rtl/>
        </w:rPr>
        <w:t>11</w:t>
      </w:r>
      <w:r w:rsidRPr="001E3304">
        <w:rPr>
          <w:rFonts w:ascii="Arial" w:hAnsi="Arial"/>
          <w:sz w:val="28"/>
          <w:rtl/>
        </w:rPr>
        <w:t xml:space="preserve">.  </w:t>
      </w:r>
      <w:r w:rsidRPr="001E3304">
        <w:rPr>
          <w:rFonts w:ascii="Arial" w:hAnsi="Arial"/>
          <w:sz w:val="28"/>
          <w:rtl/>
        </w:rPr>
        <w:tab/>
        <w:t xml:space="preserve">לעניין הערך החברתי שנפגע מהעבירה – מדובר בהגנה על בטחון הציבור ועל שלמות גופו. </w:t>
      </w:r>
    </w:p>
    <w:p w14:paraId="60A35669" w14:textId="77777777" w:rsidR="008942F9" w:rsidRPr="001E3304" w:rsidRDefault="008942F9" w:rsidP="008942F9">
      <w:pPr>
        <w:spacing w:line="360" w:lineRule="auto"/>
        <w:jc w:val="both"/>
        <w:rPr>
          <w:rFonts w:ascii="Arial" w:hAnsi="Arial"/>
          <w:sz w:val="28"/>
          <w:rtl/>
        </w:rPr>
      </w:pPr>
    </w:p>
    <w:p w14:paraId="7536F0C1" w14:textId="77777777" w:rsidR="008942F9" w:rsidRPr="001E3304" w:rsidRDefault="008942F9" w:rsidP="008942F9">
      <w:pPr>
        <w:spacing w:line="360" w:lineRule="auto"/>
        <w:jc w:val="both"/>
        <w:rPr>
          <w:rFonts w:ascii="Arial" w:hAnsi="Arial"/>
          <w:sz w:val="28"/>
          <w:rtl/>
        </w:rPr>
      </w:pPr>
      <w:r w:rsidRPr="001E3304">
        <w:rPr>
          <w:rFonts w:ascii="Arial" w:hAnsi="Arial"/>
          <w:sz w:val="28"/>
          <w:rtl/>
        </w:rPr>
        <w:t>בתי המשפט התייחסו רבות לחומרה המיוחדת שבעבירות הקשורות בסחר בנשק. לעניין זה נקבע ב</w:t>
      </w:r>
      <w:hyperlink r:id="rId26" w:history="1">
        <w:r w:rsidR="007D3F58" w:rsidRPr="007D3F58">
          <w:rPr>
            <w:rFonts w:ascii="Arial" w:hAnsi="Arial"/>
            <w:color w:val="0000FF"/>
            <w:sz w:val="28"/>
            <w:u w:val="single"/>
            <w:rtl/>
          </w:rPr>
          <w:t>ע"פ 2422/14</w:t>
        </w:r>
      </w:hyperlink>
      <w:r w:rsidRPr="001E3304">
        <w:rPr>
          <w:rFonts w:ascii="Arial" w:hAnsi="Arial"/>
          <w:sz w:val="28"/>
          <w:rtl/>
        </w:rPr>
        <w:t xml:space="preserve"> הנ"ל:</w:t>
      </w:r>
    </w:p>
    <w:p w14:paraId="57BF0A8E" w14:textId="77777777" w:rsidR="008942F9" w:rsidRPr="001E3304" w:rsidRDefault="008942F9" w:rsidP="008942F9">
      <w:pPr>
        <w:spacing w:line="360" w:lineRule="auto"/>
        <w:ind w:left="340" w:right="340"/>
        <w:jc w:val="both"/>
        <w:rPr>
          <w:rFonts w:ascii="Arial" w:hAnsi="Arial"/>
          <w:b/>
          <w:bCs/>
          <w:sz w:val="28"/>
          <w:rtl/>
        </w:rPr>
      </w:pPr>
      <w:r w:rsidRPr="001E3304">
        <w:rPr>
          <w:rFonts w:ascii="Arial" w:hAnsi="Arial"/>
          <w:b/>
          <w:bCs/>
          <w:sz w:val="28"/>
          <w:rtl/>
        </w:rPr>
        <w:t>"המעשה בו הורשע המערער הוא חמור, ובית משפט זה עמד לא אחת על חומרתן המיוחדת של עבירות בנשק ועל הסכנות הצפויות מעבירות כאלה, אשר גורמות לפעילות עבריינית אחרת ומאיימות על שלום הציבור כולו (</w:t>
      </w:r>
      <w:hyperlink r:id="rId27" w:history="1">
        <w:r w:rsidR="007D3F58" w:rsidRPr="007D3F58">
          <w:rPr>
            <w:rFonts w:ascii="Arial" w:hAnsi="Arial"/>
            <w:b/>
            <w:bCs/>
            <w:color w:val="0000FF"/>
            <w:sz w:val="28"/>
            <w:u w:val="single"/>
            <w:rtl/>
          </w:rPr>
          <w:t>ע"פ 5833/07</w:t>
        </w:r>
      </w:hyperlink>
      <w:r w:rsidRPr="001E3304">
        <w:rPr>
          <w:rFonts w:ascii="Arial" w:hAnsi="Arial"/>
          <w:b/>
          <w:bCs/>
          <w:sz w:val="28"/>
          <w:rtl/>
        </w:rPr>
        <w:t xml:space="preserve"> ח'ורי נ' מדינת ישראל [פורסם בנבו] (18.11.2007); </w:t>
      </w:r>
      <w:hyperlink r:id="rId28" w:history="1">
        <w:r w:rsidR="007D3F58" w:rsidRPr="007D3F58">
          <w:rPr>
            <w:rFonts w:ascii="Arial" w:hAnsi="Arial"/>
            <w:b/>
            <w:bCs/>
            <w:color w:val="0000FF"/>
            <w:sz w:val="28"/>
            <w:u w:val="single"/>
            <w:rtl/>
          </w:rPr>
          <w:t>ע"פ 4450/11</w:t>
        </w:r>
      </w:hyperlink>
      <w:r w:rsidRPr="001E3304">
        <w:rPr>
          <w:rFonts w:ascii="Arial" w:hAnsi="Arial"/>
          <w:b/>
          <w:bCs/>
          <w:sz w:val="28"/>
          <w:rtl/>
        </w:rPr>
        <w:t xml:space="preserve"> עספור נ' מדינת ישראל [פורסם בנבו] (8.2.2012)). על כן, בית משפט זה אימץ עמדה עקרונית לפיה יש להחמיר, ככלל, בענישתם של נאשמים שהורשעו בעבירות נשק בכלל ובעבירות סחר בנשק בפרט (</w:t>
      </w:r>
      <w:hyperlink r:id="rId29" w:history="1">
        <w:r w:rsidR="007D3F58" w:rsidRPr="007D3F58">
          <w:rPr>
            <w:rFonts w:ascii="Arial" w:hAnsi="Arial"/>
            <w:b/>
            <w:bCs/>
            <w:color w:val="0000FF"/>
            <w:sz w:val="28"/>
            <w:u w:val="single"/>
            <w:rtl/>
          </w:rPr>
          <w:t>ע"פ 6210/10</w:t>
        </w:r>
      </w:hyperlink>
      <w:r w:rsidRPr="001E3304">
        <w:rPr>
          <w:rFonts w:ascii="Arial" w:hAnsi="Arial"/>
          <w:b/>
          <w:bCs/>
          <w:sz w:val="28"/>
          <w:rtl/>
        </w:rPr>
        <w:t xml:space="preserve"> מדינת ישראל נ' אגבריה [פורסם בנבו] (23.3.2011); </w:t>
      </w:r>
      <w:hyperlink r:id="rId30" w:history="1">
        <w:r w:rsidR="007D3F58" w:rsidRPr="007D3F58">
          <w:rPr>
            <w:rFonts w:ascii="Arial" w:hAnsi="Arial"/>
            <w:b/>
            <w:bCs/>
            <w:color w:val="0000FF"/>
            <w:sz w:val="28"/>
            <w:u w:val="single"/>
            <w:rtl/>
          </w:rPr>
          <w:t>ע"פ 319/11</w:t>
        </w:r>
      </w:hyperlink>
      <w:r w:rsidRPr="001E3304">
        <w:rPr>
          <w:rFonts w:ascii="Arial" w:hAnsi="Arial"/>
          <w:b/>
          <w:bCs/>
          <w:sz w:val="28"/>
          <w:rtl/>
        </w:rPr>
        <w:t xml:space="preserve"> מדינת ישראל נ' יאסין [פורסם בנבו] (4.12.2011)). במספר הזדמנויות בתי המשפט מצאו כי יש להחמיר בעונשיהם של עברייני נשק בשל הסכנה הנשקפת מהם (</w:t>
      </w:r>
      <w:hyperlink r:id="rId31" w:history="1">
        <w:r w:rsidR="007D3F58" w:rsidRPr="007D3F58">
          <w:rPr>
            <w:rFonts w:ascii="Arial" w:hAnsi="Arial"/>
            <w:b/>
            <w:bCs/>
            <w:color w:val="0000FF"/>
            <w:sz w:val="28"/>
            <w:u w:val="single"/>
            <w:rtl/>
          </w:rPr>
          <w:t>ע"פ 4526/04</w:t>
        </w:r>
      </w:hyperlink>
      <w:r w:rsidRPr="001E3304">
        <w:rPr>
          <w:rFonts w:ascii="Arial" w:hAnsi="Arial"/>
          <w:b/>
          <w:bCs/>
          <w:sz w:val="28"/>
          <w:rtl/>
        </w:rPr>
        <w:t xml:space="preserve"> זעתרי נ' מדינת ישראל [פורסם בנבו] (8.11.2004); </w:t>
      </w:r>
      <w:hyperlink r:id="rId32" w:history="1">
        <w:r w:rsidR="007D3F58" w:rsidRPr="007D3F58">
          <w:rPr>
            <w:rFonts w:ascii="Arial" w:hAnsi="Arial"/>
            <w:b/>
            <w:bCs/>
            <w:color w:val="0000FF"/>
            <w:sz w:val="28"/>
            <w:u w:val="single"/>
            <w:rtl/>
          </w:rPr>
          <w:t>ע"פ 5380/06</w:t>
        </w:r>
      </w:hyperlink>
      <w:r w:rsidRPr="001E3304">
        <w:rPr>
          <w:rFonts w:ascii="Arial" w:hAnsi="Arial"/>
          <w:b/>
          <w:bCs/>
          <w:sz w:val="28"/>
          <w:rtl/>
        </w:rPr>
        <w:t xml:space="preserve"> סלאמה נ' מדינת ישראל [פורסם בנבו] (3.12.2007)). לעניין זה ראוי לציין כי אין נפקא מינה לכך שהקונה הינו סוכן משטרתי, שכן המעורבים אינם מודעים לכך ומסוכנותם נותרת בעינה".</w:t>
      </w:r>
    </w:p>
    <w:p w14:paraId="5704DFE6" w14:textId="77777777" w:rsidR="008942F9" w:rsidRPr="001E3304" w:rsidRDefault="008942F9" w:rsidP="008942F9">
      <w:pPr>
        <w:spacing w:line="360" w:lineRule="auto"/>
        <w:jc w:val="both"/>
        <w:rPr>
          <w:rFonts w:ascii="Arial" w:hAnsi="Arial"/>
          <w:sz w:val="28"/>
          <w:rtl/>
        </w:rPr>
      </w:pPr>
    </w:p>
    <w:p w14:paraId="710E4D1F" w14:textId="77777777" w:rsidR="008942F9" w:rsidRPr="001E3304" w:rsidRDefault="008942F9" w:rsidP="008942F9">
      <w:pPr>
        <w:spacing w:line="360" w:lineRule="auto"/>
        <w:jc w:val="both"/>
        <w:rPr>
          <w:rFonts w:ascii="Arial" w:hAnsi="Arial"/>
          <w:sz w:val="28"/>
          <w:rtl/>
        </w:rPr>
      </w:pPr>
      <w:r w:rsidRPr="001E3304">
        <w:rPr>
          <w:rFonts w:ascii="Arial" w:hAnsi="Arial"/>
          <w:sz w:val="28"/>
          <w:rtl/>
        </w:rPr>
        <w:t>1</w:t>
      </w:r>
      <w:r>
        <w:rPr>
          <w:rFonts w:ascii="Arial" w:hAnsi="Arial" w:hint="cs"/>
          <w:sz w:val="28"/>
          <w:rtl/>
        </w:rPr>
        <w:t>2</w:t>
      </w:r>
      <w:r w:rsidRPr="001E3304">
        <w:rPr>
          <w:rFonts w:ascii="Arial" w:hAnsi="Arial"/>
          <w:sz w:val="28"/>
          <w:rtl/>
        </w:rPr>
        <w:t xml:space="preserve">.  </w:t>
      </w:r>
      <w:r w:rsidRPr="001E3304">
        <w:rPr>
          <w:rFonts w:ascii="Arial" w:hAnsi="Arial"/>
          <w:sz w:val="28"/>
          <w:rtl/>
        </w:rPr>
        <w:tab/>
        <w:t xml:space="preserve">אשר לנסיבות הקשורות בעבירה - </w:t>
      </w:r>
    </w:p>
    <w:p w14:paraId="4CB1A4E8" w14:textId="77777777" w:rsidR="008942F9" w:rsidRPr="001E3304" w:rsidRDefault="008942F9" w:rsidP="008942F9">
      <w:pPr>
        <w:spacing w:line="360" w:lineRule="auto"/>
        <w:jc w:val="both"/>
        <w:rPr>
          <w:rFonts w:ascii="Arial" w:hAnsi="Arial"/>
          <w:sz w:val="28"/>
          <w:rtl/>
        </w:rPr>
      </w:pPr>
      <w:r w:rsidRPr="001E3304">
        <w:rPr>
          <w:rFonts w:ascii="Arial" w:hAnsi="Arial"/>
          <w:sz w:val="28"/>
          <w:rtl/>
        </w:rPr>
        <w:t xml:space="preserve">על פי עובדות כתב האישום המתוקן, הנאשם פעל באופן נמרץ במטרה למכור לסוכן המשטרתי נשק. בין השניים התקיימו שיחות טלפון רבות במטרה לקדם את העסקאות, ונערכו מפגשים למכירת נשק תמורת סכומי כסף גבוהים. מכתב האישום עולה כי הנאשם ידע למי לפנות כדי לקבל נשק ואף השיג נשק ותחמושת עבור הסוכן. בסופו של דבר הנאשם מכר לסוכן נשק ותחמושת והציע לסוכן לרכוש נשק נוסף. </w:t>
      </w:r>
    </w:p>
    <w:p w14:paraId="561041DB" w14:textId="77777777" w:rsidR="008942F9" w:rsidRPr="001E3304" w:rsidRDefault="008942F9" w:rsidP="008942F9">
      <w:pPr>
        <w:spacing w:line="360" w:lineRule="auto"/>
        <w:jc w:val="both"/>
        <w:rPr>
          <w:rFonts w:ascii="Arial" w:hAnsi="Arial"/>
          <w:sz w:val="28"/>
          <w:rtl/>
        </w:rPr>
      </w:pPr>
      <w:r w:rsidRPr="001E3304">
        <w:rPr>
          <w:rFonts w:ascii="Arial" w:hAnsi="Arial"/>
          <w:sz w:val="28"/>
          <w:rtl/>
        </w:rPr>
        <w:t xml:space="preserve">יצוין כי הנזק הפוטנציאלי רב, שכן אלמלא היה מדובר בסוכן משטרתי, עלול היה הנשק לשמש למעשים פליליים או למעשי טרור. העובדה שמדובר בסוכן, ובשל כך הנשק הגיע לידי המשטרה, איננה בזכותו של הנאשם אלא בשל פעילות משטרתית מוצלחת. </w:t>
      </w:r>
    </w:p>
    <w:p w14:paraId="48BB45C6" w14:textId="77777777" w:rsidR="008942F9" w:rsidRPr="001E3304" w:rsidRDefault="008942F9" w:rsidP="008942F9">
      <w:pPr>
        <w:spacing w:line="360" w:lineRule="auto"/>
        <w:jc w:val="both"/>
        <w:rPr>
          <w:rFonts w:ascii="Arial" w:hAnsi="Arial"/>
          <w:sz w:val="28"/>
          <w:rtl/>
        </w:rPr>
      </w:pPr>
    </w:p>
    <w:p w14:paraId="5370A741" w14:textId="77777777" w:rsidR="008942F9" w:rsidRPr="001E3304" w:rsidRDefault="008942F9" w:rsidP="008942F9">
      <w:pPr>
        <w:spacing w:line="360" w:lineRule="auto"/>
        <w:jc w:val="both"/>
        <w:rPr>
          <w:rFonts w:ascii="Arial" w:hAnsi="Arial"/>
          <w:sz w:val="28"/>
          <w:rtl/>
        </w:rPr>
      </w:pPr>
      <w:r w:rsidRPr="001E3304">
        <w:rPr>
          <w:rFonts w:ascii="Arial" w:hAnsi="Arial"/>
          <w:sz w:val="28"/>
          <w:rtl/>
        </w:rPr>
        <w:t>1</w:t>
      </w:r>
      <w:r>
        <w:rPr>
          <w:rFonts w:ascii="Arial" w:hAnsi="Arial" w:hint="cs"/>
          <w:sz w:val="28"/>
          <w:rtl/>
        </w:rPr>
        <w:t>3</w:t>
      </w:r>
      <w:r w:rsidRPr="001E3304">
        <w:rPr>
          <w:rFonts w:ascii="Arial" w:hAnsi="Arial"/>
          <w:sz w:val="28"/>
          <w:rtl/>
        </w:rPr>
        <w:t xml:space="preserve">.  </w:t>
      </w:r>
      <w:r w:rsidRPr="001E3304">
        <w:rPr>
          <w:rFonts w:ascii="Arial" w:hAnsi="Arial"/>
          <w:sz w:val="28"/>
          <w:rtl/>
        </w:rPr>
        <w:tab/>
        <w:t xml:space="preserve">בהתחשב במכלול השיקולים כמפורט לעיל, לאור מהות העבירות ונסיבותיהן ובהתחשב בפסיקת בית המשפט העליון לעניין הצורך להחמיר בענישה בעבירות של סחר בנשק, אני קובעת את מתחם הענישה במקרה זה בין 45 ל- 70 חודשי מאסר בפועל, לצד מאסר על תנאי. </w:t>
      </w:r>
    </w:p>
    <w:p w14:paraId="23CD38CA" w14:textId="77777777" w:rsidR="008942F9" w:rsidRDefault="008942F9" w:rsidP="008942F9">
      <w:pPr>
        <w:spacing w:line="360" w:lineRule="auto"/>
        <w:jc w:val="both"/>
        <w:rPr>
          <w:rFonts w:ascii="Arial" w:hAnsi="Arial"/>
          <w:sz w:val="28"/>
          <w:rtl/>
        </w:rPr>
      </w:pPr>
    </w:p>
    <w:p w14:paraId="13085E80" w14:textId="77777777" w:rsidR="008942F9" w:rsidRDefault="008942F9" w:rsidP="008942F9">
      <w:pPr>
        <w:spacing w:line="360" w:lineRule="auto"/>
        <w:jc w:val="both"/>
        <w:rPr>
          <w:rFonts w:ascii="Arial" w:hAnsi="Arial"/>
          <w:sz w:val="28"/>
          <w:rtl/>
        </w:rPr>
      </w:pPr>
    </w:p>
    <w:p w14:paraId="431E020E" w14:textId="77777777" w:rsidR="008942F9" w:rsidRPr="001E3304" w:rsidRDefault="008942F9" w:rsidP="008942F9">
      <w:pPr>
        <w:spacing w:line="360" w:lineRule="auto"/>
        <w:jc w:val="both"/>
        <w:rPr>
          <w:rFonts w:ascii="Arial" w:hAnsi="Arial"/>
          <w:sz w:val="28"/>
          <w:rtl/>
        </w:rPr>
      </w:pPr>
    </w:p>
    <w:p w14:paraId="7141BDB5" w14:textId="77777777" w:rsidR="008942F9" w:rsidRPr="001E3304" w:rsidRDefault="008942F9" w:rsidP="008942F9">
      <w:pPr>
        <w:spacing w:line="360" w:lineRule="auto"/>
        <w:jc w:val="both"/>
        <w:rPr>
          <w:rFonts w:ascii="Arial" w:hAnsi="Arial"/>
          <w:b/>
          <w:bCs/>
          <w:sz w:val="28"/>
          <w:u w:val="single"/>
          <w:rtl/>
        </w:rPr>
      </w:pPr>
      <w:r w:rsidRPr="001E3304">
        <w:rPr>
          <w:rFonts w:ascii="Arial" w:hAnsi="Arial"/>
          <w:b/>
          <w:bCs/>
          <w:sz w:val="28"/>
          <w:u w:val="single"/>
          <w:rtl/>
        </w:rPr>
        <w:t>העונש בתוך המתחם</w:t>
      </w:r>
    </w:p>
    <w:p w14:paraId="0217B4CE" w14:textId="77777777" w:rsidR="008942F9" w:rsidRPr="001E3304" w:rsidRDefault="008942F9" w:rsidP="008942F9">
      <w:pPr>
        <w:spacing w:line="360" w:lineRule="auto"/>
        <w:jc w:val="both"/>
        <w:rPr>
          <w:rFonts w:ascii="Arial" w:hAnsi="Arial"/>
          <w:sz w:val="28"/>
          <w:rtl/>
        </w:rPr>
      </w:pPr>
    </w:p>
    <w:p w14:paraId="627FF39D" w14:textId="77777777" w:rsidR="008942F9" w:rsidRPr="001E3304" w:rsidRDefault="008942F9" w:rsidP="008942F9">
      <w:pPr>
        <w:spacing w:line="360" w:lineRule="auto"/>
        <w:jc w:val="both"/>
        <w:rPr>
          <w:rFonts w:ascii="Arial" w:hAnsi="Arial"/>
          <w:sz w:val="28"/>
          <w:rtl/>
        </w:rPr>
      </w:pPr>
      <w:r w:rsidRPr="001E3304">
        <w:rPr>
          <w:rFonts w:ascii="Arial" w:hAnsi="Arial"/>
          <w:sz w:val="28"/>
          <w:rtl/>
        </w:rPr>
        <w:t>1</w:t>
      </w:r>
      <w:r>
        <w:rPr>
          <w:rFonts w:ascii="Arial" w:hAnsi="Arial" w:hint="cs"/>
          <w:sz w:val="28"/>
          <w:rtl/>
        </w:rPr>
        <w:t>4</w:t>
      </w:r>
      <w:r w:rsidRPr="001E3304">
        <w:rPr>
          <w:rFonts w:ascii="Arial" w:hAnsi="Arial"/>
          <w:sz w:val="28"/>
          <w:rtl/>
        </w:rPr>
        <w:t xml:space="preserve">.  </w:t>
      </w:r>
      <w:r w:rsidRPr="001E3304">
        <w:rPr>
          <w:rFonts w:ascii="Arial" w:hAnsi="Arial"/>
          <w:sz w:val="28"/>
          <w:rtl/>
        </w:rPr>
        <w:tab/>
        <w:t xml:space="preserve">לזכותו של הנאשם יש לזקוף את הודאתו. כן יש להתחשב בכך שאין לנאשם עבר פלילי, וזהו מעצרו הראשון. עוד יש להתחשב בנזק שנגרם למשפחתו של הנאשם כתוצאה ממעצרו, נזק שיימשך בשל המאסר שייגזר על הנאשם. </w:t>
      </w:r>
    </w:p>
    <w:p w14:paraId="61B1B164" w14:textId="77777777" w:rsidR="008942F9" w:rsidRPr="001E3304" w:rsidRDefault="008942F9" w:rsidP="008942F9">
      <w:pPr>
        <w:spacing w:line="360" w:lineRule="auto"/>
        <w:jc w:val="both"/>
        <w:rPr>
          <w:rFonts w:ascii="Arial" w:hAnsi="Arial"/>
          <w:sz w:val="28"/>
          <w:rtl/>
        </w:rPr>
      </w:pPr>
      <w:r w:rsidRPr="001E3304">
        <w:rPr>
          <w:rFonts w:ascii="Arial" w:hAnsi="Arial"/>
          <w:sz w:val="28"/>
          <w:rtl/>
        </w:rPr>
        <w:t xml:space="preserve">מנגד, מתסקיר שירות המבחן עולה כי </w:t>
      </w:r>
      <w:r>
        <w:rPr>
          <w:rFonts w:ascii="Arial" w:hAnsi="Arial" w:hint="cs"/>
          <w:sz w:val="28"/>
          <w:rtl/>
        </w:rPr>
        <w:t xml:space="preserve">על אף הודאתו בעובדות כתב האישום המתוקן, </w:t>
      </w:r>
      <w:r w:rsidRPr="001E3304">
        <w:rPr>
          <w:rFonts w:ascii="Arial" w:hAnsi="Arial"/>
          <w:sz w:val="28"/>
          <w:rtl/>
        </w:rPr>
        <w:t xml:space="preserve">הנאשם אינו מפנים את חומרת מעשיו ואינו מקבל אחריות מלאה עליהם. </w:t>
      </w:r>
    </w:p>
    <w:p w14:paraId="78EF349F" w14:textId="77777777" w:rsidR="008942F9" w:rsidRPr="001E3304" w:rsidRDefault="008942F9" w:rsidP="008942F9">
      <w:pPr>
        <w:spacing w:line="360" w:lineRule="auto"/>
        <w:jc w:val="both"/>
        <w:rPr>
          <w:rFonts w:ascii="Arial" w:hAnsi="Arial"/>
          <w:sz w:val="28"/>
          <w:rtl/>
        </w:rPr>
      </w:pPr>
      <w:r w:rsidRPr="001E3304">
        <w:rPr>
          <w:rFonts w:ascii="Arial" w:hAnsi="Arial"/>
          <w:sz w:val="28"/>
          <w:rtl/>
        </w:rPr>
        <w:t xml:space="preserve">בהתחשב במכלול הנסיבות, אני מקבלת את עמדת הצדדים, לפיה ייגזר דינו של הנאשם בתחתית מתחם העונש ההולם. </w:t>
      </w:r>
    </w:p>
    <w:p w14:paraId="0BC2BC2A" w14:textId="77777777" w:rsidR="008942F9" w:rsidRPr="001E3304" w:rsidRDefault="008942F9" w:rsidP="008942F9">
      <w:pPr>
        <w:spacing w:line="360" w:lineRule="auto"/>
        <w:jc w:val="both"/>
        <w:rPr>
          <w:rFonts w:ascii="Arial" w:hAnsi="Arial"/>
          <w:sz w:val="28"/>
          <w:rtl/>
        </w:rPr>
      </w:pPr>
    </w:p>
    <w:p w14:paraId="48B9493C" w14:textId="77777777" w:rsidR="008942F9" w:rsidRDefault="008942F9" w:rsidP="008942F9">
      <w:pPr>
        <w:spacing w:line="360" w:lineRule="auto"/>
        <w:jc w:val="both"/>
        <w:rPr>
          <w:rFonts w:ascii="Arial" w:hAnsi="Arial"/>
          <w:sz w:val="28"/>
          <w:rtl/>
        </w:rPr>
      </w:pPr>
      <w:r w:rsidRPr="001E3304">
        <w:rPr>
          <w:rFonts w:ascii="Arial" w:hAnsi="Arial"/>
          <w:sz w:val="28"/>
          <w:rtl/>
        </w:rPr>
        <w:t>1</w:t>
      </w:r>
      <w:r>
        <w:rPr>
          <w:rFonts w:ascii="Arial" w:hAnsi="Arial" w:hint="cs"/>
          <w:sz w:val="28"/>
          <w:rtl/>
        </w:rPr>
        <w:t>5</w:t>
      </w:r>
      <w:r w:rsidRPr="001E3304">
        <w:rPr>
          <w:rFonts w:ascii="Arial" w:hAnsi="Arial"/>
          <w:sz w:val="28"/>
          <w:rtl/>
        </w:rPr>
        <w:t xml:space="preserve">. </w:t>
      </w:r>
      <w:r w:rsidRPr="001E3304">
        <w:rPr>
          <w:rFonts w:ascii="Arial" w:hAnsi="Arial"/>
          <w:sz w:val="28"/>
          <w:rtl/>
        </w:rPr>
        <w:tab/>
        <w:t>נוכח האמור לעיל, אני דנה את הנאשם כמפורט להלן:</w:t>
      </w:r>
    </w:p>
    <w:p w14:paraId="073B628F" w14:textId="77777777" w:rsidR="008942F9" w:rsidRPr="001E3304" w:rsidRDefault="008942F9" w:rsidP="008942F9">
      <w:pPr>
        <w:spacing w:line="360" w:lineRule="auto"/>
        <w:jc w:val="both"/>
        <w:rPr>
          <w:rFonts w:ascii="Arial" w:hAnsi="Arial"/>
          <w:sz w:val="28"/>
          <w:rtl/>
        </w:rPr>
      </w:pPr>
    </w:p>
    <w:p w14:paraId="0C40C0AC" w14:textId="77777777" w:rsidR="008942F9" w:rsidRDefault="008942F9" w:rsidP="008942F9">
      <w:pPr>
        <w:spacing w:line="360" w:lineRule="auto"/>
        <w:jc w:val="both"/>
        <w:rPr>
          <w:rFonts w:ascii="Arial" w:hAnsi="Arial"/>
          <w:sz w:val="28"/>
          <w:rtl/>
        </w:rPr>
      </w:pPr>
      <w:r w:rsidRPr="001E3304">
        <w:rPr>
          <w:rFonts w:ascii="Arial" w:hAnsi="Arial"/>
          <w:sz w:val="28"/>
          <w:rtl/>
        </w:rPr>
        <w:t xml:space="preserve">א. מאסר בפועל למשך 45 חודשים, החל מיום מעצרו 19.3.2019. </w:t>
      </w:r>
    </w:p>
    <w:p w14:paraId="2B2C4D38" w14:textId="77777777" w:rsidR="008942F9" w:rsidRPr="001E3304" w:rsidRDefault="008942F9" w:rsidP="008942F9">
      <w:pPr>
        <w:spacing w:line="360" w:lineRule="auto"/>
        <w:jc w:val="both"/>
        <w:rPr>
          <w:rFonts w:ascii="Arial" w:hAnsi="Arial"/>
          <w:sz w:val="28"/>
          <w:rtl/>
        </w:rPr>
      </w:pPr>
    </w:p>
    <w:p w14:paraId="5D9B22CD" w14:textId="77777777" w:rsidR="008942F9" w:rsidRPr="001E3304" w:rsidRDefault="008942F9" w:rsidP="008942F9">
      <w:pPr>
        <w:spacing w:line="360" w:lineRule="auto"/>
        <w:jc w:val="both"/>
        <w:rPr>
          <w:rFonts w:ascii="Arial" w:hAnsi="Arial"/>
          <w:sz w:val="28"/>
          <w:rtl/>
        </w:rPr>
      </w:pPr>
      <w:r w:rsidRPr="001E3304">
        <w:rPr>
          <w:rFonts w:ascii="Arial" w:hAnsi="Arial"/>
          <w:sz w:val="28"/>
          <w:rtl/>
        </w:rPr>
        <w:t xml:space="preserve">ב. מאסר על תנאי של 8 חודשים, אותו לא ירצה הנאשם אלא אם יעבור, תוך שלוש שנים מיום שחרורו מהמאסר, כל עבירת נשק מסוג פשע. </w:t>
      </w:r>
    </w:p>
    <w:p w14:paraId="2392FAED" w14:textId="77777777" w:rsidR="008942F9" w:rsidRPr="001E3304" w:rsidRDefault="008942F9" w:rsidP="008942F9">
      <w:pPr>
        <w:spacing w:line="360" w:lineRule="auto"/>
        <w:jc w:val="both"/>
        <w:rPr>
          <w:rFonts w:ascii="Arial" w:hAnsi="Arial"/>
          <w:sz w:val="28"/>
          <w:rtl/>
        </w:rPr>
      </w:pPr>
    </w:p>
    <w:p w14:paraId="58B11184" w14:textId="77777777" w:rsidR="008942F9" w:rsidRPr="007937A7" w:rsidRDefault="008942F9" w:rsidP="008942F9">
      <w:pPr>
        <w:spacing w:line="360" w:lineRule="auto"/>
        <w:jc w:val="both"/>
        <w:rPr>
          <w:rFonts w:ascii="Arial" w:hAnsi="Arial"/>
          <w:b/>
          <w:bCs/>
          <w:sz w:val="28"/>
          <w:rtl/>
        </w:rPr>
      </w:pPr>
      <w:r w:rsidRPr="007937A7">
        <w:rPr>
          <w:rFonts w:ascii="Arial" w:hAnsi="Arial"/>
          <w:b/>
          <w:bCs/>
          <w:sz w:val="28"/>
          <w:rtl/>
        </w:rPr>
        <w:t xml:space="preserve">זכות ערעור לבית המשפט העליון בתוך 45 יום מהיום. </w:t>
      </w:r>
    </w:p>
    <w:p w14:paraId="1BF9D05E" w14:textId="77777777" w:rsidR="008942F9" w:rsidRPr="001E3304" w:rsidRDefault="008942F9" w:rsidP="008942F9">
      <w:pPr>
        <w:spacing w:line="360" w:lineRule="auto"/>
        <w:jc w:val="both"/>
        <w:rPr>
          <w:rFonts w:ascii="Arial" w:hAnsi="Arial"/>
          <w:sz w:val="28"/>
          <w:rtl/>
        </w:rPr>
      </w:pPr>
    </w:p>
    <w:p w14:paraId="59BB70B3" w14:textId="77777777" w:rsidR="008942F9" w:rsidRPr="001E3304" w:rsidRDefault="008942F9" w:rsidP="008942F9">
      <w:pPr>
        <w:spacing w:line="360" w:lineRule="auto"/>
        <w:jc w:val="both"/>
        <w:rPr>
          <w:rFonts w:ascii="Arial" w:hAnsi="Arial"/>
          <w:b/>
          <w:bCs/>
          <w:sz w:val="28"/>
          <w:u w:val="single"/>
          <w:rtl/>
        </w:rPr>
      </w:pPr>
      <w:r w:rsidRPr="001E3304">
        <w:rPr>
          <w:rFonts w:ascii="Arial" w:hAnsi="Arial"/>
          <w:b/>
          <w:bCs/>
          <w:sz w:val="28"/>
          <w:u w:val="single"/>
          <w:rtl/>
        </w:rPr>
        <w:t xml:space="preserve">המזכירות תשלח העתק לשירות המבחן. </w:t>
      </w:r>
    </w:p>
    <w:p w14:paraId="06DF78F8" w14:textId="77777777" w:rsidR="008942F9" w:rsidRPr="001E3304" w:rsidRDefault="008942F9" w:rsidP="008942F9">
      <w:pPr>
        <w:spacing w:line="360" w:lineRule="auto"/>
        <w:jc w:val="both"/>
        <w:rPr>
          <w:rFonts w:ascii="Arial" w:hAnsi="Arial"/>
          <w:sz w:val="28"/>
          <w:rtl/>
        </w:rPr>
      </w:pPr>
    </w:p>
    <w:p w14:paraId="463071D3" w14:textId="77777777" w:rsidR="008942F9" w:rsidRPr="00A65C7C" w:rsidRDefault="008942F9" w:rsidP="008942F9">
      <w:pPr>
        <w:rPr>
          <w:rStyle w:val="FrankRuehl14"/>
          <w:rtl/>
        </w:rPr>
      </w:pPr>
    </w:p>
    <w:p w14:paraId="4B8B7A2D" w14:textId="77777777" w:rsidR="008942F9" w:rsidRPr="00A65C7C" w:rsidRDefault="007D3F58" w:rsidP="008942F9">
      <w:pPr>
        <w:ind w:left="5040"/>
        <w:rPr>
          <w:rStyle w:val="FrankRuehl14"/>
          <w:rtl/>
        </w:rPr>
      </w:pPr>
      <w:bookmarkStart w:id="7" w:name="Nitan"/>
      <w:r w:rsidRPr="007D3F58">
        <w:rPr>
          <w:rFonts w:ascii="Arial" w:hAnsi="Arial"/>
          <w:color w:val="FFFFFF"/>
          <w:sz w:val="2"/>
          <w:szCs w:val="2"/>
          <w:rtl/>
        </w:rPr>
        <w:t>5129371</w:t>
      </w:r>
      <w:r>
        <w:rPr>
          <w:rFonts w:ascii="Arial" w:hAnsi="Arial"/>
          <w:rtl/>
        </w:rPr>
        <w:t xml:space="preserve">ניתן היום,  ז' אדר תש"פ, 03 מרץ 2020, במעמד הצדדים. </w:t>
      </w:r>
      <w:bookmarkEnd w:id="7"/>
    </w:p>
    <w:tbl>
      <w:tblPr>
        <w:bidiVisual/>
        <w:tblW w:w="0" w:type="auto"/>
        <w:tblInd w:w="5040" w:type="dxa"/>
        <w:tblLook w:val="01E0" w:firstRow="1" w:lastRow="1" w:firstColumn="1" w:lastColumn="1" w:noHBand="0" w:noVBand="0"/>
      </w:tblPr>
      <w:tblGrid>
        <w:gridCol w:w="2869"/>
      </w:tblGrid>
      <w:tr w:rsidR="008942F9" w14:paraId="2B67ED51" w14:textId="77777777" w:rsidTr="008942F9">
        <w:tc>
          <w:tcPr>
            <w:tcW w:w="2869" w:type="dxa"/>
            <w:tcBorders>
              <w:top w:val="nil"/>
              <w:left w:val="nil"/>
              <w:bottom w:val="single" w:sz="4" w:space="0" w:color="auto"/>
              <w:right w:val="nil"/>
            </w:tcBorders>
            <w:shd w:val="clear" w:color="auto" w:fill="auto"/>
            <w:vAlign w:val="center"/>
          </w:tcPr>
          <w:p w14:paraId="40DAF7F9" w14:textId="77777777" w:rsidR="008942F9" w:rsidRPr="007D3F58" w:rsidRDefault="007D3F58" w:rsidP="008942F9">
            <w:pPr>
              <w:jc w:val="center"/>
              <w:rPr>
                <w:rFonts w:ascii="Courier New" w:hAnsi="Courier New"/>
                <w:b/>
                <w:bCs/>
                <w:color w:val="FFFFFF"/>
                <w:sz w:val="2"/>
                <w:szCs w:val="2"/>
                <w:rtl/>
              </w:rPr>
            </w:pPr>
            <w:r w:rsidRPr="007D3F58">
              <w:rPr>
                <w:rFonts w:ascii="Courier New" w:hAnsi="Courier New"/>
                <w:b/>
                <w:bCs/>
                <w:color w:val="FFFFFF"/>
                <w:sz w:val="2"/>
                <w:szCs w:val="2"/>
                <w:rtl/>
              </w:rPr>
              <w:t>54678313</w:t>
            </w:r>
          </w:p>
        </w:tc>
      </w:tr>
      <w:tr w:rsidR="008942F9" w14:paraId="45D2F3D9" w14:textId="77777777" w:rsidTr="008942F9">
        <w:tc>
          <w:tcPr>
            <w:tcW w:w="2869" w:type="dxa"/>
            <w:tcBorders>
              <w:top w:val="single" w:sz="4" w:space="0" w:color="auto"/>
              <w:left w:val="nil"/>
              <w:bottom w:val="nil"/>
              <w:right w:val="nil"/>
            </w:tcBorders>
            <w:shd w:val="clear" w:color="auto" w:fill="auto"/>
          </w:tcPr>
          <w:p w14:paraId="4D07F871" w14:textId="77777777" w:rsidR="008942F9" w:rsidRPr="008942F9" w:rsidRDefault="008942F9" w:rsidP="008942F9">
            <w:pPr>
              <w:pStyle w:val="3"/>
              <w:spacing w:line="240" w:lineRule="auto"/>
              <w:jc w:val="center"/>
              <w:rPr>
                <w:sz w:val="28"/>
                <w:rtl/>
              </w:rPr>
            </w:pPr>
            <w:r w:rsidRPr="008942F9">
              <w:rPr>
                <w:rFonts w:hint="cs"/>
                <w:sz w:val="28"/>
                <w:rtl/>
              </w:rPr>
              <w:t>רבקה פרידמן-פלדמן, שופטת</w:t>
            </w:r>
          </w:p>
        </w:tc>
      </w:tr>
    </w:tbl>
    <w:p w14:paraId="48E19BC8" w14:textId="77777777" w:rsidR="008942F9" w:rsidRDefault="008942F9" w:rsidP="008942F9">
      <w:pPr>
        <w:jc w:val="center"/>
        <w:rPr>
          <w:rtl/>
        </w:rPr>
      </w:pPr>
    </w:p>
    <w:p w14:paraId="12221A3B" w14:textId="77777777" w:rsidR="008942F9" w:rsidRPr="00A65C7C" w:rsidRDefault="008942F9" w:rsidP="008942F9">
      <w:pPr>
        <w:rPr>
          <w:rStyle w:val="FrankRuehl14"/>
          <w:rtl/>
        </w:rPr>
      </w:pPr>
    </w:p>
    <w:p w14:paraId="4155035A" w14:textId="77777777" w:rsidR="008942F9" w:rsidRDefault="008942F9" w:rsidP="008942F9">
      <w:pPr>
        <w:pStyle w:val="a3"/>
        <w:jc w:val="center"/>
        <w:rPr>
          <w:rtl/>
        </w:rPr>
      </w:pPr>
    </w:p>
    <w:p w14:paraId="756E7D31" w14:textId="77777777" w:rsidR="00317D80" w:rsidRPr="007D3F58" w:rsidRDefault="00317D80" w:rsidP="007D3F58">
      <w:pPr>
        <w:keepNext/>
        <w:rPr>
          <w:rFonts w:ascii="David" w:hAnsi="David"/>
          <w:color w:val="000000"/>
          <w:sz w:val="22"/>
          <w:szCs w:val="22"/>
          <w:rtl/>
        </w:rPr>
      </w:pPr>
    </w:p>
    <w:p w14:paraId="2AC5B76A" w14:textId="77777777" w:rsidR="007D3F58" w:rsidRPr="007D3F58" w:rsidRDefault="007D3F58" w:rsidP="007D3F58">
      <w:pPr>
        <w:keepNext/>
        <w:rPr>
          <w:rFonts w:ascii="David" w:hAnsi="David"/>
          <w:color w:val="000000"/>
          <w:sz w:val="22"/>
          <w:szCs w:val="22"/>
          <w:rtl/>
        </w:rPr>
      </w:pPr>
      <w:r w:rsidRPr="007D3F58">
        <w:rPr>
          <w:rFonts w:ascii="David" w:hAnsi="David"/>
          <w:color w:val="000000"/>
          <w:sz w:val="22"/>
          <w:szCs w:val="22"/>
          <w:rtl/>
        </w:rPr>
        <w:t>רבקה פרידמן פלדמן 54678313</w:t>
      </w:r>
    </w:p>
    <w:p w14:paraId="7E1A25A9" w14:textId="77777777" w:rsidR="007D3F58" w:rsidRDefault="007D3F58" w:rsidP="007D3F58">
      <w:r w:rsidRPr="007D3F58">
        <w:rPr>
          <w:color w:val="000000"/>
          <w:rtl/>
        </w:rPr>
        <w:t>נוסח מסמך זה כפוף לשינויי ניסוח ועריכה</w:t>
      </w:r>
    </w:p>
    <w:p w14:paraId="4C23C186" w14:textId="77777777" w:rsidR="007D3F58" w:rsidRDefault="007D3F58" w:rsidP="007D3F58">
      <w:pPr>
        <w:rPr>
          <w:rtl/>
        </w:rPr>
      </w:pPr>
    </w:p>
    <w:p w14:paraId="12C418B6" w14:textId="77777777" w:rsidR="007D3F58" w:rsidRDefault="007D3F58" w:rsidP="007D3F58">
      <w:pPr>
        <w:jc w:val="center"/>
        <w:rPr>
          <w:color w:val="0000FF"/>
          <w:u w:val="single"/>
        </w:rPr>
      </w:pPr>
      <w:hyperlink r:id="rId33" w:history="1">
        <w:r>
          <w:rPr>
            <w:color w:val="0000FF"/>
            <w:u w:val="single"/>
            <w:rtl/>
          </w:rPr>
          <w:t>בעניין עריכה ושינויים במסמכי פסיקה, חקיקה ועוד באתר נבו – הקש כאן</w:t>
        </w:r>
      </w:hyperlink>
    </w:p>
    <w:p w14:paraId="07F4A83B" w14:textId="77777777" w:rsidR="007D3F58" w:rsidRPr="007D3F58" w:rsidRDefault="007D3F58" w:rsidP="007D3F58">
      <w:pPr>
        <w:jc w:val="center"/>
        <w:rPr>
          <w:color w:val="0000FF"/>
          <w:u w:val="single"/>
        </w:rPr>
      </w:pPr>
    </w:p>
    <w:sectPr w:rsidR="007D3F58" w:rsidRPr="007D3F58" w:rsidSect="007D3F58">
      <w:headerReference w:type="even" r:id="rId34"/>
      <w:headerReference w:type="default" r:id="rId35"/>
      <w:footerReference w:type="even" r:id="rId36"/>
      <w:footerReference w:type="default" r:id="rId37"/>
      <w:pgSz w:w="11907" w:h="16840" w:code="9"/>
      <w:pgMar w:top="1701" w:right="1701" w:bottom="1560"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DA0CC9" w14:textId="77777777" w:rsidR="005C45EE" w:rsidRDefault="005C45EE" w:rsidP="00462217">
      <w:r>
        <w:separator/>
      </w:r>
    </w:p>
  </w:endnote>
  <w:endnote w:type="continuationSeparator" w:id="0">
    <w:p w14:paraId="2542804B" w14:textId="77777777" w:rsidR="005C45EE" w:rsidRDefault="005C45EE" w:rsidP="004622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22839" w14:textId="77777777" w:rsidR="007D3F58" w:rsidRDefault="007D3F58" w:rsidP="007D3F5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w:t>
    </w:r>
    <w:r>
      <w:rPr>
        <w:rFonts w:ascii="FrankRuehl" w:hAnsi="FrankRuehl" w:cs="FrankRuehl"/>
        <w:rtl/>
      </w:rPr>
      <w:fldChar w:fldCharType="end"/>
    </w:r>
  </w:p>
  <w:p w14:paraId="7B0E0651" w14:textId="77777777" w:rsidR="007D3F58" w:rsidRPr="007D3F58" w:rsidRDefault="007D3F58" w:rsidP="007D3F58">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7.9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BCD22" w14:textId="77777777" w:rsidR="007D3F58" w:rsidRDefault="007D3F58" w:rsidP="007D3F58">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 xml:space="preserve">PAGE </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1B3FE4">
      <w:rPr>
        <w:rFonts w:ascii="FrankRuehl" w:hAnsi="FrankRuehl" w:cs="FrankRuehl"/>
        <w:rtl/>
      </w:rPr>
      <w:t>1</w:t>
    </w:r>
    <w:r>
      <w:rPr>
        <w:rFonts w:ascii="FrankRuehl" w:hAnsi="FrankRuehl" w:cs="FrankRuehl"/>
        <w:rtl/>
      </w:rPr>
      <w:fldChar w:fldCharType="end"/>
    </w:r>
  </w:p>
  <w:p w14:paraId="027949DA" w14:textId="77777777" w:rsidR="00C472AC" w:rsidRPr="007D3F58" w:rsidRDefault="007D3F58" w:rsidP="007D3F58">
    <w:pPr>
      <w:pStyle w:val="a5"/>
      <w:pBdr>
        <w:top w:val="single" w:sz="4" w:space="1" w:color="auto"/>
        <w:between w:val="single" w:sz="4" w:space="0" w:color="auto"/>
      </w:pBdr>
      <w:spacing w:after="60"/>
      <w:jc w:val="center"/>
      <w:rPr>
        <w:rFonts w:ascii="FrankRuehl" w:hAnsi="FrankRuehl" w:cs="FrankRuehl" w:hint="cs"/>
        <w:color w:val="000000"/>
        <w:rtl/>
      </w:rPr>
    </w:pPr>
    <w:r>
      <w:rPr>
        <w:rFonts w:ascii="FrankRuehl" w:hAnsi="FrankRuehl" w:cs="FrankRuehl" w:hint="cs"/>
        <w:color w:val="000000"/>
      </w:rPr>
      <w:pict w14:anchorId="280648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7.9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1780E2" w14:textId="77777777" w:rsidR="005C45EE" w:rsidRDefault="005C45EE" w:rsidP="00462217">
      <w:r>
        <w:separator/>
      </w:r>
    </w:p>
  </w:footnote>
  <w:footnote w:type="continuationSeparator" w:id="0">
    <w:p w14:paraId="15044AAC" w14:textId="77777777" w:rsidR="005C45EE" w:rsidRDefault="005C45EE" w:rsidP="004622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0FFEA" w14:textId="77777777" w:rsidR="007D3F58" w:rsidRPr="007D3F58" w:rsidRDefault="007D3F58" w:rsidP="007D3F5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1316-04-19</w:t>
    </w:r>
    <w:r>
      <w:rPr>
        <w:rFonts w:ascii="David" w:hAnsi="David"/>
        <w:color w:val="000000"/>
        <w:sz w:val="22"/>
        <w:szCs w:val="22"/>
        <w:rtl/>
      </w:rPr>
      <w:tab/>
      <w:t xml:space="preserve"> מדינת ישראל נ' עמרו כבאגה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B3689" w14:textId="77777777" w:rsidR="007D3F58" w:rsidRPr="007D3F58" w:rsidRDefault="007D3F58" w:rsidP="007D3F5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1316-04-19</w:t>
    </w:r>
    <w:r>
      <w:rPr>
        <w:rFonts w:ascii="David" w:hAnsi="David"/>
        <w:color w:val="000000"/>
        <w:sz w:val="22"/>
        <w:szCs w:val="22"/>
        <w:rtl/>
      </w:rPr>
      <w:tab/>
      <w:t xml:space="preserve"> מדינת ישראל נ' עמרו כבאגה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942F9"/>
    <w:rsid w:val="001473BD"/>
    <w:rsid w:val="001B3FE4"/>
    <w:rsid w:val="00317D80"/>
    <w:rsid w:val="00462217"/>
    <w:rsid w:val="005C45EE"/>
    <w:rsid w:val="007D3F58"/>
    <w:rsid w:val="008942F9"/>
    <w:rsid w:val="00A266BE"/>
    <w:rsid w:val="00C472AC"/>
    <w:rsid w:val="00C501AB"/>
    <w:rsid w:val="00CD43D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C93EBD7"/>
  <w15:chartTrackingRefBased/>
  <w15:docId w15:val="{C193470A-226E-4BB1-A836-51860AF43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942F9"/>
    <w:pPr>
      <w:bidi/>
    </w:pPr>
    <w:rPr>
      <w:rFonts w:ascii="Times New Roman" w:eastAsia="Times New Roman" w:hAnsi="Times New Roman" w:cs="David"/>
      <w:noProof/>
      <w:sz w:val="24"/>
      <w:szCs w:val="24"/>
    </w:rPr>
  </w:style>
  <w:style w:type="paragraph" w:styleId="3">
    <w:name w:val="heading 3"/>
    <w:basedOn w:val="a"/>
    <w:next w:val="a"/>
    <w:link w:val="30"/>
    <w:qFormat/>
    <w:rsid w:val="008942F9"/>
    <w:pPr>
      <w:keepNext/>
      <w:spacing w:line="360" w:lineRule="auto"/>
      <w:jc w:val="both"/>
      <w:outlineLvl w:val="2"/>
    </w:pPr>
    <w:rPr>
      <w:b/>
      <w:bCs/>
      <w:sz w:val="20"/>
      <w:lang w:eastAsia="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כותרת 3 תו"/>
    <w:link w:val="3"/>
    <w:rsid w:val="008942F9"/>
    <w:rPr>
      <w:rFonts w:ascii="Times New Roman" w:eastAsia="Times New Roman" w:hAnsi="Times New Roman" w:cs="David"/>
      <w:b/>
      <w:bCs/>
      <w:noProof/>
      <w:sz w:val="20"/>
      <w:szCs w:val="24"/>
      <w:lang w:eastAsia="he-IL"/>
    </w:rPr>
  </w:style>
  <w:style w:type="paragraph" w:styleId="a3">
    <w:name w:val="header"/>
    <w:basedOn w:val="a"/>
    <w:link w:val="a4"/>
    <w:rsid w:val="008942F9"/>
    <w:pPr>
      <w:tabs>
        <w:tab w:val="center" w:pos="4153"/>
        <w:tab w:val="right" w:pos="8306"/>
      </w:tabs>
    </w:pPr>
  </w:style>
  <w:style w:type="character" w:customStyle="1" w:styleId="a4">
    <w:name w:val="כותרת עליונה תו"/>
    <w:link w:val="a3"/>
    <w:rsid w:val="008942F9"/>
    <w:rPr>
      <w:rFonts w:ascii="Times New Roman" w:eastAsia="Times New Roman" w:hAnsi="Times New Roman" w:cs="David"/>
      <w:noProof/>
      <w:sz w:val="24"/>
      <w:szCs w:val="24"/>
    </w:rPr>
  </w:style>
  <w:style w:type="paragraph" w:styleId="a5">
    <w:name w:val="footer"/>
    <w:basedOn w:val="a"/>
    <w:link w:val="a6"/>
    <w:rsid w:val="008942F9"/>
    <w:pPr>
      <w:tabs>
        <w:tab w:val="center" w:pos="4153"/>
        <w:tab w:val="right" w:pos="8306"/>
      </w:tabs>
    </w:pPr>
  </w:style>
  <w:style w:type="character" w:customStyle="1" w:styleId="a6">
    <w:name w:val="כותרת תחתונה תו"/>
    <w:link w:val="a5"/>
    <w:rsid w:val="008942F9"/>
    <w:rPr>
      <w:rFonts w:ascii="Times New Roman" w:eastAsia="Times New Roman" w:hAnsi="Times New Roman" w:cs="David"/>
      <w:noProof/>
      <w:sz w:val="24"/>
      <w:szCs w:val="24"/>
    </w:rPr>
  </w:style>
  <w:style w:type="table" w:styleId="a7">
    <w:name w:val="Table Grid"/>
    <w:basedOn w:val="a1"/>
    <w:rsid w:val="008942F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rialFrankRuehl14">
    <w:name w:val="סגנון (לטיני) Arial (עברית ושפות אחרות) FrankRuehl ‏14 נק'"/>
    <w:rsid w:val="008942F9"/>
    <w:rPr>
      <w:rFonts w:ascii="Arial" w:hAnsi="Arial" w:cs="David"/>
      <w:sz w:val="28"/>
      <w:szCs w:val="24"/>
    </w:rPr>
  </w:style>
  <w:style w:type="character" w:customStyle="1" w:styleId="FrankRuehl14">
    <w:name w:val="סגנון (עברית ושפות אחרות) FrankRuehl ‏14 נק'"/>
    <w:rsid w:val="008942F9"/>
    <w:rPr>
      <w:rFonts w:cs="David"/>
      <w:sz w:val="28"/>
      <w:szCs w:val="24"/>
    </w:rPr>
  </w:style>
  <w:style w:type="character" w:styleId="a8">
    <w:name w:val="page number"/>
    <w:rsid w:val="007D3F58"/>
  </w:style>
  <w:style w:type="character" w:styleId="Hyperlink">
    <w:name w:val="Hyperlink"/>
    <w:rsid w:val="007D3F58"/>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case/23877165" TargetMode="External"/><Relationship Id="rId26" Type="http://schemas.openxmlformats.org/officeDocument/2006/relationships/hyperlink" Target="http://www.nevo.co.il/case/13090914" TargetMode="External"/><Relationship Id="rId39" Type="http://schemas.openxmlformats.org/officeDocument/2006/relationships/theme" Target="theme/theme1.xml"/><Relationship Id="rId21" Type="http://schemas.openxmlformats.org/officeDocument/2006/relationships/hyperlink" Target="http://www.nevo.co.il/case/20007334" TargetMode="External"/><Relationship Id="rId34" Type="http://schemas.openxmlformats.org/officeDocument/2006/relationships/header" Target="header1.xml"/><Relationship Id="rId7" Type="http://schemas.openxmlformats.org/officeDocument/2006/relationships/hyperlink" Target="http://www.nevo.co.il/law/70301/25" TargetMode="External"/><Relationship Id="rId12" Type="http://schemas.openxmlformats.org/officeDocument/2006/relationships/hyperlink" Target="http://www.nevo.co.il/law/70301/25" TargetMode="External"/><Relationship Id="rId17" Type="http://schemas.openxmlformats.org/officeDocument/2006/relationships/hyperlink" Target="http://www.nevo.co.il/law/70301/40c" TargetMode="External"/><Relationship Id="rId25" Type="http://schemas.openxmlformats.org/officeDocument/2006/relationships/hyperlink" Target="http://www.nevo.co.il/case/23750625" TargetMode="External"/><Relationship Id="rId33" Type="http://schemas.openxmlformats.org/officeDocument/2006/relationships/hyperlink" Target="http://www.nevo.co.il/advertisements/nevo-100.doc" TargetMode="External"/><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nevo.co.il/law/70301/40b" TargetMode="External"/><Relationship Id="rId20" Type="http://schemas.openxmlformats.org/officeDocument/2006/relationships/hyperlink" Target="http://www.nevo.co.il/case/13090914" TargetMode="External"/><Relationship Id="rId29" Type="http://schemas.openxmlformats.org/officeDocument/2006/relationships/hyperlink" Target="http://www.nevo.co.il/case/6054579"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144.b2" TargetMode="External"/><Relationship Id="rId24" Type="http://schemas.openxmlformats.org/officeDocument/2006/relationships/hyperlink" Target="http://www.nevo.co.il/case/21589069" TargetMode="External"/><Relationship Id="rId32" Type="http://schemas.openxmlformats.org/officeDocument/2006/relationships/hyperlink" Target="http://www.nevo.co.il/case/6008999" TargetMode="External"/><Relationship Id="rId37"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case/23850962" TargetMode="External"/><Relationship Id="rId28" Type="http://schemas.openxmlformats.org/officeDocument/2006/relationships/hyperlink" Target="http://www.nevo.co.il/case/5703734" TargetMode="External"/><Relationship Id="rId36" Type="http://schemas.openxmlformats.org/officeDocument/2006/relationships/footer" Target="footer1.xml"/><Relationship Id="rId10" Type="http://schemas.openxmlformats.org/officeDocument/2006/relationships/hyperlink" Target="http://www.nevo.co.il/law/70301/144.b2" TargetMode="External"/><Relationship Id="rId19" Type="http://schemas.openxmlformats.org/officeDocument/2006/relationships/hyperlink" Target="http://www.nevo.co.il/case/21474520" TargetMode="External"/><Relationship Id="rId31" Type="http://schemas.openxmlformats.org/officeDocument/2006/relationships/hyperlink" Target="http://www.nevo.co.il/case/5962283" TargetMode="External"/><Relationship Id="rId4" Type="http://schemas.openxmlformats.org/officeDocument/2006/relationships/footnotes" Target="footnotes.xml"/><Relationship Id="rId9" Type="http://schemas.openxmlformats.org/officeDocument/2006/relationships/hyperlink" Target="http://www.nevo.co.il/law/70301/40c" TargetMode="External"/><Relationship Id="rId14" Type="http://schemas.openxmlformats.org/officeDocument/2006/relationships/hyperlink" Target="http://www.nevo.co.il/law/70301/144.b2" TargetMode="External"/><Relationship Id="rId22" Type="http://schemas.openxmlformats.org/officeDocument/2006/relationships/hyperlink" Target="http://www.nevo.co.il/case/21472788" TargetMode="External"/><Relationship Id="rId27" Type="http://schemas.openxmlformats.org/officeDocument/2006/relationships/hyperlink" Target="http://www.nevo.co.il/case/6034921" TargetMode="External"/><Relationship Id="rId30" Type="http://schemas.openxmlformats.org/officeDocument/2006/relationships/hyperlink" Target="http://www.nevo.co.il/case/5699080" TargetMode="External"/><Relationship Id="rId35" Type="http://schemas.openxmlformats.org/officeDocument/2006/relationships/header" Target="header2.xml"/><Relationship Id="rId8" Type="http://schemas.openxmlformats.org/officeDocument/2006/relationships/hyperlink" Target="http://www.nevo.co.il/law/70301/40b" TargetMode="External"/><Relationship Id="rId3"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2477</Words>
  <Characters>12386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14834</CharactersWithSpaces>
  <SharedDoc>false</SharedDoc>
  <HLinks>
    <vt:vector size="168" baseType="variant">
      <vt:variant>
        <vt:i4>393283</vt:i4>
      </vt:variant>
      <vt:variant>
        <vt:i4>81</vt:i4>
      </vt:variant>
      <vt:variant>
        <vt:i4>0</vt:i4>
      </vt:variant>
      <vt:variant>
        <vt:i4>5</vt:i4>
      </vt:variant>
      <vt:variant>
        <vt:lpwstr>http://www.nevo.co.il/advertisements/nevo-100.doc</vt:lpwstr>
      </vt:variant>
      <vt:variant>
        <vt:lpwstr/>
      </vt:variant>
      <vt:variant>
        <vt:i4>3539061</vt:i4>
      </vt:variant>
      <vt:variant>
        <vt:i4>78</vt:i4>
      </vt:variant>
      <vt:variant>
        <vt:i4>0</vt:i4>
      </vt:variant>
      <vt:variant>
        <vt:i4>5</vt:i4>
      </vt:variant>
      <vt:variant>
        <vt:lpwstr>http://www.nevo.co.il/case/6008999</vt:lpwstr>
      </vt:variant>
      <vt:variant>
        <vt:lpwstr/>
      </vt:variant>
      <vt:variant>
        <vt:i4>3276919</vt:i4>
      </vt:variant>
      <vt:variant>
        <vt:i4>75</vt:i4>
      </vt:variant>
      <vt:variant>
        <vt:i4>0</vt:i4>
      </vt:variant>
      <vt:variant>
        <vt:i4>5</vt:i4>
      </vt:variant>
      <vt:variant>
        <vt:lpwstr>http://www.nevo.co.il/case/5962283</vt:lpwstr>
      </vt:variant>
      <vt:variant>
        <vt:lpwstr/>
      </vt:variant>
      <vt:variant>
        <vt:i4>3932275</vt:i4>
      </vt:variant>
      <vt:variant>
        <vt:i4>72</vt:i4>
      </vt:variant>
      <vt:variant>
        <vt:i4>0</vt:i4>
      </vt:variant>
      <vt:variant>
        <vt:i4>5</vt:i4>
      </vt:variant>
      <vt:variant>
        <vt:lpwstr>http://www.nevo.co.il/case/5699080</vt:lpwstr>
      </vt:variant>
      <vt:variant>
        <vt:lpwstr/>
      </vt:variant>
      <vt:variant>
        <vt:i4>4128887</vt:i4>
      </vt:variant>
      <vt:variant>
        <vt:i4>69</vt:i4>
      </vt:variant>
      <vt:variant>
        <vt:i4>0</vt:i4>
      </vt:variant>
      <vt:variant>
        <vt:i4>5</vt:i4>
      </vt:variant>
      <vt:variant>
        <vt:lpwstr>http://www.nevo.co.il/case/6054579</vt:lpwstr>
      </vt:variant>
      <vt:variant>
        <vt:lpwstr/>
      </vt:variant>
      <vt:variant>
        <vt:i4>3539059</vt:i4>
      </vt:variant>
      <vt:variant>
        <vt:i4>66</vt:i4>
      </vt:variant>
      <vt:variant>
        <vt:i4>0</vt:i4>
      </vt:variant>
      <vt:variant>
        <vt:i4>5</vt:i4>
      </vt:variant>
      <vt:variant>
        <vt:lpwstr>http://www.nevo.co.il/case/5703734</vt:lpwstr>
      </vt:variant>
      <vt:variant>
        <vt:lpwstr/>
      </vt:variant>
      <vt:variant>
        <vt:i4>3997810</vt:i4>
      </vt:variant>
      <vt:variant>
        <vt:i4>63</vt:i4>
      </vt:variant>
      <vt:variant>
        <vt:i4>0</vt:i4>
      </vt:variant>
      <vt:variant>
        <vt:i4>5</vt:i4>
      </vt:variant>
      <vt:variant>
        <vt:lpwstr>http://www.nevo.co.il/case/6034921</vt:lpwstr>
      </vt:variant>
      <vt:variant>
        <vt:lpwstr/>
      </vt:variant>
      <vt:variant>
        <vt:i4>3145847</vt:i4>
      </vt:variant>
      <vt:variant>
        <vt:i4>60</vt:i4>
      </vt:variant>
      <vt:variant>
        <vt:i4>0</vt:i4>
      </vt:variant>
      <vt:variant>
        <vt:i4>5</vt:i4>
      </vt:variant>
      <vt:variant>
        <vt:lpwstr>http://www.nevo.co.il/case/13090914</vt:lpwstr>
      </vt:variant>
      <vt:variant>
        <vt:lpwstr/>
      </vt:variant>
      <vt:variant>
        <vt:i4>3604596</vt:i4>
      </vt:variant>
      <vt:variant>
        <vt:i4>57</vt:i4>
      </vt:variant>
      <vt:variant>
        <vt:i4>0</vt:i4>
      </vt:variant>
      <vt:variant>
        <vt:i4>5</vt:i4>
      </vt:variant>
      <vt:variant>
        <vt:lpwstr>http://www.nevo.co.il/case/23750625</vt:lpwstr>
      </vt:variant>
      <vt:variant>
        <vt:lpwstr/>
      </vt:variant>
      <vt:variant>
        <vt:i4>3670141</vt:i4>
      </vt:variant>
      <vt:variant>
        <vt:i4>54</vt:i4>
      </vt:variant>
      <vt:variant>
        <vt:i4>0</vt:i4>
      </vt:variant>
      <vt:variant>
        <vt:i4>5</vt:i4>
      </vt:variant>
      <vt:variant>
        <vt:lpwstr>http://www.nevo.co.il/case/21589069</vt:lpwstr>
      </vt:variant>
      <vt:variant>
        <vt:lpwstr/>
      </vt:variant>
      <vt:variant>
        <vt:i4>3932283</vt:i4>
      </vt:variant>
      <vt:variant>
        <vt:i4>51</vt:i4>
      </vt:variant>
      <vt:variant>
        <vt:i4>0</vt:i4>
      </vt:variant>
      <vt:variant>
        <vt:i4>5</vt:i4>
      </vt:variant>
      <vt:variant>
        <vt:lpwstr>http://www.nevo.co.il/case/23850962</vt:lpwstr>
      </vt:variant>
      <vt:variant>
        <vt:lpwstr/>
      </vt:variant>
      <vt:variant>
        <vt:i4>3932277</vt:i4>
      </vt:variant>
      <vt:variant>
        <vt:i4>48</vt:i4>
      </vt:variant>
      <vt:variant>
        <vt:i4>0</vt:i4>
      </vt:variant>
      <vt:variant>
        <vt:i4>5</vt:i4>
      </vt:variant>
      <vt:variant>
        <vt:lpwstr>http://www.nevo.co.il/case/21472788</vt:lpwstr>
      </vt:variant>
      <vt:variant>
        <vt:lpwstr/>
      </vt:variant>
      <vt:variant>
        <vt:i4>3539063</vt:i4>
      </vt:variant>
      <vt:variant>
        <vt:i4>45</vt:i4>
      </vt:variant>
      <vt:variant>
        <vt:i4>0</vt:i4>
      </vt:variant>
      <vt:variant>
        <vt:i4>5</vt:i4>
      </vt:variant>
      <vt:variant>
        <vt:lpwstr>http://www.nevo.co.il/case/20007334</vt:lpwstr>
      </vt:variant>
      <vt:variant>
        <vt:lpwstr/>
      </vt:variant>
      <vt:variant>
        <vt:i4>3145847</vt:i4>
      </vt:variant>
      <vt:variant>
        <vt:i4>42</vt:i4>
      </vt:variant>
      <vt:variant>
        <vt:i4>0</vt:i4>
      </vt:variant>
      <vt:variant>
        <vt:i4>5</vt:i4>
      </vt:variant>
      <vt:variant>
        <vt:lpwstr>http://www.nevo.co.il/case/13090914</vt:lpwstr>
      </vt:variant>
      <vt:variant>
        <vt:lpwstr/>
      </vt:variant>
      <vt:variant>
        <vt:i4>3145847</vt:i4>
      </vt:variant>
      <vt:variant>
        <vt:i4>39</vt:i4>
      </vt:variant>
      <vt:variant>
        <vt:i4>0</vt:i4>
      </vt:variant>
      <vt:variant>
        <vt:i4>5</vt:i4>
      </vt:variant>
      <vt:variant>
        <vt:lpwstr>http://www.nevo.co.il/case/21474520</vt:lpwstr>
      </vt:variant>
      <vt:variant>
        <vt:lpwstr/>
      </vt:variant>
      <vt:variant>
        <vt:i4>3866737</vt:i4>
      </vt:variant>
      <vt:variant>
        <vt:i4>36</vt:i4>
      </vt:variant>
      <vt:variant>
        <vt:i4>0</vt:i4>
      </vt:variant>
      <vt:variant>
        <vt:i4>5</vt:i4>
      </vt:variant>
      <vt:variant>
        <vt:lpwstr>http://www.nevo.co.il/case/23877165</vt:lpwstr>
      </vt:variant>
      <vt:variant>
        <vt:lpwstr/>
      </vt:variant>
      <vt:variant>
        <vt:i4>6619233</vt:i4>
      </vt:variant>
      <vt:variant>
        <vt:i4>33</vt:i4>
      </vt:variant>
      <vt:variant>
        <vt:i4>0</vt:i4>
      </vt:variant>
      <vt:variant>
        <vt:i4>5</vt:i4>
      </vt:variant>
      <vt:variant>
        <vt:lpwstr>http://www.nevo.co.il/law/70301/40c</vt:lpwstr>
      </vt:variant>
      <vt:variant>
        <vt:lpwstr/>
      </vt:variant>
      <vt:variant>
        <vt:i4>6619233</vt:i4>
      </vt:variant>
      <vt:variant>
        <vt:i4>30</vt:i4>
      </vt:variant>
      <vt:variant>
        <vt:i4>0</vt:i4>
      </vt:variant>
      <vt:variant>
        <vt:i4>5</vt:i4>
      </vt:variant>
      <vt:variant>
        <vt:lpwstr>http://www.nevo.co.il/law/70301/40b</vt:lpwstr>
      </vt:variant>
      <vt:variant>
        <vt:lpwstr/>
      </vt:variant>
      <vt:variant>
        <vt:i4>7995492</vt:i4>
      </vt:variant>
      <vt:variant>
        <vt:i4>27</vt:i4>
      </vt:variant>
      <vt:variant>
        <vt:i4>0</vt:i4>
      </vt:variant>
      <vt:variant>
        <vt:i4>5</vt:i4>
      </vt:variant>
      <vt:variant>
        <vt:lpwstr>http://www.nevo.co.il/law/70301</vt:lpwstr>
      </vt:variant>
      <vt:variant>
        <vt:lpwstr/>
      </vt:variant>
      <vt:variant>
        <vt:i4>8192050</vt:i4>
      </vt:variant>
      <vt:variant>
        <vt:i4>24</vt:i4>
      </vt:variant>
      <vt:variant>
        <vt:i4>0</vt:i4>
      </vt:variant>
      <vt:variant>
        <vt:i4>5</vt:i4>
      </vt:variant>
      <vt:variant>
        <vt:lpwstr>http://www.nevo.co.il/law/70301/144.b2</vt:lpwstr>
      </vt:variant>
      <vt:variant>
        <vt:lpwstr/>
      </vt:variant>
      <vt:variant>
        <vt:i4>7995492</vt:i4>
      </vt:variant>
      <vt:variant>
        <vt:i4>21</vt:i4>
      </vt:variant>
      <vt:variant>
        <vt:i4>0</vt:i4>
      </vt:variant>
      <vt:variant>
        <vt:i4>5</vt:i4>
      </vt:variant>
      <vt:variant>
        <vt:lpwstr>http://www.nevo.co.il/law/70301</vt:lpwstr>
      </vt:variant>
      <vt:variant>
        <vt:lpwstr/>
      </vt:variant>
      <vt:variant>
        <vt:i4>6291559</vt:i4>
      </vt:variant>
      <vt:variant>
        <vt:i4>18</vt:i4>
      </vt:variant>
      <vt:variant>
        <vt:i4>0</vt:i4>
      </vt:variant>
      <vt:variant>
        <vt:i4>5</vt:i4>
      </vt:variant>
      <vt:variant>
        <vt:lpwstr>http://www.nevo.co.il/law/70301/25</vt:lpwstr>
      </vt:variant>
      <vt:variant>
        <vt:lpwstr/>
      </vt:variant>
      <vt:variant>
        <vt:i4>8192050</vt:i4>
      </vt:variant>
      <vt:variant>
        <vt:i4>15</vt:i4>
      </vt:variant>
      <vt:variant>
        <vt:i4>0</vt:i4>
      </vt:variant>
      <vt:variant>
        <vt:i4>5</vt:i4>
      </vt:variant>
      <vt:variant>
        <vt:lpwstr>http://www.nevo.co.il/law/70301/144.b2</vt:lpwstr>
      </vt:variant>
      <vt:variant>
        <vt:lpwstr/>
      </vt:variant>
      <vt:variant>
        <vt:i4>8192050</vt:i4>
      </vt:variant>
      <vt:variant>
        <vt:i4>12</vt:i4>
      </vt:variant>
      <vt:variant>
        <vt:i4>0</vt:i4>
      </vt:variant>
      <vt:variant>
        <vt:i4>5</vt:i4>
      </vt:variant>
      <vt:variant>
        <vt:lpwstr>http://www.nevo.co.il/law/70301/144.b2</vt:lpwstr>
      </vt:variant>
      <vt:variant>
        <vt:lpwstr/>
      </vt:variant>
      <vt:variant>
        <vt:i4>6619233</vt:i4>
      </vt:variant>
      <vt:variant>
        <vt:i4>9</vt:i4>
      </vt:variant>
      <vt:variant>
        <vt:i4>0</vt:i4>
      </vt:variant>
      <vt:variant>
        <vt:i4>5</vt:i4>
      </vt:variant>
      <vt:variant>
        <vt:lpwstr>http://www.nevo.co.il/law/70301/40c</vt:lpwstr>
      </vt:variant>
      <vt:variant>
        <vt:lpwstr/>
      </vt:variant>
      <vt:variant>
        <vt:i4>6619233</vt:i4>
      </vt:variant>
      <vt:variant>
        <vt:i4>6</vt:i4>
      </vt:variant>
      <vt:variant>
        <vt:i4>0</vt:i4>
      </vt:variant>
      <vt:variant>
        <vt:i4>5</vt:i4>
      </vt:variant>
      <vt:variant>
        <vt:lpwstr>http://www.nevo.co.il/law/70301/40b</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2023-12-07T12:21:00Z</dcterms:created>
  <dcterms:modified xsi:type="dcterms:W3CDTF">2023-12-07T12:21:00Z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1316</vt:lpwstr>
  </property>
  <property fmtid="{D5CDD505-2E9C-101B-9397-08002B2CF9AE}" pid="6" name="NEWPARTB">
    <vt:lpwstr>04</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עמרו כבאגה</vt:lpwstr>
  </property>
  <property fmtid="{D5CDD505-2E9C-101B-9397-08002B2CF9AE}" pid="10" name="JUDGE">
    <vt:lpwstr>רבקה פרידמן פלדמן</vt:lpwstr>
  </property>
  <property fmtid="{D5CDD505-2E9C-101B-9397-08002B2CF9AE}" pid="11" name="CITY">
    <vt:lpwstr>י-ם</vt:lpwstr>
  </property>
  <property fmtid="{D5CDD505-2E9C-101B-9397-08002B2CF9AE}" pid="12" name="DATE">
    <vt:lpwstr>20200303</vt:lpwstr>
  </property>
  <property fmtid="{D5CDD505-2E9C-101B-9397-08002B2CF9AE}" pid="13" name="TYPE_N_DATE">
    <vt:lpwstr>39020200303</vt:lpwstr>
  </property>
  <property fmtid="{D5CDD505-2E9C-101B-9397-08002B2CF9AE}" pid="14" name="CASESLISTTMP1">
    <vt:lpwstr>23877165;21474520;13090914:2;20007334;21472788;23850962;21589069;23750625;6034921;5703734;6054579;5699080;5962283;6008999</vt:lpwstr>
  </property>
  <property fmtid="{D5CDD505-2E9C-101B-9397-08002B2CF9AE}" pid="15" name="WORDNUMPAGES">
    <vt:lpwstr>7</vt:lpwstr>
  </property>
  <property fmtid="{D5CDD505-2E9C-101B-9397-08002B2CF9AE}" pid="16" name="TYPE_ABS_DATE">
    <vt:lpwstr>390020200303</vt:lpwstr>
  </property>
  <property fmtid="{D5CDD505-2E9C-101B-9397-08002B2CF9AE}" pid="17" name="ISABSTRACT">
    <vt:lpwstr>Y</vt:lpwstr>
  </property>
  <property fmtid="{D5CDD505-2E9C-101B-9397-08002B2CF9AE}" pid="18" name="LAWLISTTMP1">
    <vt:lpwstr>70301/144.b2:2;025;040b;040c</vt:lpwstr>
  </property>
</Properties>
</file>