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05"/>
      </w:tblGrid>
      <w:tr w:rsidR="00B64CB3" w:rsidRPr="006B2B15" w14:paraId="22B87F95" w14:textId="77777777" w:rsidTr="00654627">
        <w:trPr>
          <w:trHeight w:hRule="exact" w:val="418"/>
          <w:jc w:val="center"/>
        </w:trPr>
        <w:tc>
          <w:tcPr>
            <w:tcW w:w="8505" w:type="dxa"/>
          </w:tcPr>
          <w:p w14:paraId="3AB73D53" w14:textId="77777777" w:rsidR="00B64CB3" w:rsidRPr="006B2B15" w:rsidRDefault="00B64CB3" w:rsidP="00654627">
            <w:pPr>
              <w:pStyle w:val="a3"/>
              <w:jc w:val="center"/>
              <w:rPr>
                <w:rFonts w:ascii="Tahoma" w:hAnsi="Tahoma" w:cs="Tahoma"/>
                <w:color w:val="000080"/>
                <w:rtl/>
              </w:rPr>
            </w:pPr>
            <w:bookmarkStart w:id="0" w:name="LastJudge"/>
            <w:r w:rsidRPr="006B2B15">
              <w:rPr>
                <w:rFonts w:ascii="Tahoma" w:hAnsi="Tahoma" w:cs="Tahoma"/>
                <w:b/>
                <w:bCs/>
                <w:color w:val="000080"/>
                <w:rtl/>
              </w:rPr>
              <w:t>בית המשפט המחוזי בחיפה</w:t>
            </w:r>
          </w:p>
        </w:tc>
      </w:tr>
      <w:tr w:rsidR="00B64CB3" w:rsidRPr="006B2B15" w14:paraId="6543D9EF" w14:textId="77777777" w:rsidTr="00654627">
        <w:trPr>
          <w:trHeight w:val="337"/>
          <w:jc w:val="center"/>
        </w:trPr>
        <w:tc>
          <w:tcPr>
            <w:tcW w:w="8505" w:type="dxa"/>
          </w:tcPr>
          <w:p w14:paraId="1B033639" w14:textId="77777777" w:rsidR="00B64CB3" w:rsidRPr="006B2B15" w:rsidRDefault="00B64CB3" w:rsidP="00654627">
            <w:pPr>
              <w:pStyle w:val="a3"/>
              <w:rPr>
                <w:rFonts w:cs="FrankRuehl"/>
                <w:sz w:val="28"/>
                <w:szCs w:val="28"/>
                <w:rtl/>
              </w:rPr>
            </w:pPr>
            <w:r w:rsidRPr="006B2B15">
              <w:rPr>
                <w:rFonts w:cs="FrankRuehl"/>
                <w:sz w:val="28"/>
                <w:szCs w:val="28"/>
                <w:rtl/>
              </w:rPr>
              <w:t>ת"פ</w:t>
            </w:r>
            <w:r w:rsidRPr="006B2B15">
              <w:rPr>
                <w:rFonts w:cs="FrankRuehl" w:hint="cs"/>
                <w:sz w:val="28"/>
                <w:szCs w:val="28"/>
                <w:rtl/>
              </w:rPr>
              <w:t xml:space="preserve"> </w:t>
            </w:r>
            <w:r w:rsidRPr="006B2B15">
              <w:rPr>
                <w:rFonts w:cs="FrankRuehl"/>
                <w:sz w:val="28"/>
                <w:szCs w:val="28"/>
                <w:rtl/>
              </w:rPr>
              <w:t>14115-07-19</w:t>
            </w:r>
            <w:r w:rsidRPr="006B2B15">
              <w:rPr>
                <w:rFonts w:cs="FrankRuehl" w:hint="cs"/>
                <w:sz w:val="28"/>
                <w:szCs w:val="28"/>
                <w:rtl/>
              </w:rPr>
              <w:t xml:space="preserve"> </w:t>
            </w:r>
            <w:r w:rsidRPr="006B2B15">
              <w:rPr>
                <w:rFonts w:cs="FrankRuehl"/>
                <w:sz w:val="28"/>
                <w:szCs w:val="28"/>
                <w:rtl/>
              </w:rPr>
              <w:t xml:space="preserve">מדינת ישראל נ' </w:t>
            </w:r>
            <w:r w:rsidRPr="006B2B15">
              <w:rPr>
                <w:rFonts w:cs="FrankRuehl" w:hint="cs"/>
                <w:sz w:val="28"/>
                <w:szCs w:val="28"/>
                <w:rtl/>
              </w:rPr>
              <w:t xml:space="preserve">ג'בארין </w:t>
            </w:r>
            <w:r w:rsidRPr="006B2B15">
              <w:rPr>
                <w:rFonts w:cs="FrankRuehl"/>
                <w:sz w:val="28"/>
                <w:szCs w:val="28"/>
                <w:rtl/>
              </w:rPr>
              <w:t>(עציר)</w:t>
            </w:r>
          </w:p>
        </w:tc>
      </w:tr>
    </w:tbl>
    <w:p w14:paraId="770C8C9F" w14:textId="77777777" w:rsidR="00B64CB3" w:rsidRPr="006B2B15" w:rsidRDefault="00B64CB3" w:rsidP="00B64CB3">
      <w:pPr>
        <w:pStyle w:val="a3"/>
        <w:rPr>
          <w:rtl/>
        </w:rPr>
      </w:pPr>
      <w:r w:rsidRPr="006B2B15">
        <w:rPr>
          <w:rFonts w:hint="cs"/>
          <w:rtl/>
        </w:rPr>
        <w:t xml:space="preserve"> </w:t>
      </w:r>
    </w:p>
    <w:p w14:paraId="377BB80F" w14:textId="77777777" w:rsidR="00B64CB3" w:rsidRPr="006B2B15" w:rsidRDefault="00B64CB3" w:rsidP="00B64CB3">
      <w:pPr>
        <w:rPr>
          <w:rtl/>
        </w:rPr>
      </w:pPr>
    </w:p>
    <w:p w14:paraId="2050DA83" w14:textId="77777777" w:rsidR="00B64CB3" w:rsidRPr="006B2B15" w:rsidRDefault="00B64CB3" w:rsidP="00B64C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7"/>
        <w:gridCol w:w="3758"/>
      </w:tblGrid>
      <w:tr w:rsidR="00B64CB3" w:rsidRPr="006B2B15" w14:paraId="72BE51EF" w14:textId="77777777" w:rsidTr="00B64CB3">
        <w:trPr>
          <w:trHeight w:val="295"/>
          <w:jc w:val="center"/>
        </w:trPr>
        <w:tc>
          <w:tcPr>
            <w:tcW w:w="8820" w:type="dxa"/>
            <w:gridSpan w:val="3"/>
            <w:tcBorders>
              <w:top w:val="nil"/>
              <w:left w:val="nil"/>
              <w:bottom w:val="nil"/>
              <w:right w:val="nil"/>
            </w:tcBorders>
            <w:shd w:val="clear" w:color="auto" w:fill="auto"/>
          </w:tcPr>
          <w:p w14:paraId="58DB9CDE" w14:textId="77777777" w:rsidR="00B64CB3" w:rsidRPr="006B2B15" w:rsidRDefault="00B64CB3" w:rsidP="00B64CB3">
            <w:pPr>
              <w:jc w:val="both"/>
              <w:rPr>
                <w:rFonts w:ascii="David" w:hAnsi="David"/>
                <w:b/>
                <w:bCs/>
                <w:sz w:val="28"/>
                <w:szCs w:val="28"/>
                <w:rtl/>
              </w:rPr>
            </w:pPr>
            <w:r w:rsidRPr="006B2B15">
              <w:rPr>
                <w:rFonts w:ascii="David" w:hAnsi="David"/>
                <w:b/>
                <w:bCs/>
                <w:sz w:val="28"/>
                <w:szCs w:val="28"/>
                <w:rtl/>
              </w:rPr>
              <w:t>בפני כבוד השופטת  רונית בש</w:t>
            </w:r>
          </w:p>
          <w:p w14:paraId="7C1DE336" w14:textId="77777777" w:rsidR="00B64CB3" w:rsidRPr="006B2B15" w:rsidRDefault="00B64CB3" w:rsidP="00654627">
            <w:pPr>
              <w:rPr>
                <w:rFonts w:ascii="David" w:hAnsi="David"/>
                <w:b/>
                <w:bCs/>
                <w:sz w:val="28"/>
                <w:szCs w:val="28"/>
                <w:rtl/>
              </w:rPr>
            </w:pPr>
          </w:p>
          <w:p w14:paraId="21A28468" w14:textId="77777777" w:rsidR="00B64CB3" w:rsidRPr="006B2B15" w:rsidRDefault="00B64CB3" w:rsidP="00B64CB3">
            <w:pPr>
              <w:jc w:val="both"/>
              <w:rPr>
                <w:rFonts w:ascii="David" w:hAnsi="David"/>
                <w:b/>
                <w:bCs/>
                <w:sz w:val="28"/>
                <w:szCs w:val="28"/>
              </w:rPr>
            </w:pPr>
          </w:p>
        </w:tc>
      </w:tr>
      <w:tr w:rsidR="00B64CB3" w:rsidRPr="006B2B15" w14:paraId="537EE534" w14:textId="77777777" w:rsidTr="00B64CB3">
        <w:trPr>
          <w:trHeight w:val="355"/>
          <w:jc w:val="center"/>
        </w:trPr>
        <w:tc>
          <w:tcPr>
            <w:tcW w:w="923" w:type="dxa"/>
            <w:tcBorders>
              <w:top w:val="nil"/>
              <w:left w:val="nil"/>
              <w:bottom w:val="nil"/>
              <w:right w:val="nil"/>
            </w:tcBorders>
            <w:shd w:val="clear" w:color="auto" w:fill="auto"/>
          </w:tcPr>
          <w:p w14:paraId="0A5A3AF5" w14:textId="77777777" w:rsidR="00B64CB3" w:rsidRPr="006B2B15" w:rsidRDefault="00B64CB3" w:rsidP="00B64CB3">
            <w:pPr>
              <w:jc w:val="both"/>
              <w:rPr>
                <w:rFonts w:ascii="David" w:hAnsi="David"/>
                <w:b/>
                <w:bCs/>
                <w:sz w:val="28"/>
                <w:szCs w:val="28"/>
              </w:rPr>
            </w:pPr>
            <w:bookmarkStart w:id="1" w:name="FirstAppellant"/>
            <w:r w:rsidRPr="006B2B15">
              <w:rPr>
                <w:rFonts w:ascii="David" w:hAnsi="David"/>
                <w:b/>
                <w:bCs/>
                <w:sz w:val="28"/>
                <w:szCs w:val="28"/>
                <w:rtl/>
              </w:rPr>
              <w:t>בעניין:</w:t>
            </w:r>
          </w:p>
        </w:tc>
        <w:tc>
          <w:tcPr>
            <w:tcW w:w="4126" w:type="dxa"/>
            <w:tcBorders>
              <w:top w:val="nil"/>
              <w:left w:val="nil"/>
              <w:bottom w:val="nil"/>
              <w:right w:val="nil"/>
            </w:tcBorders>
            <w:shd w:val="clear" w:color="auto" w:fill="auto"/>
          </w:tcPr>
          <w:p w14:paraId="429489AB" w14:textId="77777777" w:rsidR="00B64CB3" w:rsidRPr="006B2B15" w:rsidRDefault="00B64CB3" w:rsidP="00654627">
            <w:pPr>
              <w:rPr>
                <w:rFonts w:ascii="David" w:hAnsi="David"/>
                <w:b/>
                <w:bCs/>
                <w:sz w:val="28"/>
                <w:szCs w:val="28"/>
              </w:rPr>
            </w:pPr>
            <w:r w:rsidRPr="006B2B15">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57723598" w14:textId="77777777" w:rsidR="00B64CB3" w:rsidRPr="006B2B15" w:rsidRDefault="00B64CB3" w:rsidP="00B64CB3">
            <w:pPr>
              <w:jc w:val="both"/>
              <w:rPr>
                <w:rFonts w:ascii="David" w:hAnsi="David"/>
                <w:b/>
                <w:bCs/>
                <w:sz w:val="28"/>
                <w:szCs w:val="28"/>
              </w:rPr>
            </w:pPr>
            <w:r w:rsidRPr="006B2B15">
              <w:rPr>
                <w:rFonts w:ascii="David" w:hAnsi="David"/>
                <w:b/>
                <w:bCs/>
                <w:sz w:val="28"/>
                <w:szCs w:val="28"/>
                <w:rtl/>
              </w:rPr>
              <w:t>המאשימה</w:t>
            </w:r>
          </w:p>
        </w:tc>
      </w:tr>
      <w:bookmarkEnd w:id="1"/>
      <w:tr w:rsidR="00B64CB3" w:rsidRPr="006B2B15" w14:paraId="2DCF3AF7" w14:textId="77777777" w:rsidTr="00B64CB3">
        <w:trPr>
          <w:trHeight w:val="355"/>
          <w:jc w:val="center"/>
        </w:trPr>
        <w:tc>
          <w:tcPr>
            <w:tcW w:w="923" w:type="dxa"/>
            <w:tcBorders>
              <w:top w:val="nil"/>
              <w:left w:val="nil"/>
              <w:bottom w:val="nil"/>
              <w:right w:val="nil"/>
            </w:tcBorders>
            <w:shd w:val="clear" w:color="auto" w:fill="auto"/>
          </w:tcPr>
          <w:p w14:paraId="462BE5B0" w14:textId="77777777" w:rsidR="00B64CB3" w:rsidRPr="006B2B15" w:rsidRDefault="00B64CB3" w:rsidP="00B64CB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1D177D10" w14:textId="77777777" w:rsidR="00B64CB3" w:rsidRPr="006B2B15" w:rsidRDefault="00B64CB3" w:rsidP="00B64CB3">
            <w:pPr>
              <w:jc w:val="center"/>
              <w:rPr>
                <w:rFonts w:ascii="David" w:hAnsi="David"/>
                <w:b/>
                <w:bCs/>
                <w:sz w:val="28"/>
                <w:szCs w:val="28"/>
                <w:rtl/>
              </w:rPr>
            </w:pPr>
          </w:p>
          <w:p w14:paraId="29258669" w14:textId="77777777" w:rsidR="00B64CB3" w:rsidRPr="006B2B15" w:rsidRDefault="00B64CB3" w:rsidP="00B64CB3">
            <w:pPr>
              <w:jc w:val="center"/>
              <w:rPr>
                <w:rFonts w:ascii="David" w:hAnsi="David"/>
                <w:b/>
                <w:bCs/>
                <w:sz w:val="28"/>
                <w:szCs w:val="28"/>
                <w:rtl/>
              </w:rPr>
            </w:pPr>
            <w:r w:rsidRPr="006B2B15">
              <w:rPr>
                <w:rFonts w:ascii="David" w:hAnsi="David"/>
                <w:b/>
                <w:bCs/>
                <w:sz w:val="28"/>
                <w:szCs w:val="28"/>
                <w:rtl/>
              </w:rPr>
              <w:t>נגד</w:t>
            </w:r>
          </w:p>
          <w:p w14:paraId="1FA23B72" w14:textId="77777777" w:rsidR="00B64CB3" w:rsidRPr="006B2B15" w:rsidRDefault="00B64CB3" w:rsidP="00B64CB3">
            <w:pPr>
              <w:jc w:val="both"/>
              <w:rPr>
                <w:rFonts w:ascii="David" w:hAnsi="David"/>
                <w:b/>
                <w:bCs/>
                <w:sz w:val="28"/>
                <w:szCs w:val="28"/>
              </w:rPr>
            </w:pPr>
          </w:p>
        </w:tc>
      </w:tr>
      <w:tr w:rsidR="00B64CB3" w:rsidRPr="006B2B15" w14:paraId="444040F8" w14:textId="77777777" w:rsidTr="00B64CB3">
        <w:trPr>
          <w:trHeight w:val="355"/>
          <w:jc w:val="center"/>
        </w:trPr>
        <w:tc>
          <w:tcPr>
            <w:tcW w:w="923" w:type="dxa"/>
            <w:tcBorders>
              <w:top w:val="nil"/>
              <w:left w:val="nil"/>
              <w:bottom w:val="nil"/>
              <w:right w:val="nil"/>
            </w:tcBorders>
            <w:shd w:val="clear" w:color="auto" w:fill="auto"/>
          </w:tcPr>
          <w:p w14:paraId="0215D234" w14:textId="77777777" w:rsidR="00B64CB3" w:rsidRPr="006B2B15" w:rsidRDefault="00B64CB3" w:rsidP="00654627">
            <w:pPr>
              <w:rPr>
                <w:rFonts w:ascii="David" w:hAnsi="David"/>
                <w:b/>
                <w:bCs/>
                <w:sz w:val="28"/>
                <w:szCs w:val="28"/>
                <w:rtl/>
              </w:rPr>
            </w:pPr>
          </w:p>
        </w:tc>
        <w:tc>
          <w:tcPr>
            <w:tcW w:w="4126" w:type="dxa"/>
            <w:tcBorders>
              <w:top w:val="nil"/>
              <w:left w:val="nil"/>
              <w:bottom w:val="nil"/>
              <w:right w:val="nil"/>
            </w:tcBorders>
            <w:shd w:val="clear" w:color="auto" w:fill="auto"/>
          </w:tcPr>
          <w:p w14:paraId="1A2DB869" w14:textId="77777777" w:rsidR="00B64CB3" w:rsidRPr="006B2B15" w:rsidRDefault="00B64CB3" w:rsidP="00654627">
            <w:pPr>
              <w:rPr>
                <w:rFonts w:ascii="David" w:hAnsi="David"/>
                <w:b/>
                <w:bCs/>
                <w:sz w:val="28"/>
                <w:szCs w:val="28"/>
                <w:rtl/>
              </w:rPr>
            </w:pPr>
            <w:r w:rsidRPr="006B2B15">
              <w:rPr>
                <w:rFonts w:ascii="David" w:hAnsi="David"/>
                <w:b/>
                <w:bCs/>
                <w:sz w:val="28"/>
                <w:szCs w:val="28"/>
                <w:rtl/>
              </w:rPr>
              <w:t xml:space="preserve">מורשד ג'בארין, ת"ז </w:t>
            </w:r>
            <w:r w:rsidR="006B2B15">
              <w:rPr>
                <w:rFonts w:ascii="David" w:hAnsi="David"/>
                <w:b/>
                <w:bCs/>
                <w:sz w:val="28"/>
                <w:szCs w:val="28"/>
              </w:rPr>
              <w:t>xxxxxxxxxx</w:t>
            </w:r>
            <w:r w:rsidRPr="006B2B15">
              <w:rPr>
                <w:rFonts w:ascii="David" w:hAnsi="David"/>
                <w:b/>
                <w:bCs/>
                <w:sz w:val="28"/>
                <w:szCs w:val="28"/>
                <w:rtl/>
              </w:rPr>
              <w:t>(עציר)</w:t>
            </w:r>
          </w:p>
        </w:tc>
        <w:tc>
          <w:tcPr>
            <w:tcW w:w="3771" w:type="dxa"/>
            <w:tcBorders>
              <w:top w:val="nil"/>
              <w:left w:val="nil"/>
              <w:bottom w:val="nil"/>
              <w:right w:val="nil"/>
            </w:tcBorders>
            <w:shd w:val="clear" w:color="auto" w:fill="auto"/>
          </w:tcPr>
          <w:p w14:paraId="67084B5E" w14:textId="77777777" w:rsidR="00B64CB3" w:rsidRPr="006B2B15" w:rsidRDefault="00B64CB3" w:rsidP="00654627">
            <w:pPr>
              <w:rPr>
                <w:rFonts w:ascii="David" w:hAnsi="David"/>
                <w:b/>
                <w:bCs/>
                <w:sz w:val="28"/>
                <w:szCs w:val="28"/>
              </w:rPr>
            </w:pPr>
            <w:r w:rsidRPr="006B2B15">
              <w:rPr>
                <w:rFonts w:ascii="David" w:hAnsi="David"/>
                <w:b/>
                <w:bCs/>
                <w:sz w:val="28"/>
                <w:szCs w:val="28"/>
                <w:rtl/>
              </w:rPr>
              <w:t>הנאשם</w:t>
            </w:r>
          </w:p>
        </w:tc>
      </w:tr>
    </w:tbl>
    <w:p w14:paraId="7009528B" w14:textId="77777777" w:rsidR="00B64CB3" w:rsidRPr="006B2B15" w:rsidRDefault="00B64CB3" w:rsidP="00B64CB3"/>
    <w:p w14:paraId="30B08047" w14:textId="77777777" w:rsidR="006B2B15" w:rsidRPr="006B2B15" w:rsidRDefault="006B2B15" w:rsidP="006B2B15">
      <w:pPr>
        <w:spacing w:before="120" w:after="120" w:line="240" w:lineRule="exact"/>
        <w:ind w:left="283" w:hanging="283"/>
        <w:jc w:val="both"/>
        <w:rPr>
          <w:rFonts w:ascii="FrankRuehl" w:hAnsi="FrankRuehl" w:cs="FrankRuehl"/>
          <w:rtl/>
        </w:rPr>
      </w:pPr>
    </w:p>
    <w:p w14:paraId="7E35FF47" w14:textId="77777777" w:rsidR="006B2B15" w:rsidRPr="006B2B15" w:rsidRDefault="006B2B15" w:rsidP="006B2B15">
      <w:pPr>
        <w:rPr>
          <w:rFonts w:ascii="Arial" w:hAnsi="Arial"/>
          <w:rtl/>
        </w:rPr>
      </w:pPr>
    </w:p>
    <w:p w14:paraId="788F3EAD" w14:textId="77777777" w:rsidR="007E2A17" w:rsidRPr="007E2A17" w:rsidRDefault="007E2A17" w:rsidP="007E2A17">
      <w:pPr>
        <w:spacing w:before="120" w:after="120" w:line="240" w:lineRule="exact"/>
        <w:ind w:left="283" w:hanging="283"/>
        <w:jc w:val="both"/>
        <w:rPr>
          <w:rFonts w:ascii="FrankRuehl" w:hAnsi="FrankRuehl" w:cs="FrankRuehl"/>
          <w:rtl/>
        </w:rPr>
      </w:pPr>
      <w:bookmarkStart w:id="2" w:name="LawTable"/>
      <w:bookmarkEnd w:id="2"/>
      <w:r w:rsidRPr="007E2A17">
        <w:rPr>
          <w:rFonts w:ascii="FrankRuehl" w:hAnsi="FrankRuehl" w:cs="FrankRuehl"/>
          <w:rtl/>
        </w:rPr>
        <w:t xml:space="preserve">חקיקה שאוזכרה: </w:t>
      </w:r>
    </w:p>
    <w:p w14:paraId="2A6464AA" w14:textId="77777777" w:rsidR="007E2A17" w:rsidRPr="007E2A17" w:rsidRDefault="007E2A17" w:rsidP="007E2A17">
      <w:pPr>
        <w:spacing w:before="120" w:after="120" w:line="240" w:lineRule="exact"/>
        <w:ind w:left="283" w:hanging="283"/>
        <w:jc w:val="both"/>
        <w:rPr>
          <w:rFonts w:ascii="FrankRuehl" w:hAnsi="FrankRuehl" w:cs="FrankRuehl"/>
          <w:rtl/>
        </w:rPr>
      </w:pPr>
      <w:hyperlink r:id="rId7" w:history="1">
        <w:r w:rsidRPr="007E2A17">
          <w:rPr>
            <w:rFonts w:ascii="FrankRuehl" w:hAnsi="FrankRuehl" w:cs="FrankRuehl"/>
            <w:color w:val="0000FF"/>
            <w:u w:val="single"/>
            <w:rtl/>
          </w:rPr>
          <w:t>חוק העונשין, תשל"ז-1977</w:t>
        </w:r>
      </w:hyperlink>
      <w:r w:rsidRPr="007E2A17">
        <w:rPr>
          <w:rFonts w:ascii="FrankRuehl" w:hAnsi="FrankRuehl" w:cs="FrankRuehl"/>
          <w:rtl/>
        </w:rPr>
        <w:t xml:space="preserve">: סע'  </w:t>
      </w:r>
      <w:hyperlink r:id="rId8" w:history="1">
        <w:r w:rsidRPr="007E2A17">
          <w:rPr>
            <w:rFonts w:ascii="FrankRuehl" w:hAnsi="FrankRuehl" w:cs="FrankRuehl"/>
            <w:color w:val="0000FF"/>
            <w:u w:val="single"/>
            <w:rtl/>
          </w:rPr>
          <w:t>40ב</w:t>
        </w:r>
      </w:hyperlink>
      <w:r w:rsidRPr="007E2A17">
        <w:rPr>
          <w:rFonts w:ascii="FrankRuehl" w:hAnsi="FrankRuehl" w:cs="FrankRuehl"/>
          <w:rtl/>
        </w:rPr>
        <w:t xml:space="preserve">, </w:t>
      </w:r>
      <w:hyperlink r:id="rId9" w:history="1">
        <w:r w:rsidRPr="007E2A17">
          <w:rPr>
            <w:rFonts w:ascii="FrankRuehl" w:hAnsi="FrankRuehl" w:cs="FrankRuehl"/>
            <w:color w:val="0000FF"/>
            <w:u w:val="single"/>
            <w:rtl/>
          </w:rPr>
          <w:t>40ג</w:t>
        </w:r>
      </w:hyperlink>
      <w:r w:rsidRPr="007E2A17">
        <w:rPr>
          <w:rFonts w:ascii="FrankRuehl" w:hAnsi="FrankRuehl" w:cs="FrankRuehl"/>
          <w:rtl/>
        </w:rPr>
        <w:t xml:space="preserve">, </w:t>
      </w:r>
      <w:hyperlink r:id="rId10" w:history="1">
        <w:r w:rsidRPr="007E2A17">
          <w:rPr>
            <w:rFonts w:ascii="FrankRuehl" w:hAnsi="FrankRuehl" w:cs="FrankRuehl"/>
            <w:color w:val="0000FF"/>
            <w:u w:val="single"/>
            <w:rtl/>
          </w:rPr>
          <w:t>40ט</w:t>
        </w:r>
      </w:hyperlink>
      <w:r w:rsidRPr="007E2A17">
        <w:rPr>
          <w:rFonts w:ascii="FrankRuehl" w:hAnsi="FrankRuehl" w:cs="FrankRuehl"/>
          <w:rtl/>
        </w:rPr>
        <w:t xml:space="preserve">, </w:t>
      </w:r>
      <w:hyperlink r:id="rId11" w:history="1">
        <w:r w:rsidRPr="007E2A17">
          <w:rPr>
            <w:rFonts w:ascii="FrankRuehl" w:hAnsi="FrankRuehl" w:cs="FrankRuehl"/>
            <w:color w:val="0000FF"/>
            <w:u w:val="single"/>
            <w:rtl/>
          </w:rPr>
          <w:t>144</w:t>
        </w:r>
      </w:hyperlink>
      <w:r w:rsidRPr="007E2A17">
        <w:rPr>
          <w:rFonts w:ascii="FrankRuehl" w:hAnsi="FrankRuehl" w:cs="FrankRuehl"/>
          <w:rtl/>
        </w:rPr>
        <w:t xml:space="preserve">, </w:t>
      </w:r>
      <w:hyperlink r:id="rId12" w:history="1">
        <w:r w:rsidRPr="007E2A17">
          <w:rPr>
            <w:rFonts w:ascii="FrankRuehl" w:hAnsi="FrankRuehl" w:cs="FrankRuehl"/>
            <w:color w:val="0000FF"/>
            <w:u w:val="single"/>
            <w:rtl/>
          </w:rPr>
          <w:t>144(ב)</w:t>
        </w:r>
      </w:hyperlink>
      <w:r w:rsidRPr="007E2A17">
        <w:rPr>
          <w:rFonts w:ascii="FrankRuehl" w:hAnsi="FrankRuehl" w:cs="FrankRuehl"/>
          <w:rtl/>
        </w:rPr>
        <w:t xml:space="preserve">, </w:t>
      </w:r>
      <w:hyperlink r:id="rId13" w:history="1">
        <w:r w:rsidRPr="007E2A17">
          <w:rPr>
            <w:rFonts w:ascii="FrankRuehl" w:hAnsi="FrankRuehl" w:cs="FrankRuehl"/>
            <w:color w:val="0000FF"/>
            <w:u w:val="single"/>
            <w:rtl/>
          </w:rPr>
          <w:t>275</w:t>
        </w:r>
      </w:hyperlink>
      <w:r w:rsidRPr="007E2A17">
        <w:rPr>
          <w:rFonts w:ascii="FrankRuehl" w:hAnsi="FrankRuehl" w:cs="FrankRuehl"/>
          <w:rtl/>
        </w:rPr>
        <w:t xml:space="preserve">, </w:t>
      </w:r>
      <w:hyperlink r:id="rId14" w:history="1">
        <w:r w:rsidRPr="007E2A17">
          <w:rPr>
            <w:rFonts w:ascii="FrankRuehl" w:hAnsi="FrankRuehl" w:cs="FrankRuehl"/>
            <w:color w:val="0000FF"/>
            <w:u w:val="single"/>
            <w:rtl/>
          </w:rPr>
          <w:t>ג' לפרק ט'</w:t>
        </w:r>
      </w:hyperlink>
    </w:p>
    <w:p w14:paraId="6876A44C" w14:textId="77777777" w:rsidR="00B64CB3" w:rsidRDefault="00B64CB3" w:rsidP="007E2A17">
      <w:pPr>
        <w:rPr>
          <w:rFonts w:ascii="Arial" w:hAnsi="Arial" w:hint="cs"/>
          <w:rtl/>
        </w:rPr>
      </w:pPr>
      <w:bookmarkStart w:id="3" w:name="LawTable_End"/>
      <w:bookmarkEnd w:id="3"/>
    </w:p>
    <w:p w14:paraId="2A89EFF2" w14:textId="77777777" w:rsidR="007E2A17" w:rsidRDefault="007E2A17" w:rsidP="007E2A17">
      <w:pPr>
        <w:rPr>
          <w:rFonts w:ascii="Arial" w:hAnsi="Arial" w:hint="cs"/>
          <w:rtl/>
        </w:rPr>
      </w:pPr>
    </w:p>
    <w:p w14:paraId="08C6E5D1" w14:textId="77777777" w:rsidR="007E2A17" w:rsidRDefault="007E2A17" w:rsidP="007E2A17">
      <w:pPr>
        <w:rPr>
          <w:rFonts w:ascii="Arial" w:hAnsi="Arial" w:hint="cs"/>
          <w:rtl/>
        </w:rPr>
      </w:pPr>
    </w:p>
    <w:p w14:paraId="516B40AA" w14:textId="77777777" w:rsidR="007E2A17" w:rsidRPr="007E2A17" w:rsidRDefault="007E2A17" w:rsidP="007E2A17">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4CB3" w14:paraId="1E81AF65" w14:textId="77777777" w:rsidTr="00B64CB3">
        <w:trPr>
          <w:trHeight w:val="355"/>
          <w:jc w:val="center"/>
        </w:trPr>
        <w:tc>
          <w:tcPr>
            <w:tcW w:w="8820" w:type="dxa"/>
            <w:tcBorders>
              <w:top w:val="nil"/>
              <w:left w:val="nil"/>
              <w:bottom w:val="nil"/>
              <w:right w:val="nil"/>
            </w:tcBorders>
            <w:shd w:val="clear" w:color="auto" w:fill="auto"/>
          </w:tcPr>
          <w:p w14:paraId="1A9CAD60" w14:textId="77777777" w:rsidR="006B2B15" w:rsidRPr="006B2B15" w:rsidRDefault="006B2B15" w:rsidP="006B2B15">
            <w:pPr>
              <w:jc w:val="center"/>
              <w:rPr>
                <w:rFonts w:ascii="Arial" w:hAnsi="Arial" w:cs="FrankRuehl"/>
                <w:b/>
                <w:bCs/>
                <w:sz w:val="32"/>
                <w:szCs w:val="32"/>
                <w:u w:val="single"/>
                <w:rtl/>
              </w:rPr>
            </w:pPr>
            <w:bookmarkStart w:id="4" w:name="PsakDin" w:colFirst="0" w:colLast="0"/>
            <w:bookmarkEnd w:id="0"/>
            <w:r w:rsidRPr="006B2B15">
              <w:rPr>
                <w:rFonts w:ascii="Arial" w:hAnsi="Arial" w:cs="FrankRuehl"/>
                <w:b/>
                <w:bCs/>
                <w:sz w:val="32"/>
                <w:szCs w:val="32"/>
                <w:u w:val="single"/>
                <w:rtl/>
              </w:rPr>
              <w:t>גזר דין</w:t>
            </w:r>
          </w:p>
          <w:p w14:paraId="07B3F9C5" w14:textId="77777777" w:rsidR="00B64CB3" w:rsidRPr="006B2B15" w:rsidRDefault="00B64CB3" w:rsidP="006B2B15">
            <w:pPr>
              <w:jc w:val="center"/>
              <w:rPr>
                <w:rFonts w:ascii="Arial" w:hAnsi="Arial" w:cs="FrankRuehl"/>
                <w:bCs/>
                <w:sz w:val="32"/>
                <w:szCs w:val="32"/>
                <w:u w:val="single"/>
                <w:rtl/>
              </w:rPr>
            </w:pPr>
          </w:p>
        </w:tc>
      </w:tr>
      <w:bookmarkEnd w:id="4"/>
    </w:tbl>
    <w:p w14:paraId="70326B56" w14:textId="77777777" w:rsidR="00B64CB3" w:rsidRPr="00B05847" w:rsidRDefault="00B64CB3" w:rsidP="00B64CB3">
      <w:pPr>
        <w:rPr>
          <w:rFonts w:ascii="Arial" w:hAnsi="Arial"/>
          <w:rtl/>
        </w:rPr>
      </w:pPr>
    </w:p>
    <w:p w14:paraId="594CC48B" w14:textId="77777777" w:rsidR="00B64CB3" w:rsidRPr="00B05847" w:rsidRDefault="00B64CB3" w:rsidP="00B64CB3">
      <w:pPr>
        <w:jc w:val="both"/>
        <w:rPr>
          <w:rFonts w:ascii="Arial" w:hAnsi="Arial"/>
          <w:rtl/>
        </w:rPr>
      </w:pPr>
      <w:bookmarkStart w:id="5" w:name="ABSTRACT_START"/>
      <w:bookmarkEnd w:id="5"/>
    </w:p>
    <w:p w14:paraId="711CDD89" w14:textId="77777777" w:rsidR="00B64CB3" w:rsidRPr="00B05847" w:rsidRDefault="00B64CB3" w:rsidP="00B64CB3">
      <w:pPr>
        <w:spacing w:line="360" w:lineRule="auto"/>
        <w:jc w:val="both"/>
        <w:rPr>
          <w:rtl/>
        </w:rPr>
      </w:pPr>
      <w:r>
        <w:rPr>
          <w:rFonts w:hint="cs"/>
          <w:rtl/>
        </w:rPr>
        <w:t>1.</w:t>
      </w:r>
      <w:r>
        <w:rPr>
          <w:rtl/>
        </w:rPr>
        <w:tab/>
      </w:r>
      <w:r>
        <w:rPr>
          <w:rFonts w:hint="cs"/>
          <w:rtl/>
        </w:rPr>
        <w:t>הנאשם הורשע, על יסוד הודאתו, בעובדות כתב האישום המתוקן (</w:t>
      </w:r>
      <w:r w:rsidRPr="00612410">
        <w:rPr>
          <w:rFonts w:ascii="Miriam" w:hAnsi="Miriam" w:cs="Miriam"/>
          <w:rtl/>
        </w:rPr>
        <w:t>א/1</w:t>
      </w:r>
      <w:r>
        <w:rPr>
          <w:rFonts w:hint="cs"/>
          <w:rtl/>
        </w:rPr>
        <w:t xml:space="preserve">), במסגרת הסדר  טיעון בין הצדדים, בביצוע עבירות בנשק (נשיאה), עבירה לפי </w:t>
      </w:r>
      <w:hyperlink r:id="rId15" w:history="1">
        <w:r w:rsidR="007E2A17" w:rsidRPr="007E2A17">
          <w:rPr>
            <w:color w:val="0000FF"/>
            <w:u w:val="single"/>
            <w:rtl/>
          </w:rPr>
          <w:t>סעיף 144(ב)</w:t>
        </w:r>
      </w:hyperlink>
      <w:r>
        <w:rPr>
          <w:rFonts w:hint="cs"/>
          <w:rtl/>
        </w:rPr>
        <w:t xml:space="preserve"> ל</w:t>
      </w:r>
      <w:hyperlink r:id="rId16" w:history="1">
        <w:r w:rsidR="006B2B15" w:rsidRPr="006B2B15">
          <w:rPr>
            <w:color w:val="0000FF"/>
            <w:u w:val="single"/>
            <w:rtl/>
          </w:rPr>
          <w:t>חוק העונשין</w:t>
        </w:r>
      </w:hyperlink>
      <w:r>
        <w:rPr>
          <w:rFonts w:hint="cs"/>
          <w:rtl/>
        </w:rPr>
        <w:t xml:space="preserve">, התשל"ז-1977 (להלן: </w:t>
      </w:r>
      <w:r w:rsidRPr="00612410">
        <w:rPr>
          <w:rFonts w:ascii="Miriam" w:hAnsi="Miriam" w:cs="Miriam"/>
          <w:rtl/>
        </w:rPr>
        <w:t>חוק העונשין)</w:t>
      </w:r>
      <w:r>
        <w:rPr>
          <w:rFonts w:hint="cs"/>
          <w:rtl/>
        </w:rPr>
        <w:t xml:space="preserve"> ובעבירה של הפרעה לשוטר במילוי תפקידו כדין, לפי </w:t>
      </w:r>
      <w:hyperlink r:id="rId17" w:history="1">
        <w:r w:rsidR="007E2A17" w:rsidRPr="007E2A17">
          <w:rPr>
            <w:color w:val="0000FF"/>
            <w:u w:val="single"/>
            <w:rtl/>
          </w:rPr>
          <w:t>סעיף 275</w:t>
        </w:r>
      </w:hyperlink>
      <w:r>
        <w:rPr>
          <w:rFonts w:hint="cs"/>
          <w:rtl/>
        </w:rPr>
        <w:t xml:space="preserve"> לחוק העונשין. לא גובשה בין הצדדים הסכמה לעניין העונש.</w:t>
      </w:r>
    </w:p>
    <w:p w14:paraId="7B6BD730" w14:textId="77777777" w:rsidR="00B64CB3" w:rsidRPr="00B05847" w:rsidRDefault="00B64CB3" w:rsidP="00B64CB3">
      <w:pPr>
        <w:jc w:val="both"/>
        <w:rPr>
          <w:rtl/>
        </w:rPr>
      </w:pPr>
    </w:p>
    <w:p w14:paraId="732B478B" w14:textId="77777777" w:rsidR="00B64CB3" w:rsidRDefault="00B64CB3" w:rsidP="00B64CB3">
      <w:pPr>
        <w:jc w:val="both"/>
        <w:rPr>
          <w:rFonts w:ascii="Miriam" w:hAnsi="Miriam" w:cs="Miriam"/>
          <w:u w:val="single"/>
          <w:rtl/>
        </w:rPr>
      </w:pPr>
      <w:bookmarkStart w:id="6" w:name="ABSTRACT_END"/>
      <w:bookmarkEnd w:id="6"/>
      <w:r w:rsidRPr="00B2398B">
        <w:rPr>
          <w:rFonts w:ascii="Miriam" w:hAnsi="Miriam" w:cs="Miriam"/>
          <w:u w:val="single"/>
          <w:rtl/>
        </w:rPr>
        <w:t xml:space="preserve">כתב </w:t>
      </w:r>
      <w:r w:rsidRPr="00B2398B">
        <w:rPr>
          <w:rFonts w:ascii="Miriam" w:hAnsi="Miriam" w:cs="Miriam" w:hint="cs"/>
          <w:u w:val="single"/>
          <w:rtl/>
        </w:rPr>
        <w:t>ה</w:t>
      </w:r>
      <w:r w:rsidRPr="00B2398B">
        <w:rPr>
          <w:rFonts w:ascii="Miriam" w:hAnsi="Miriam" w:cs="Miriam"/>
          <w:u w:val="single"/>
          <w:rtl/>
        </w:rPr>
        <w:t xml:space="preserve">אישום </w:t>
      </w:r>
      <w:r w:rsidRPr="00B2398B">
        <w:rPr>
          <w:rFonts w:ascii="Miriam" w:hAnsi="Miriam" w:cs="Miriam" w:hint="cs"/>
          <w:u w:val="single"/>
          <w:rtl/>
        </w:rPr>
        <w:t>ה</w:t>
      </w:r>
      <w:r w:rsidRPr="00B2398B">
        <w:rPr>
          <w:rFonts w:ascii="Miriam" w:hAnsi="Miriam" w:cs="Miriam"/>
          <w:u w:val="single"/>
          <w:rtl/>
        </w:rPr>
        <w:t>מתוקן</w:t>
      </w:r>
    </w:p>
    <w:p w14:paraId="5E648A1E" w14:textId="77777777" w:rsidR="00B64CB3" w:rsidRPr="00B2398B" w:rsidRDefault="00B64CB3" w:rsidP="00B64CB3">
      <w:pPr>
        <w:jc w:val="both"/>
        <w:rPr>
          <w:rFonts w:ascii="Miriam" w:hAnsi="Miriam" w:cs="Miriam"/>
          <w:u w:val="single"/>
          <w:rtl/>
        </w:rPr>
      </w:pPr>
    </w:p>
    <w:p w14:paraId="52138D05" w14:textId="77777777" w:rsidR="00B64CB3" w:rsidRDefault="00B64CB3" w:rsidP="00B64CB3">
      <w:pPr>
        <w:jc w:val="both"/>
        <w:rPr>
          <w:rFonts w:ascii="David" w:hAnsi="David"/>
          <w:rtl/>
        </w:rPr>
      </w:pPr>
    </w:p>
    <w:p w14:paraId="5315D6C7" w14:textId="77777777" w:rsidR="00B64CB3" w:rsidRDefault="00B64CB3" w:rsidP="00B64CB3">
      <w:pPr>
        <w:spacing w:line="360" w:lineRule="auto"/>
        <w:jc w:val="both"/>
        <w:rPr>
          <w:rFonts w:ascii="David" w:hAnsi="David"/>
          <w:rtl/>
        </w:rPr>
      </w:pPr>
      <w:r>
        <w:rPr>
          <w:rFonts w:ascii="David" w:hAnsi="David" w:hint="cs"/>
          <w:rtl/>
        </w:rPr>
        <w:t>2.</w:t>
      </w:r>
      <w:r>
        <w:rPr>
          <w:rFonts w:ascii="David" w:hAnsi="David" w:hint="cs"/>
          <w:rtl/>
        </w:rPr>
        <w:tab/>
        <w:t>בעובדות כתב האישום המתוקן נטען, כי בתאריך 29/6/19 בשעה 00:55, בשכונת עין ג'ראר באום אל פחם, נשא הנאשם על גופו, באזור מותן ימין, בלא רשות על פי דין, אקדח חצי אוטומט</w:t>
      </w:r>
      <w:r>
        <w:rPr>
          <w:rFonts w:ascii="David" w:hAnsi="David" w:hint="eastAsia"/>
          <w:rtl/>
        </w:rPr>
        <w:t>י</w:t>
      </w:r>
      <w:r>
        <w:rPr>
          <w:rFonts w:ascii="David" w:hAnsi="David" w:hint="cs"/>
          <w:rtl/>
        </w:rPr>
        <w:t xml:space="preserve"> מסוג ברטה קליבר 7.65 מ"מ (להלן: </w:t>
      </w:r>
      <w:r w:rsidRPr="00612410">
        <w:rPr>
          <w:rFonts w:ascii="Miriam" w:hAnsi="Miriam" w:cs="Miriam"/>
          <w:rtl/>
        </w:rPr>
        <w:t>האקדח</w:t>
      </w:r>
      <w:r>
        <w:rPr>
          <w:rFonts w:ascii="David" w:hAnsi="David" w:hint="cs"/>
          <w:rtl/>
        </w:rPr>
        <w:t xml:space="preserve">) ובתוכו מחסנית (להלן: </w:t>
      </w:r>
      <w:r w:rsidRPr="00612410">
        <w:rPr>
          <w:rFonts w:ascii="Miriam" w:hAnsi="Miriam" w:cs="Miriam"/>
          <w:rtl/>
        </w:rPr>
        <w:t>המחסנית</w:t>
      </w:r>
      <w:r>
        <w:rPr>
          <w:rFonts w:ascii="David" w:hAnsi="David" w:hint="cs"/>
          <w:rtl/>
        </w:rPr>
        <w:t xml:space="preserve">) עם שלושה כדורים. האקדח הינו כלי נשק שסוגל לירות כדור שבכוחו להמית אדם והמחסנית הינה אביזר לכלי נשק. באותן הנסיבות, משהבחין הנאשם בניידת משטרה, נמלט מהמקום, כשהשוטרים בעקבותיו וקוראים לו לעצור, ואחד השוטרים אף ירה יריית אזהרה באוויר. הנאשם הגיע לבית בשלבי בניה (שלד). נעצר והושיט ידו לכיוון האקדח והאקדח נפל בכניסה לבית ונתפס על ידי השוטרים. </w:t>
      </w:r>
    </w:p>
    <w:p w14:paraId="07DD6198" w14:textId="77777777" w:rsidR="00B64CB3" w:rsidRDefault="00B64CB3" w:rsidP="00B64CB3">
      <w:pPr>
        <w:spacing w:line="360" w:lineRule="auto"/>
        <w:ind w:firstLine="720"/>
        <w:jc w:val="both"/>
        <w:rPr>
          <w:rFonts w:ascii="David" w:hAnsi="David"/>
          <w:rtl/>
        </w:rPr>
      </w:pPr>
    </w:p>
    <w:p w14:paraId="52F5BAC4" w14:textId="77777777" w:rsidR="00B64CB3" w:rsidRDefault="00B64CB3" w:rsidP="00B64CB3">
      <w:pPr>
        <w:spacing w:line="360" w:lineRule="auto"/>
        <w:ind w:firstLine="720"/>
        <w:jc w:val="both"/>
        <w:rPr>
          <w:rFonts w:ascii="David" w:hAnsi="David"/>
          <w:rtl/>
        </w:rPr>
      </w:pPr>
      <w:r>
        <w:rPr>
          <w:rFonts w:ascii="David" w:hAnsi="David" w:hint="cs"/>
          <w:rtl/>
        </w:rPr>
        <w:lastRenderedPageBreak/>
        <w:t>במעשיו המתוארים לעיל, הנאשם נשא נשק, תחמושת ואביזר לנשק, בלא רשות על פי דין, לנשיאתם. כמו כן, עשה מעשה בכוונה להכשיל השוטרים במילוי תפקידם.</w:t>
      </w:r>
    </w:p>
    <w:p w14:paraId="380AD409" w14:textId="77777777" w:rsidR="00B64CB3" w:rsidRDefault="00B64CB3" w:rsidP="00B64CB3">
      <w:pPr>
        <w:spacing w:line="360" w:lineRule="auto"/>
        <w:jc w:val="both"/>
        <w:rPr>
          <w:rFonts w:ascii="Miriam" w:hAnsi="Miriam" w:cs="Miriam"/>
          <w:rtl/>
        </w:rPr>
      </w:pPr>
    </w:p>
    <w:p w14:paraId="12752727" w14:textId="77777777" w:rsidR="00B64CB3" w:rsidRPr="00B2398B" w:rsidRDefault="00B64CB3" w:rsidP="00B64CB3">
      <w:pPr>
        <w:spacing w:line="360" w:lineRule="auto"/>
        <w:jc w:val="both"/>
        <w:rPr>
          <w:rFonts w:ascii="Miriam" w:hAnsi="Miriam" w:cs="Miriam"/>
          <w:u w:val="single"/>
          <w:rtl/>
        </w:rPr>
      </w:pPr>
      <w:r w:rsidRPr="00B2398B">
        <w:rPr>
          <w:rFonts w:ascii="Miriam" w:hAnsi="Miriam" w:cs="Miriam"/>
          <w:u w:val="single"/>
          <w:rtl/>
        </w:rPr>
        <w:t>תסקיר שירות המבחן</w:t>
      </w:r>
    </w:p>
    <w:p w14:paraId="336BBA64" w14:textId="77777777" w:rsidR="00B64CB3" w:rsidRPr="00B05847" w:rsidRDefault="00B64CB3" w:rsidP="00B64CB3">
      <w:pPr>
        <w:rPr>
          <w:rtl/>
        </w:rPr>
      </w:pPr>
    </w:p>
    <w:p w14:paraId="46DA6326" w14:textId="77777777" w:rsidR="00B64CB3" w:rsidRDefault="00B64CB3" w:rsidP="00B64CB3">
      <w:pPr>
        <w:spacing w:line="360" w:lineRule="auto"/>
        <w:jc w:val="both"/>
        <w:rPr>
          <w:rtl/>
        </w:rPr>
      </w:pPr>
      <w:r>
        <w:rPr>
          <w:rFonts w:hint="cs"/>
          <w:rtl/>
        </w:rPr>
        <w:t>3.</w:t>
      </w:r>
      <w:r>
        <w:rPr>
          <w:rFonts w:hint="cs"/>
          <w:rtl/>
        </w:rPr>
        <w:tab/>
        <w:t>מתסקיר שירות המבחן שהוגש בעניינו של הנאשם ביום 22/1/20 עולה, כי הנאשם בן 24, נשוי ואב לתינוקת כבת 6 חודשים. טרם מעצרו התגורר עם משפחתו ועבד כ-8 חודשים כסדרן בסופרמרקט. הנאשם סיפר כי בהיותו בן בכור, לקח על עצמו תפקידים חברתיים ומשפחתיים כבדי אחריות על מנת להעניק למשפחתו ביטחון כלכלי. בשנת 2018 נישא הנאשם לבת זוגו, עמה תיאר קשר תקין וחיובי.</w:t>
      </w:r>
    </w:p>
    <w:p w14:paraId="431A73F5" w14:textId="77777777" w:rsidR="00B64CB3" w:rsidRDefault="00B64CB3" w:rsidP="00B64CB3">
      <w:pPr>
        <w:spacing w:line="360" w:lineRule="auto"/>
        <w:rPr>
          <w:rtl/>
        </w:rPr>
      </w:pPr>
    </w:p>
    <w:p w14:paraId="68DF5EF5" w14:textId="77777777" w:rsidR="00B64CB3" w:rsidRDefault="00B64CB3" w:rsidP="00B64CB3">
      <w:pPr>
        <w:spacing w:line="360" w:lineRule="auto"/>
        <w:jc w:val="both"/>
        <w:rPr>
          <w:rtl/>
        </w:rPr>
      </w:pPr>
      <w:r>
        <w:rPr>
          <w:rFonts w:hint="cs"/>
          <w:rtl/>
        </w:rPr>
        <w:t>4.</w:t>
      </w:r>
      <w:r>
        <w:rPr>
          <w:rFonts w:hint="cs"/>
          <w:rtl/>
        </w:rPr>
        <w:tab/>
        <w:t>עוד עולה מתסקיר שירות המבחן, כי לחובת הנאשם הרשעה קודמת אחת בעבירת סמים, עליה חלה התיישנות. הנאשם סיפר כי משחר נעוריו חבר לחברה שולית ותיאר שימוש אינטנסיבי ויומיומי בסמים מסוג "חשיש" ו"נייס גיא". לדבריו, לאחר נישואיו הפסיק בכוחות עצמו את השימוש בסמים. עוד שיתף הנאשם את שירות המבחן בכך שמגיל 16 החל לשתות אלכוהו</w:t>
      </w:r>
      <w:r>
        <w:rPr>
          <w:rFonts w:hint="eastAsia"/>
          <w:rtl/>
        </w:rPr>
        <w:t>ל</w:t>
      </w:r>
      <w:r>
        <w:rPr>
          <w:rFonts w:hint="cs"/>
          <w:rtl/>
        </w:rPr>
        <w:t xml:space="preserve"> בתדירות של כ-3 בקבוקי בירה בשבוע, עד למעצרו הנוכחי. שירות המבחן התרשם כי הנאשם אינו מודע למצבו ולהשפעות השליליות של השימוש בסמים על התנהלותו ובחירותיו.</w:t>
      </w:r>
    </w:p>
    <w:p w14:paraId="5C4ADEDA" w14:textId="77777777" w:rsidR="00B64CB3" w:rsidRDefault="00B64CB3" w:rsidP="00B64CB3">
      <w:pPr>
        <w:spacing w:line="360" w:lineRule="auto"/>
        <w:rPr>
          <w:rtl/>
        </w:rPr>
      </w:pPr>
    </w:p>
    <w:p w14:paraId="3F544915" w14:textId="77777777" w:rsidR="00B64CB3" w:rsidRDefault="00B64CB3" w:rsidP="00B64CB3">
      <w:pPr>
        <w:spacing w:line="360" w:lineRule="auto"/>
        <w:jc w:val="both"/>
        <w:rPr>
          <w:rtl/>
        </w:rPr>
      </w:pPr>
      <w:r>
        <w:rPr>
          <w:rFonts w:hint="cs"/>
          <w:rtl/>
        </w:rPr>
        <w:t>5.</w:t>
      </w:r>
      <w:r>
        <w:rPr>
          <w:rtl/>
        </w:rPr>
        <w:tab/>
      </w:r>
      <w:r>
        <w:rPr>
          <w:rFonts w:hint="cs"/>
          <w:rtl/>
        </w:rPr>
        <w:t>בהתייחס לביצוע העבירות, הודה הנאשם במיוחס לו. עם זאת, שירות המבחן התרשם כי הוא מתקשה לקחת אחריות מלאה על מעשיו, וזאת משטען כי הנשק שנמצא ברשותו לא שייך לו והוא מצא אותו טרם נעצר על-ידי השוטרים. שירות המבחן מציין בתסקיר, כי הנאשם התקשה להסביר את המניעים והסיבות שעמדו בבסיס ביצוע העבירה, ואף טען כי התכוון לשתף את אביו ולהתייעץ עמו אך לא הספיק לעשות כן נוכח מעצרו.</w:t>
      </w:r>
    </w:p>
    <w:p w14:paraId="1F847616" w14:textId="77777777" w:rsidR="00B64CB3" w:rsidRDefault="00B64CB3" w:rsidP="00B64CB3">
      <w:pPr>
        <w:spacing w:line="360" w:lineRule="auto"/>
        <w:rPr>
          <w:rtl/>
        </w:rPr>
      </w:pPr>
    </w:p>
    <w:p w14:paraId="37B2DA19" w14:textId="77777777" w:rsidR="00B64CB3" w:rsidRDefault="00B64CB3" w:rsidP="00B64CB3">
      <w:pPr>
        <w:spacing w:line="360" w:lineRule="auto"/>
        <w:jc w:val="both"/>
        <w:rPr>
          <w:rtl/>
        </w:rPr>
      </w:pPr>
      <w:r>
        <w:rPr>
          <w:rFonts w:hint="cs"/>
          <w:rtl/>
        </w:rPr>
        <w:t>6.</w:t>
      </w:r>
      <w:r>
        <w:rPr>
          <w:rtl/>
        </w:rPr>
        <w:tab/>
      </w:r>
      <w:r>
        <w:rPr>
          <w:rFonts w:hint="cs"/>
          <w:rtl/>
        </w:rPr>
        <w:t>שירות המבחן התרשם מצעיר אשר גדל ברקע משפחתי מורכב ומצוי בתחילת דרכו. מגיל צעיר גילה הנאשם התנהגות אנטי-סוציאלית, התחבר לחברה שולית בסביבת מגוריו והחל להשתמש בחומרים ממכרים. ניכר כי גבולותיו של הנאשם מטושטשים והוא בעל דפוסי התנהגות אימפולסיביי</w:t>
      </w:r>
      <w:r>
        <w:rPr>
          <w:rFonts w:hint="eastAsia"/>
          <w:rtl/>
        </w:rPr>
        <w:t>ם</w:t>
      </w:r>
      <w:r>
        <w:rPr>
          <w:rFonts w:hint="cs"/>
          <w:rtl/>
        </w:rPr>
        <w:t xml:space="preserve"> וקושי בוויסות דחפים. שירות המבחן התרשם כי הנאשם נוטה לטשטש ולהסתיר את החלקים השליליי</w:t>
      </w:r>
      <w:r>
        <w:rPr>
          <w:rFonts w:hint="eastAsia"/>
          <w:rtl/>
        </w:rPr>
        <w:t>ם</w:t>
      </w:r>
      <w:r>
        <w:rPr>
          <w:rFonts w:hint="cs"/>
          <w:rtl/>
        </w:rPr>
        <w:t xml:space="preserve"> בחייו, והעריך כי מאפייני אישיותו של הנאשם המתוארים לעיל והתייחסותו לביצוע העבירות שבפנינו מצביעים על סיכון גבוה להישנות התנהגות דומה בעתיד. </w:t>
      </w:r>
    </w:p>
    <w:p w14:paraId="6365BC15" w14:textId="77777777" w:rsidR="00B64CB3" w:rsidRDefault="00B64CB3" w:rsidP="00B64CB3">
      <w:pPr>
        <w:spacing w:line="360" w:lineRule="auto"/>
        <w:rPr>
          <w:rtl/>
        </w:rPr>
      </w:pPr>
    </w:p>
    <w:p w14:paraId="50ED6B03" w14:textId="77777777" w:rsidR="00B64CB3" w:rsidRDefault="00B64CB3" w:rsidP="00B64CB3">
      <w:pPr>
        <w:spacing w:line="360" w:lineRule="auto"/>
        <w:jc w:val="both"/>
        <w:rPr>
          <w:rtl/>
        </w:rPr>
      </w:pPr>
      <w:r>
        <w:rPr>
          <w:rFonts w:hint="cs"/>
          <w:rtl/>
        </w:rPr>
        <w:t>7.</w:t>
      </w:r>
      <w:r>
        <w:rPr>
          <w:rFonts w:hint="cs"/>
          <w:rtl/>
        </w:rPr>
        <w:tab/>
        <w:t>נוכח האמור לעיל ובהינתן חומרת העבירות, לא עלה בידי שירות המבחן להמליץ לגבי הנאשם על חלופה עונשית במסגרת הקהילה שבכוחה להפחית את רמת הסיכון הגבוהה המתוארת לעיל. בד בבד, ממליץ שירות המבחן, כי אם יושת על הנאשם עונש של מאסר בפועל, אזי תיבחן האפשרות לשלבו בהליך טיפולי במסגרת כותלי בית הסוהר.</w:t>
      </w:r>
    </w:p>
    <w:p w14:paraId="3F2F35D2" w14:textId="77777777" w:rsidR="00B64CB3" w:rsidRDefault="00B64CB3" w:rsidP="00B64CB3">
      <w:pPr>
        <w:spacing w:line="360" w:lineRule="auto"/>
        <w:rPr>
          <w:rtl/>
        </w:rPr>
      </w:pPr>
    </w:p>
    <w:p w14:paraId="11308A11" w14:textId="77777777" w:rsidR="00B64CB3" w:rsidRPr="00B2398B" w:rsidRDefault="00B64CB3" w:rsidP="00B64CB3">
      <w:pPr>
        <w:spacing w:line="360" w:lineRule="auto"/>
        <w:rPr>
          <w:rFonts w:ascii="Miriam" w:hAnsi="Miriam" w:cs="Miriam"/>
          <w:u w:val="single"/>
          <w:rtl/>
        </w:rPr>
      </w:pPr>
      <w:r>
        <w:rPr>
          <w:rFonts w:ascii="Miriam" w:hAnsi="Miriam" w:cs="Miriam" w:hint="cs"/>
          <w:u w:val="single"/>
          <w:rtl/>
        </w:rPr>
        <w:t>הראיות לעונש ו</w:t>
      </w:r>
      <w:r w:rsidRPr="00B2398B">
        <w:rPr>
          <w:rFonts w:ascii="Miriam" w:hAnsi="Miriam" w:cs="Miriam"/>
          <w:u w:val="single"/>
          <w:rtl/>
        </w:rPr>
        <w:t>טיעוני הצדדים לעונש</w:t>
      </w:r>
    </w:p>
    <w:p w14:paraId="0E2D5A50" w14:textId="77777777" w:rsidR="00B64CB3" w:rsidRDefault="00B64CB3" w:rsidP="00B64CB3">
      <w:pPr>
        <w:spacing w:line="360" w:lineRule="auto"/>
        <w:rPr>
          <w:rtl/>
        </w:rPr>
      </w:pPr>
    </w:p>
    <w:p w14:paraId="7CEE6203" w14:textId="77777777" w:rsidR="00B64CB3" w:rsidRDefault="00B64CB3" w:rsidP="00B64CB3">
      <w:pPr>
        <w:spacing w:line="360" w:lineRule="auto"/>
        <w:jc w:val="both"/>
        <w:rPr>
          <w:rtl/>
        </w:rPr>
      </w:pPr>
      <w:r>
        <w:rPr>
          <w:rFonts w:hint="cs"/>
          <w:rtl/>
        </w:rPr>
        <w:lastRenderedPageBreak/>
        <w:t>8.</w:t>
      </w:r>
      <w:r>
        <w:rPr>
          <w:rFonts w:hint="cs"/>
          <w:rtl/>
        </w:rPr>
        <w:tab/>
        <w:t>באת כוח המאשימה הגישה בדיון בפניי ביום 26/1/2020 את גיליון המרשם הפלילי של הנאשם (</w:t>
      </w:r>
      <w:r w:rsidRPr="00EF4BF1">
        <w:rPr>
          <w:rFonts w:ascii="Miriam" w:hAnsi="Miriam" w:cs="Miriam"/>
          <w:rtl/>
        </w:rPr>
        <w:t>ט/1</w:t>
      </w:r>
      <w:r>
        <w:rPr>
          <w:rFonts w:hint="cs"/>
          <w:rtl/>
        </w:rPr>
        <w:t xml:space="preserve">), ממנו עולה כי לחובתו הרשעה קודמת אחת שהתיישנה, משנת 2014, בעבירה של החזקת סמים שלא לצריכה עצמית, בגינה הושת עליו עונש מאסר מותנה לצד קנס כספי, התחייבות להימנע מעבירה ורכיבי פסילת רישיון בפועל ועל תנאי. </w:t>
      </w:r>
    </w:p>
    <w:p w14:paraId="6032FAB5" w14:textId="77777777" w:rsidR="00B64CB3" w:rsidRDefault="00B64CB3" w:rsidP="00B64CB3">
      <w:pPr>
        <w:spacing w:line="360" w:lineRule="auto"/>
        <w:ind w:left="720" w:hanging="720"/>
        <w:jc w:val="both"/>
        <w:rPr>
          <w:rtl/>
        </w:rPr>
      </w:pPr>
    </w:p>
    <w:p w14:paraId="1EC8E811" w14:textId="77777777" w:rsidR="00B64CB3" w:rsidRDefault="00B64CB3" w:rsidP="00B64CB3">
      <w:pPr>
        <w:spacing w:line="360" w:lineRule="auto"/>
        <w:jc w:val="both"/>
        <w:rPr>
          <w:rtl/>
        </w:rPr>
      </w:pPr>
      <w:r>
        <w:rPr>
          <w:rFonts w:hint="cs"/>
          <w:rtl/>
        </w:rPr>
        <w:t>9.</w:t>
      </w:r>
      <w:r>
        <w:rPr>
          <w:rFonts w:hint="cs"/>
          <w:rtl/>
        </w:rPr>
        <w:tab/>
        <w:t>באת כוח המאשימה הגישה את טיעוניה לעונש בכתב (</w:t>
      </w:r>
      <w:r w:rsidRPr="00EF4BF1">
        <w:rPr>
          <w:rFonts w:ascii="Miriam" w:hAnsi="Miriam" w:cs="Miriam"/>
          <w:rtl/>
        </w:rPr>
        <w:t>ט/2</w:t>
      </w:r>
      <w:r>
        <w:rPr>
          <w:rFonts w:hint="cs"/>
          <w:rtl/>
        </w:rPr>
        <w:t xml:space="preserve">), והוסיפה וטענה בקצרה בעל -פה בדיון הנ"ל. במסגרת טיעוניה לעונש הדגישה באת כוח המאשימה את חומרת עבירת הנשק בה הורשע הנאשם, תוך שטענה כי יש מקום, על פי הפסיקה, להחמיר בענישה בעבירות נשק. עוד נטען כי הפסיקה עמדה לא אחת על המסוכנות הגלומה בעבירות נשק, בין היתר נוכח זמינות כלי הנשק, העוברים מיד ליד, לרבות לידיים עברייניות-פליליות ולידי מפגעים למיניהם. עוד צוין על ידי באת כוח המאשימה כי יש להשית על הנאשם עונש שיביא להרתעה אינדיבידואלית וכללית, ולהעברת מסר חד-משמעי לנאשם כי פגע בביטחון הציבור. בנקודה זו יצוין כי, לטענת המאשימה, הערך החברתי המוגן שנפגע במקרה דנן הוא שלום הציבור וההגנה על חיי אדם. באת כוח המאשימה הוסיפה לחומרה את העובדה שהנאשם החזיק את האקדח כשהוא טעון בשלושה כדורים, וכן ציינה לחובת הנאשם את העבירה הנוספת שבוצעה על ידו - עבירה של הפרעה לשוטר במילוי תפקידו כדין. בסיכומו של דבר ולאחר שסקרה פסיקה לעניין העונש, ביקשה באת כוח המאשימה לקבוע בתיק זה מתחם עונש הולם הנע בין שנתיים עד 4 שנות מאסר בפועל, זאת לצד רכיבי ענישה של מאסר על תנאי וקנס כספי, וכן צו לחילוט הנשק. </w:t>
      </w:r>
    </w:p>
    <w:p w14:paraId="1C7BA6C0" w14:textId="77777777" w:rsidR="00B64CB3" w:rsidRDefault="00B64CB3" w:rsidP="00B64CB3">
      <w:pPr>
        <w:spacing w:line="360" w:lineRule="auto"/>
        <w:jc w:val="both"/>
        <w:rPr>
          <w:rtl/>
        </w:rPr>
      </w:pPr>
    </w:p>
    <w:p w14:paraId="4EB8CDAB" w14:textId="77777777" w:rsidR="00B64CB3" w:rsidRDefault="00B64CB3" w:rsidP="00B64CB3">
      <w:pPr>
        <w:spacing w:line="360" w:lineRule="auto"/>
        <w:ind w:firstLine="720"/>
        <w:jc w:val="both"/>
        <w:rPr>
          <w:rtl/>
        </w:rPr>
      </w:pPr>
      <w:r>
        <w:rPr>
          <w:rFonts w:hint="cs"/>
          <w:rtl/>
        </w:rPr>
        <w:t>נוכח עברו הפלילי של הנאשם, ובהינתן האמור בתסקיר שירות המבחן, שאינו ממליץ על חלופת ענישה או שיקום בקהילה להפחתת מסוכנותו של הנאשם, סבורה המאשימה כי יש להשית על הנאשם מאסר בפועל בטווח הבינוני של מתחם העונש ההולם הנ"ל, לצד רכיבי הענישה הנלווים הנזכרים לעיל.</w:t>
      </w:r>
    </w:p>
    <w:p w14:paraId="22B7029F" w14:textId="77777777" w:rsidR="00B64CB3" w:rsidRDefault="00B64CB3" w:rsidP="00B64CB3">
      <w:pPr>
        <w:spacing w:line="360" w:lineRule="auto"/>
        <w:jc w:val="both"/>
        <w:rPr>
          <w:rtl/>
        </w:rPr>
      </w:pPr>
    </w:p>
    <w:p w14:paraId="61EC5E02" w14:textId="77777777" w:rsidR="00B64CB3" w:rsidRDefault="00B64CB3" w:rsidP="00B64CB3">
      <w:pPr>
        <w:spacing w:line="360" w:lineRule="auto"/>
        <w:jc w:val="both"/>
        <w:rPr>
          <w:rtl/>
        </w:rPr>
      </w:pPr>
      <w:r>
        <w:rPr>
          <w:rFonts w:hint="cs"/>
          <w:rtl/>
        </w:rPr>
        <w:t>10.</w:t>
      </w:r>
      <w:r>
        <w:rPr>
          <w:rFonts w:hint="cs"/>
          <w:rtl/>
        </w:rPr>
        <w:tab/>
        <w:t>באת כוח הנאשם הגישה אף היא טיעוניה לעונש בכתב (</w:t>
      </w:r>
      <w:r w:rsidRPr="008A24B2">
        <w:rPr>
          <w:rFonts w:ascii="Miriam" w:hAnsi="Miriam" w:cs="Miriam"/>
          <w:rtl/>
        </w:rPr>
        <w:t>נ/1</w:t>
      </w:r>
      <w:r>
        <w:rPr>
          <w:rFonts w:hint="cs"/>
          <w:rtl/>
        </w:rPr>
        <w:t xml:space="preserve">), והוסיפה וטענה בקצרה בעל פה בדיון הנ"ל בפניי. בטיעוני ההגנה לעונש נטען כי לא קדם תכנון לביצוע העבירות שבפנינו, וכי במקרה הנדון לא נגרמו נזקים בפועל כתוצאה מביצוע העבירות על ידי הנאשם. עוד, לטענת ההגנה, נסיבות חייו הקשות של הנאשם הן שהובילו אותו, ככל הנראה, לביצוע העבירות. </w:t>
      </w:r>
    </w:p>
    <w:p w14:paraId="43DF612C" w14:textId="77777777" w:rsidR="00B64CB3" w:rsidRDefault="00B64CB3" w:rsidP="00B64CB3">
      <w:pPr>
        <w:spacing w:line="360" w:lineRule="auto"/>
        <w:jc w:val="both"/>
        <w:rPr>
          <w:rtl/>
        </w:rPr>
      </w:pPr>
    </w:p>
    <w:p w14:paraId="6B9FA4C8" w14:textId="77777777" w:rsidR="00B64CB3" w:rsidRDefault="00B64CB3" w:rsidP="00B64CB3">
      <w:pPr>
        <w:spacing w:line="360" w:lineRule="auto"/>
        <w:jc w:val="both"/>
        <w:rPr>
          <w:rtl/>
        </w:rPr>
      </w:pPr>
      <w:r>
        <w:rPr>
          <w:rFonts w:hint="cs"/>
          <w:rtl/>
        </w:rPr>
        <w:t>11.</w:t>
      </w:r>
      <w:r>
        <w:rPr>
          <w:rFonts w:hint="cs"/>
          <w:rtl/>
        </w:rPr>
        <w:tab/>
        <w:t>לאחר שסקרה באת כוח הנאשם בטיעונים הכתובים פסיקה להמחשת עמדת ההגנה לעונש, טענה כי יש לראות בעבירות שבפנינו משום אירוע אחד, וכן כי עסקינן בהחזקת כמות קטנה של נשק. לטענת ההגנה, מתחם העונש ההולם במקרה זה נע בין עונש של 6 חודשי מאסר בפועל לבין עונש של 24 חודשי מאסר בפועל. בהינתן עברו הפלילי הנקי של הנאשם והודאתו בהזדמנות הראשונה, וכן נוכח נסיבותיו האישיות (היותו נשוי, מפרנס יחיד ואב לתינוקת בת שמונה חודשים בה כמעט לא פגש), ביקשה ההגנה להשית על הנאשם עונש ברף הנמוך של מתחם העונש ההולם, ולהתחשב בו גם לעניין הקנס הכספי.</w:t>
      </w:r>
    </w:p>
    <w:p w14:paraId="668177A7" w14:textId="77777777" w:rsidR="00B64CB3" w:rsidRDefault="00B64CB3" w:rsidP="00B64CB3">
      <w:pPr>
        <w:spacing w:line="360" w:lineRule="auto"/>
        <w:jc w:val="both"/>
        <w:rPr>
          <w:rtl/>
        </w:rPr>
      </w:pPr>
    </w:p>
    <w:p w14:paraId="0FD82A32" w14:textId="77777777" w:rsidR="00B64CB3" w:rsidRDefault="00B64CB3" w:rsidP="00B64CB3">
      <w:pPr>
        <w:spacing w:line="360" w:lineRule="auto"/>
        <w:jc w:val="both"/>
        <w:rPr>
          <w:rtl/>
        </w:rPr>
      </w:pPr>
      <w:r>
        <w:rPr>
          <w:rFonts w:hint="cs"/>
          <w:rtl/>
        </w:rPr>
        <w:t>12.</w:t>
      </w:r>
      <w:r>
        <w:rPr>
          <w:rFonts w:hint="cs"/>
          <w:rtl/>
        </w:rPr>
        <w:tab/>
        <w:t xml:space="preserve">דבר הנאשם: </w:t>
      </w:r>
    </w:p>
    <w:p w14:paraId="72D7828C" w14:textId="77777777" w:rsidR="00B64CB3" w:rsidRDefault="00B64CB3" w:rsidP="00B64CB3">
      <w:pPr>
        <w:spacing w:line="360" w:lineRule="auto"/>
        <w:jc w:val="both"/>
        <w:rPr>
          <w:rtl/>
        </w:rPr>
      </w:pPr>
    </w:p>
    <w:p w14:paraId="50B83283" w14:textId="77777777" w:rsidR="00B64CB3" w:rsidRDefault="00B64CB3" w:rsidP="00B64CB3">
      <w:pPr>
        <w:spacing w:line="360" w:lineRule="auto"/>
        <w:ind w:left="1440"/>
        <w:jc w:val="both"/>
        <w:rPr>
          <w:rFonts w:ascii="Miriam" w:hAnsi="Miriam" w:cs="Miriam"/>
          <w:rtl/>
        </w:rPr>
      </w:pPr>
      <w:r w:rsidRPr="006C0F16">
        <w:rPr>
          <w:rFonts w:ascii="Miriam" w:hAnsi="Miriam" w:cs="Miriam"/>
          <w:rtl/>
        </w:rPr>
        <w:t>"אני מצטער על מה שקרה. זו טעות שכבר שילמתי את המחיר שלה. אני מקווה שתתחשבו בי, כי יש לי תינוקת בבית ואני ממש מקווה לראות אותה שוב ולחבק אותה".</w:t>
      </w:r>
    </w:p>
    <w:p w14:paraId="4576BCF5" w14:textId="77777777" w:rsidR="00B64CB3" w:rsidRDefault="00B64CB3" w:rsidP="00B64CB3">
      <w:pPr>
        <w:spacing w:line="360" w:lineRule="auto"/>
        <w:jc w:val="both"/>
        <w:rPr>
          <w:rFonts w:ascii="Miriam" w:hAnsi="Miriam" w:cs="Miriam"/>
          <w:rtl/>
        </w:rPr>
      </w:pPr>
    </w:p>
    <w:p w14:paraId="773BD605" w14:textId="77777777" w:rsidR="00B64CB3" w:rsidRPr="00B2398B" w:rsidRDefault="00B64CB3" w:rsidP="00B64CB3">
      <w:pPr>
        <w:spacing w:line="360" w:lineRule="auto"/>
        <w:jc w:val="both"/>
        <w:rPr>
          <w:rFonts w:ascii="Miriam" w:hAnsi="Miriam" w:cs="Miriam"/>
          <w:u w:val="single"/>
          <w:rtl/>
        </w:rPr>
      </w:pPr>
      <w:r w:rsidRPr="00B2398B">
        <w:rPr>
          <w:rFonts w:ascii="Miriam" w:hAnsi="Miriam" w:cs="Miriam"/>
          <w:u w:val="single"/>
          <w:rtl/>
        </w:rPr>
        <w:t>דיון והכרעה</w:t>
      </w:r>
    </w:p>
    <w:p w14:paraId="4D8E87E9" w14:textId="77777777" w:rsidR="00B64CB3" w:rsidRDefault="00B64CB3" w:rsidP="00B64CB3">
      <w:pPr>
        <w:spacing w:line="360" w:lineRule="auto"/>
        <w:rPr>
          <w:rtl/>
        </w:rPr>
      </w:pPr>
    </w:p>
    <w:p w14:paraId="7000C67D" w14:textId="77777777" w:rsidR="00B64CB3" w:rsidRDefault="00B64CB3" w:rsidP="00B64CB3">
      <w:pPr>
        <w:spacing w:line="360" w:lineRule="auto"/>
        <w:jc w:val="both"/>
        <w:rPr>
          <w:rtl/>
        </w:rPr>
      </w:pPr>
      <w:r>
        <w:rPr>
          <w:rFonts w:hint="cs"/>
          <w:rtl/>
        </w:rPr>
        <w:t>13.</w:t>
      </w:r>
      <w:r>
        <w:rPr>
          <w:rFonts w:hint="cs"/>
          <w:rtl/>
        </w:rPr>
        <w:tab/>
      </w:r>
      <w:r w:rsidRPr="0017233D">
        <w:rPr>
          <w:rtl/>
        </w:rPr>
        <w:t xml:space="preserve">תיקון מס' 113 מתווה את העיקרון המנחה כיום את ביהמ"ש בבואו לגזור דינו של נאשם, שהינו, לפי </w:t>
      </w:r>
      <w:hyperlink r:id="rId18" w:history="1">
        <w:r w:rsidR="007E2A17" w:rsidRPr="007E2A17">
          <w:rPr>
            <w:color w:val="0000FF"/>
            <w:u w:val="single"/>
            <w:rtl/>
          </w:rPr>
          <w:t>סעיף 40ב</w:t>
        </w:r>
      </w:hyperlink>
      <w:r w:rsidRPr="0017233D">
        <w:rPr>
          <w:rtl/>
        </w:rPr>
        <w:t xml:space="preserve"> ל</w:t>
      </w:r>
      <w:hyperlink r:id="rId19" w:history="1">
        <w:r w:rsidR="006B2B15" w:rsidRPr="006B2B15">
          <w:rPr>
            <w:color w:val="0000FF"/>
            <w:u w:val="single"/>
            <w:rtl/>
          </w:rPr>
          <w:t>חוק העונשין</w:t>
        </w:r>
      </w:hyperlink>
      <w:r w:rsidRPr="0017233D">
        <w:rPr>
          <w:rtl/>
        </w:rPr>
        <w:t>, עיקרון ההלימה, לפיו צריך להתקיים יחס הולם בין חומרת מעשה העבירה בנסיבותיו ומידת אשמו של הנאשם לבין סוג ומידת העונש המוטל עליו. יחס זה מבטא,</w:t>
      </w:r>
      <w:r>
        <w:rPr>
          <w:rtl/>
        </w:rPr>
        <w:t xml:space="preserve"> למעשה, את עיקרון הגמול (ראו: </w:t>
      </w:r>
      <w:hyperlink r:id="rId20" w:history="1">
        <w:r w:rsidR="006B2B15" w:rsidRPr="006B2B15">
          <w:rPr>
            <w:color w:val="0000FF"/>
            <w:u w:val="single"/>
            <w:rtl/>
          </w:rPr>
          <w:t>ע"פ 1523/10</w:t>
        </w:r>
      </w:hyperlink>
      <w:r w:rsidRPr="0017233D">
        <w:rPr>
          <w:rtl/>
        </w:rPr>
        <w:t xml:space="preserve"> </w:t>
      </w:r>
      <w:r w:rsidRPr="00F336AD">
        <w:rPr>
          <w:rFonts w:ascii="Miriam" w:hAnsi="Miriam" w:cs="Miriam"/>
          <w:sz w:val="22"/>
          <w:szCs w:val="22"/>
          <w:rtl/>
        </w:rPr>
        <w:t>פלוני נ' מדינת ישראל</w:t>
      </w:r>
      <w:r w:rsidRPr="0017233D">
        <w:rPr>
          <w:rtl/>
        </w:rPr>
        <w:t xml:space="preserve">, 18/4/12). </w:t>
      </w:r>
      <w:hyperlink r:id="rId21" w:history="1">
        <w:r w:rsidR="007E2A17" w:rsidRPr="007E2A17">
          <w:rPr>
            <w:color w:val="0000FF"/>
            <w:u w:val="single"/>
            <w:rtl/>
          </w:rPr>
          <w:t>סעיף 40ג</w:t>
        </w:r>
      </w:hyperlink>
      <w:r w:rsidRPr="0017233D">
        <w:rPr>
          <w:rtl/>
        </w:rPr>
        <w:t xml:space="preserve"> ל</w:t>
      </w:r>
      <w:hyperlink r:id="rId22" w:history="1">
        <w:r w:rsidR="006B2B15" w:rsidRPr="006B2B15">
          <w:rPr>
            <w:color w:val="0000FF"/>
            <w:u w:val="single"/>
            <w:rtl/>
          </w:rPr>
          <w:t>חוק העונשין</w:t>
        </w:r>
      </w:hyperlink>
      <w:r w:rsidRPr="0017233D">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w:t>
      </w:r>
      <w:r>
        <w:rPr>
          <w:rtl/>
        </w:rPr>
        <w:t xml:space="preserve">לות </w:t>
      </w:r>
      <w:hyperlink r:id="rId23" w:history="1">
        <w:r w:rsidR="007E2A17" w:rsidRPr="007E2A17">
          <w:rPr>
            <w:color w:val="0000FF"/>
            <w:u w:val="single"/>
            <w:rtl/>
          </w:rPr>
          <w:t>בסעיף 40ט</w:t>
        </w:r>
      </w:hyperlink>
      <w:r>
        <w:rPr>
          <w:rtl/>
        </w:rPr>
        <w:t xml:space="preserve"> ל</w:t>
      </w:r>
      <w:hyperlink r:id="rId24" w:history="1">
        <w:r w:rsidR="006B2B15" w:rsidRPr="006B2B15">
          <w:rPr>
            <w:color w:val="0000FF"/>
            <w:u w:val="single"/>
            <w:rtl/>
          </w:rPr>
          <w:t>חוק העונשין</w:t>
        </w:r>
      </w:hyperlink>
      <w:r>
        <w:rPr>
          <w:rtl/>
        </w:rPr>
        <w:t xml:space="preserve">. </w:t>
      </w:r>
      <w:r>
        <w:rPr>
          <w:rFonts w:hint="cs"/>
          <w:rtl/>
        </w:rPr>
        <w:t xml:space="preserve">כאן אקדים ואציין כי אין חולק כי שתי העבירות שבפנינו מהוות אירוע אחד בגינו ייקבע להלן מתחם העונש ההולם. </w:t>
      </w:r>
    </w:p>
    <w:p w14:paraId="68CBA93C" w14:textId="77777777" w:rsidR="00B64CB3" w:rsidRDefault="00B64CB3" w:rsidP="00B64CB3">
      <w:pPr>
        <w:spacing w:line="360" w:lineRule="auto"/>
        <w:rPr>
          <w:rtl/>
        </w:rPr>
      </w:pPr>
    </w:p>
    <w:p w14:paraId="68285E80" w14:textId="77777777" w:rsidR="00B64CB3" w:rsidRDefault="00B64CB3" w:rsidP="00B64CB3">
      <w:pPr>
        <w:spacing w:line="360" w:lineRule="auto"/>
        <w:jc w:val="both"/>
        <w:rPr>
          <w:rFonts w:ascii="David" w:hAnsi="David"/>
          <w:rtl/>
        </w:rPr>
      </w:pPr>
      <w:r>
        <w:rPr>
          <w:rFonts w:hint="cs"/>
          <w:rtl/>
        </w:rPr>
        <w:t>14.</w:t>
      </w:r>
      <w:r>
        <w:rPr>
          <w:rFonts w:hint="cs"/>
          <w:rtl/>
        </w:rPr>
        <w:tab/>
      </w:r>
      <w:r w:rsidRPr="0017233D">
        <w:rPr>
          <w:rtl/>
        </w:rPr>
        <w:t xml:space="preserve">הערך המוגן הנפגע כתוצאה מביצוע העבירה של נשיאת נשק שלא כדין, </w:t>
      </w:r>
      <w:r>
        <w:rPr>
          <w:rFonts w:hint="cs"/>
          <w:rtl/>
        </w:rPr>
        <w:t xml:space="preserve">שהינה החמורה מבין השתיים, </w:t>
      </w:r>
      <w:r w:rsidRPr="0017233D">
        <w:rPr>
          <w:rtl/>
        </w:rPr>
        <w:t>הוא שלום הציבור ובטחונו. "</w:t>
      </w:r>
      <w:r w:rsidRPr="004E2730">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17233D">
        <w:rPr>
          <w:rtl/>
        </w:rPr>
        <w:t>" (</w:t>
      </w:r>
      <w:hyperlink r:id="rId25" w:history="1">
        <w:r w:rsidR="006B2B15" w:rsidRPr="006B2B15">
          <w:rPr>
            <w:color w:val="0000FF"/>
            <w:u w:val="single"/>
            <w:rtl/>
          </w:rPr>
          <w:t>ע"פ 7502/12</w:t>
        </w:r>
      </w:hyperlink>
      <w:r w:rsidRPr="0017233D">
        <w:rPr>
          <w:rtl/>
        </w:rPr>
        <w:t xml:space="preserve"> ‏</w:t>
      </w:r>
      <w:r w:rsidRPr="006C0EA4">
        <w:rPr>
          <w:rFonts w:ascii="Miriam" w:hAnsi="Miriam" w:cs="Miriam"/>
          <w:rtl/>
        </w:rPr>
        <w:t>כוויס נ' מדינת ישראל</w:t>
      </w:r>
      <w:r w:rsidRPr="00F336AD">
        <w:rPr>
          <w:rFonts w:ascii="Miriam" w:hAnsi="Miriam" w:cs="Miriam"/>
          <w:sz w:val="22"/>
          <w:szCs w:val="22"/>
          <w:rtl/>
        </w:rPr>
        <w:t xml:space="preserve"> </w:t>
      </w:r>
      <w:r w:rsidRPr="0017233D">
        <w:rPr>
          <w:rtl/>
        </w:rPr>
        <w:t>(25.6.2013)). דבריה הבאים של כב' השופטת ארבל שנאמרו ב</w:t>
      </w:r>
      <w:hyperlink r:id="rId26" w:history="1">
        <w:r w:rsidR="006B2B15" w:rsidRPr="006B2B15">
          <w:rPr>
            <w:color w:val="0000FF"/>
            <w:u w:val="single"/>
            <w:rtl/>
          </w:rPr>
          <w:t>ע"פ 4945/13</w:t>
        </w:r>
      </w:hyperlink>
      <w:r w:rsidRPr="0017233D">
        <w:rPr>
          <w:rtl/>
        </w:rPr>
        <w:t xml:space="preserve"> </w:t>
      </w:r>
      <w:r w:rsidRPr="006C0EA4">
        <w:rPr>
          <w:rFonts w:ascii="Miriam" w:hAnsi="Miriam" w:cs="Miriam"/>
          <w:rtl/>
        </w:rPr>
        <w:t>מדינת ישראל נ' עבד אלכרים סלימאן</w:t>
      </w:r>
      <w:r w:rsidRPr="00F336AD">
        <w:rPr>
          <w:sz w:val="22"/>
          <w:szCs w:val="22"/>
          <w:rtl/>
        </w:rPr>
        <w:t xml:space="preserve"> </w:t>
      </w:r>
      <w:r w:rsidRPr="0017233D">
        <w:rPr>
          <w:rtl/>
        </w:rPr>
        <w:t xml:space="preserve">(19.01.14) (להלן: </w:t>
      </w:r>
      <w:r w:rsidRPr="006C0EA4">
        <w:rPr>
          <w:rFonts w:ascii="Miriam" w:hAnsi="Miriam" w:cs="Miriam"/>
          <w:rtl/>
        </w:rPr>
        <w:t>עניין סלימאן</w:t>
      </w:r>
      <w:r w:rsidRPr="0017233D">
        <w:rPr>
          <w:rtl/>
        </w:rPr>
        <w:t xml:space="preserve">) ממחישים את המסוכנות הפוטנציאלית הטמונה בעבירות הנשק לשלום הציבור ובטחונו: </w:t>
      </w:r>
      <w:r w:rsidRPr="00F336AD">
        <w:rPr>
          <w:rFonts w:ascii="Miriam" w:hAnsi="Miriam" w:cs="Miriam"/>
          <w:rtl/>
        </w:rPr>
        <w:t>"...</w:t>
      </w:r>
      <w:r w:rsidRPr="004E2730">
        <w:rPr>
          <w:rFonts w:ascii="Miriam" w:hAnsi="Miriam"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w:t>
      </w:r>
      <w:r>
        <w:rPr>
          <w:rFonts w:ascii="Miriam" w:hAnsi="Miriam" w:cs="Miriam" w:hint="cs"/>
          <w:rtl/>
        </w:rPr>
        <w:t xml:space="preserve">  </w:t>
      </w:r>
    </w:p>
    <w:p w14:paraId="6FBE506E" w14:textId="77777777" w:rsidR="00B64CB3" w:rsidRDefault="00B64CB3" w:rsidP="00B64CB3">
      <w:pPr>
        <w:spacing w:line="360" w:lineRule="auto"/>
        <w:ind w:firstLine="720"/>
        <w:jc w:val="both"/>
        <w:rPr>
          <w:rFonts w:ascii="David" w:hAnsi="David"/>
          <w:rtl/>
        </w:rPr>
      </w:pPr>
    </w:p>
    <w:p w14:paraId="7320766E" w14:textId="77777777" w:rsidR="00B64CB3" w:rsidRPr="006B6F33" w:rsidRDefault="00B64CB3" w:rsidP="00B64CB3">
      <w:pPr>
        <w:spacing w:line="360" w:lineRule="auto"/>
        <w:ind w:firstLine="720"/>
        <w:jc w:val="both"/>
        <w:rPr>
          <w:rFonts w:ascii="David" w:hAnsi="David"/>
          <w:rtl/>
        </w:rPr>
      </w:pPr>
      <w:r w:rsidRPr="006B6F33">
        <w:rPr>
          <w:rFonts w:ascii="David" w:hAnsi="David"/>
          <w:rtl/>
        </w:rPr>
        <w:t>לעבירת הנשק נלוותה, כאמור, גם עבירה של הפרעה לשוטר במילוי תפקידו כדין נוכח הימלטותו מהשוטרים, כמתואר בכתב האישום המתוקן. עבירה זו מגלמת בחובה פגיעה בשלטון החוק במדינתנו וב</w:t>
      </w:r>
      <w:r>
        <w:rPr>
          <w:rFonts w:ascii="David" w:hAnsi="David" w:hint="cs"/>
          <w:rtl/>
        </w:rPr>
        <w:t xml:space="preserve">אנשי המשטרה </w:t>
      </w:r>
      <w:r w:rsidRPr="006B6F33">
        <w:rPr>
          <w:rFonts w:ascii="David" w:hAnsi="David"/>
          <w:rtl/>
        </w:rPr>
        <w:t>הפועל</w:t>
      </w:r>
      <w:r>
        <w:rPr>
          <w:rFonts w:ascii="David" w:hAnsi="David" w:hint="cs"/>
          <w:rtl/>
        </w:rPr>
        <w:t>ים</w:t>
      </w:r>
      <w:r w:rsidRPr="006B6F33">
        <w:rPr>
          <w:rFonts w:ascii="David" w:hAnsi="David"/>
          <w:rtl/>
        </w:rPr>
        <w:t xml:space="preserve"> לצורך שמירה על הסדר החברתי ושלטון החוק.</w:t>
      </w:r>
    </w:p>
    <w:p w14:paraId="3F6C5E82" w14:textId="77777777" w:rsidR="00B64CB3" w:rsidRDefault="00B64CB3" w:rsidP="00B64CB3">
      <w:pPr>
        <w:spacing w:line="360" w:lineRule="auto"/>
        <w:rPr>
          <w:rtl/>
        </w:rPr>
      </w:pPr>
    </w:p>
    <w:p w14:paraId="3B728781" w14:textId="77777777" w:rsidR="00B64CB3" w:rsidRDefault="00B64CB3" w:rsidP="00B64CB3">
      <w:pPr>
        <w:spacing w:line="360" w:lineRule="auto"/>
        <w:jc w:val="both"/>
        <w:rPr>
          <w:rtl/>
        </w:rPr>
      </w:pPr>
      <w:r>
        <w:rPr>
          <w:rFonts w:hint="cs"/>
          <w:rtl/>
        </w:rPr>
        <w:t>15.</w:t>
      </w:r>
      <w:r>
        <w:rPr>
          <w:rtl/>
        </w:rPr>
        <w:tab/>
      </w:r>
      <w:r>
        <w:rPr>
          <w:rFonts w:hint="cs"/>
          <w:rtl/>
        </w:rPr>
        <w:t xml:space="preserve">במסגרת בחינת נסיבות ביצוע העבירה אציין, לחובת הנאשם, כי הוא נשא על גופו אקדח חצי אוטומטי יחד עם מחסנית ושלושה כדורים לנשק. נשיאת התחמושת יחד עם כלי הנשק שבכוחו לקפד חיי אדם, מגבירה באופן ניכר את פוטנציאל המסוכנות הטמון בעבירת הנשק. עוד אוסיף בנקודה זו כי העובדה שהנאשם ביצע לצד עבירת הנשק גם עבירה של הפרעה לשוטר במילוי תפקידו כדין מוסיפה נופך של חומרה להתנהגותו. </w:t>
      </w:r>
    </w:p>
    <w:p w14:paraId="33C53761" w14:textId="77777777" w:rsidR="00B64CB3" w:rsidRDefault="00B64CB3" w:rsidP="00B64CB3">
      <w:pPr>
        <w:spacing w:line="360" w:lineRule="auto"/>
        <w:rPr>
          <w:rtl/>
        </w:rPr>
      </w:pPr>
    </w:p>
    <w:p w14:paraId="2FEA6413" w14:textId="77777777" w:rsidR="00B64CB3" w:rsidRDefault="00B64CB3" w:rsidP="00B64CB3">
      <w:pPr>
        <w:spacing w:line="360" w:lineRule="auto"/>
        <w:jc w:val="both"/>
        <w:rPr>
          <w:rtl/>
        </w:rPr>
      </w:pPr>
      <w:r>
        <w:rPr>
          <w:rFonts w:hint="cs"/>
          <w:rtl/>
        </w:rPr>
        <w:t>16.</w:t>
      </w:r>
      <w:r>
        <w:rPr>
          <w:rtl/>
        </w:rPr>
        <w:tab/>
      </w:r>
      <w:r w:rsidRPr="0017233D">
        <w:rPr>
          <w:rtl/>
        </w:rPr>
        <w:t xml:space="preserve">במסגרת סקירת מדיניות הענישה הנהוגה בעבירה של נשיאת והובלת נשק </w:t>
      </w:r>
      <w:r>
        <w:rPr>
          <w:rtl/>
        </w:rPr>
        <w:t xml:space="preserve">שלא כדין אביא את הפסיקה הבאה: </w:t>
      </w:r>
    </w:p>
    <w:p w14:paraId="4E0DEC97" w14:textId="77777777" w:rsidR="00B64CB3" w:rsidRDefault="00B64CB3" w:rsidP="00B64CB3">
      <w:pPr>
        <w:spacing w:line="360" w:lineRule="auto"/>
        <w:jc w:val="both"/>
        <w:rPr>
          <w:rtl/>
        </w:rPr>
      </w:pPr>
    </w:p>
    <w:p w14:paraId="073A45D5" w14:textId="77777777" w:rsidR="00B64CB3" w:rsidRDefault="00B64CB3" w:rsidP="00B64CB3">
      <w:pPr>
        <w:pStyle w:val="a9"/>
        <w:numPr>
          <w:ilvl w:val="0"/>
          <w:numId w:val="1"/>
        </w:numPr>
        <w:spacing w:line="360" w:lineRule="auto"/>
        <w:jc w:val="both"/>
      </w:pPr>
      <w:r w:rsidRPr="0017233D">
        <w:rPr>
          <w:rtl/>
        </w:rPr>
        <w:t>ב</w:t>
      </w:r>
      <w:hyperlink r:id="rId27" w:history="1">
        <w:r w:rsidR="006B2B15" w:rsidRPr="006B2B15">
          <w:rPr>
            <w:color w:val="0000FF"/>
            <w:u w:val="single"/>
            <w:rtl/>
          </w:rPr>
          <w:t>ת"פ (מחוזי חיפה) 31862-05-13</w:t>
        </w:r>
      </w:hyperlink>
      <w:r w:rsidRPr="0017233D">
        <w:rPr>
          <w:rtl/>
        </w:rPr>
        <w:t xml:space="preserve"> </w:t>
      </w:r>
      <w:r w:rsidRPr="00F14058">
        <w:rPr>
          <w:rFonts w:ascii="Miriam" w:hAnsi="Miriam" w:cs="Miriam"/>
          <w:rtl/>
        </w:rPr>
        <w:t>מ"י נ' מוחמד מחאמיד</w:t>
      </w:r>
      <w:r w:rsidRPr="00F336AD">
        <w:rPr>
          <w:sz w:val="22"/>
          <w:szCs w:val="22"/>
          <w:rtl/>
        </w:rPr>
        <w:t xml:space="preserve"> </w:t>
      </w:r>
      <w:r w:rsidRPr="0017233D">
        <w:rPr>
          <w:rtl/>
        </w:rPr>
        <w:t>(1/10/13) הוטל על נאשם צעיר, בן פחות מ-21, עונש של 21 חודשי מאסר בפועל בגין עבירה של נשיאת נשק (אקדח) שלא כדין לצד עבירה של הפרעה לשוטר בשעת מ</w:t>
      </w:r>
      <w:r>
        <w:rPr>
          <w:rtl/>
        </w:rPr>
        <w:t xml:space="preserve">ילוי תפקידו כדין. </w:t>
      </w:r>
    </w:p>
    <w:p w14:paraId="6195C236" w14:textId="77777777" w:rsidR="00B64CB3" w:rsidRDefault="00B64CB3" w:rsidP="00B64CB3">
      <w:pPr>
        <w:pStyle w:val="a9"/>
        <w:numPr>
          <w:ilvl w:val="0"/>
          <w:numId w:val="1"/>
        </w:numPr>
        <w:spacing w:line="360" w:lineRule="auto"/>
        <w:jc w:val="both"/>
      </w:pPr>
      <w:r w:rsidRPr="0017233D">
        <w:rPr>
          <w:rtl/>
        </w:rPr>
        <w:t>ב</w:t>
      </w:r>
      <w:hyperlink r:id="rId28" w:history="1">
        <w:r w:rsidR="006B2B15" w:rsidRPr="006B2B15">
          <w:rPr>
            <w:color w:val="0000FF"/>
            <w:u w:val="single"/>
            <w:rtl/>
          </w:rPr>
          <w:t>ת"פ (מחוזי חיפה) 3451-02-14</w:t>
        </w:r>
      </w:hyperlink>
      <w:r w:rsidRPr="0017233D">
        <w:rPr>
          <w:rtl/>
        </w:rPr>
        <w:t xml:space="preserve"> </w:t>
      </w:r>
      <w:r w:rsidRPr="00F14058">
        <w:rPr>
          <w:rFonts w:ascii="Miriam" w:hAnsi="Miriam" w:cs="Miriam"/>
          <w:rtl/>
        </w:rPr>
        <w:t>מדינת ישראל נ' עבד אלעאל</w:t>
      </w:r>
      <w:r w:rsidRPr="00F336AD">
        <w:rPr>
          <w:sz w:val="22"/>
          <w:szCs w:val="22"/>
          <w:rtl/>
        </w:rPr>
        <w:t xml:space="preserve"> </w:t>
      </w:r>
      <w:r w:rsidRPr="0017233D">
        <w:rPr>
          <w:rtl/>
        </w:rPr>
        <w:t xml:space="preserve">(23/9/14)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w:t>
      </w:r>
      <w:r>
        <w:rPr>
          <w:rtl/>
        </w:rPr>
        <w:t xml:space="preserve">מאסר בפועל, וכן ענישה נלווית. </w:t>
      </w:r>
    </w:p>
    <w:p w14:paraId="4948768C" w14:textId="77777777" w:rsidR="00B64CB3" w:rsidRDefault="00B64CB3" w:rsidP="00B64CB3">
      <w:pPr>
        <w:pStyle w:val="a9"/>
        <w:numPr>
          <w:ilvl w:val="0"/>
          <w:numId w:val="1"/>
        </w:numPr>
        <w:spacing w:line="360" w:lineRule="auto"/>
        <w:jc w:val="both"/>
      </w:pPr>
      <w:r w:rsidRPr="0017233D">
        <w:rPr>
          <w:rtl/>
        </w:rPr>
        <w:t>ב</w:t>
      </w:r>
      <w:hyperlink r:id="rId29" w:history="1">
        <w:r w:rsidR="006B2B15" w:rsidRPr="006B2B15">
          <w:rPr>
            <w:color w:val="0000FF"/>
            <w:u w:val="single"/>
            <w:rtl/>
          </w:rPr>
          <w:t>ת"פ 17520-03-14</w:t>
        </w:r>
      </w:hyperlink>
      <w:r w:rsidRPr="0017233D">
        <w:rPr>
          <w:rtl/>
        </w:rPr>
        <w:t xml:space="preserve"> </w:t>
      </w:r>
      <w:r w:rsidRPr="00F14058">
        <w:rPr>
          <w:rFonts w:ascii="Miriam" w:hAnsi="Miriam" w:cs="Miriam"/>
          <w:rtl/>
        </w:rPr>
        <w:t>מדינת ישראל נ' אבו אלהווה</w:t>
      </w:r>
      <w:r w:rsidRPr="00F336AD">
        <w:rPr>
          <w:sz w:val="22"/>
          <w:szCs w:val="22"/>
          <w:rtl/>
        </w:rPr>
        <w:t xml:space="preserve"> </w:t>
      </w:r>
      <w:r w:rsidRPr="0017233D">
        <w:rPr>
          <w:rtl/>
        </w:rPr>
        <w:t>(31/12/14) גזר בית המשפט המחוזי בירושלים על הנאשם עונש שעיקרו מאסר בפועל בן 20 חודשים לריצוי בפועל, בגין ביצועה של עבירה שעניינ</w:t>
      </w:r>
      <w:r>
        <w:rPr>
          <w:rtl/>
        </w:rPr>
        <w:t xml:space="preserve">ה הובלת נשק (תת מקלע מאולתר). </w:t>
      </w:r>
    </w:p>
    <w:p w14:paraId="7BF8A608" w14:textId="77777777" w:rsidR="00B64CB3" w:rsidRDefault="00B64CB3" w:rsidP="00B64CB3">
      <w:pPr>
        <w:pStyle w:val="a9"/>
        <w:numPr>
          <w:ilvl w:val="0"/>
          <w:numId w:val="1"/>
        </w:numPr>
        <w:spacing w:line="360" w:lineRule="auto"/>
        <w:jc w:val="both"/>
      </w:pPr>
      <w:r w:rsidRPr="0017233D">
        <w:rPr>
          <w:rtl/>
        </w:rPr>
        <w:t>ב</w:t>
      </w:r>
      <w:hyperlink r:id="rId30" w:history="1">
        <w:r w:rsidR="006B2B15" w:rsidRPr="006B2B15">
          <w:rPr>
            <w:color w:val="0000FF"/>
            <w:u w:val="single"/>
            <w:rtl/>
          </w:rPr>
          <w:t>ת"פ (מחוזי באר שבע) 4338-04-13</w:t>
        </w:r>
      </w:hyperlink>
      <w:r w:rsidRPr="0017233D">
        <w:rPr>
          <w:rtl/>
        </w:rPr>
        <w:t xml:space="preserve"> </w:t>
      </w:r>
      <w:r w:rsidRPr="00F14058">
        <w:rPr>
          <w:rFonts w:ascii="Miriam" w:hAnsi="Miriam" w:cs="Miriam"/>
          <w:rtl/>
        </w:rPr>
        <w:t>מדינת ישראל נ' אביעוז</w:t>
      </w:r>
      <w:r w:rsidRPr="00F336AD">
        <w:rPr>
          <w:sz w:val="22"/>
          <w:szCs w:val="22"/>
          <w:rtl/>
        </w:rPr>
        <w:t xml:space="preserve"> </w:t>
      </w:r>
      <w:r w:rsidRPr="0017233D">
        <w:rPr>
          <w:rtl/>
        </w:rPr>
        <w:t>(11/12/16)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w:t>
      </w:r>
      <w:r>
        <w:rPr>
          <w:rFonts w:hint="cs"/>
          <w:rtl/>
        </w:rPr>
        <w:t>,</w:t>
      </w:r>
      <w:r w:rsidRPr="0017233D">
        <w:rPr>
          <w:rtl/>
        </w:rPr>
        <w:t xml:space="preserve"> ובכיס מכנסיו של אותו נאשם נמצא</w:t>
      </w:r>
      <w:r>
        <w:rPr>
          <w:rtl/>
        </w:rPr>
        <w:t xml:space="preserve">ה מחסנית נוספת מלאה בכדורים. </w:t>
      </w:r>
    </w:p>
    <w:p w14:paraId="0D06848F" w14:textId="77777777" w:rsidR="00B64CB3" w:rsidRDefault="00B64CB3" w:rsidP="00B64CB3">
      <w:pPr>
        <w:pStyle w:val="a9"/>
        <w:numPr>
          <w:ilvl w:val="0"/>
          <w:numId w:val="1"/>
        </w:numPr>
        <w:spacing w:line="360" w:lineRule="auto"/>
        <w:jc w:val="both"/>
      </w:pPr>
      <w:r>
        <w:rPr>
          <w:rtl/>
        </w:rPr>
        <w:t>ב</w:t>
      </w:r>
      <w:hyperlink r:id="rId31" w:history="1">
        <w:r w:rsidR="006B2B15" w:rsidRPr="006B2B15">
          <w:rPr>
            <w:color w:val="0000FF"/>
            <w:u w:val="single"/>
            <w:rtl/>
          </w:rPr>
          <w:t>ת"פ 31034-06-17</w:t>
        </w:r>
      </w:hyperlink>
      <w:r w:rsidRPr="0017233D">
        <w:rPr>
          <w:rtl/>
        </w:rPr>
        <w:t xml:space="preserve"> (מחוזי חיפה) </w:t>
      </w:r>
      <w:r w:rsidRPr="00F14058">
        <w:rPr>
          <w:rFonts w:ascii="Miriam" w:hAnsi="Miriam" w:cs="Miriam"/>
          <w:rtl/>
        </w:rPr>
        <w:t>מדינת ישראל נ' מסרי</w:t>
      </w:r>
      <w:r w:rsidRPr="00F14058">
        <w:rPr>
          <w:rtl/>
        </w:rPr>
        <w:t xml:space="preserve"> </w:t>
      </w:r>
      <w:r w:rsidRPr="0017233D">
        <w:rPr>
          <w:rtl/>
        </w:rPr>
        <w:t xml:space="preserve">(17/4/18)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 </w:t>
      </w:r>
    </w:p>
    <w:p w14:paraId="4E181AF8" w14:textId="77777777" w:rsidR="00B64CB3" w:rsidRDefault="00B64CB3" w:rsidP="00B64CB3">
      <w:pPr>
        <w:spacing w:line="360" w:lineRule="auto"/>
        <w:jc w:val="both"/>
        <w:rPr>
          <w:rtl/>
        </w:rPr>
      </w:pPr>
    </w:p>
    <w:p w14:paraId="0DCF7EB4" w14:textId="77777777" w:rsidR="00B64CB3" w:rsidRDefault="00B64CB3" w:rsidP="00B64CB3">
      <w:pPr>
        <w:spacing w:line="360" w:lineRule="auto"/>
        <w:jc w:val="both"/>
        <w:rPr>
          <w:rtl/>
        </w:rPr>
      </w:pPr>
      <w:r>
        <w:rPr>
          <w:rFonts w:hint="cs"/>
          <w:rtl/>
        </w:rPr>
        <w:t>17.</w:t>
      </w:r>
      <w:r>
        <w:rPr>
          <w:rFonts w:hint="cs"/>
          <w:rtl/>
        </w:rPr>
        <w:tab/>
        <w:t>לאחר שבחנתי את הערכים המוגנים שנפגעו כתוצאה מביצוע העבירות על ידי הנאשם, את נסיבות ביצוען, וכן נתתי דעתי למדיניות הענישה הנהוגה, לרבות לפסיקה אליה הפנה כל אחד מהצדדים, וכן לפסיקה לעניין העבירה של הפרעה לשוטר במילוי תפקידו כדין אליה הפנתה המאשימה (במסגרתה הוטלו מאסרים בפועל לתקופות קצרות, לרבות בדרך של עבודות שירות), הגעתי לכלל מסקנה כי מתחם העונש ההולם בתיק זה נע בין עונש של 18 חודשי מאסר בפועל לבין עונש של 36 חודשי מאסר בפועל.</w:t>
      </w:r>
    </w:p>
    <w:p w14:paraId="6C3C745D" w14:textId="77777777" w:rsidR="00B64CB3" w:rsidRDefault="00B64CB3" w:rsidP="00B64CB3">
      <w:pPr>
        <w:spacing w:line="360" w:lineRule="auto"/>
        <w:jc w:val="both"/>
        <w:rPr>
          <w:rtl/>
        </w:rPr>
      </w:pPr>
    </w:p>
    <w:p w14:paraId="6648FDBB" w14:textId="77777777" w:rsidR="00B64CB3" w:rsidRDefault="00B64CB3" w:rsidP="00B64CB3">
      <w:pPr>
        <w:spacing w:line="360" w:lineRule="auto"/>
        <w:jc w:val="both"/>
        <w:rPr>
          <w:rtl/>
        </w:rPr>
      </w:pPr>
      <w:r>
        <w:rPr>
          <w:rFonts w:hint="cs"/>
          <w:rtl/>
        </w:rPr>
        <w:t>18.</w:t>
      </w:r>
      <w:r>
        <w:rPr>
          <w:rFonts w:hint="cs"/>
          <w:rtl/>
        </w:rPr>
        <w:tab/>
        <w:t>במסגרת הנסיבות שאינן קשורות בביצוע העבירות, אציין לטובת הנאשם את הודאתו בעובדות כתב האישום המתוקן במסגרת הסדר הטיעון, הודאה אשר חסכה הן את העדת העדים והן מזמנו היקר של בית המשפט. עוד אציין לקולה את עברו הלא מכביד כלל ועיקר של הנאשם, שכן בעברו אך הרשעה קודמת אחת בעבירת סמים שהתיישנה. לאמור לעיל אוסיף את נסיבותיו האישיות של הנאשם, כפי שעולה מתסקיר שירות המבחן וכפי שנטען על ידי באת כוחו. עם זאת, לחובת הנאשם יש לציין כי שירות המבחן העריך קיומו של סיכון גבוה להישנות התנהגות דומה בעתיד על ידי הנאשם ולא בא בהמלצה טיפולית לגביו, אף שהוא ממליץ לבחון את אפשרות שילובו בהליך של טיפול בין כותלי בית הכלא.</w:t>
      </w:r>
    </w:p>
    <w:p w14:paraId="193AE925" w14:textId="77777777" w:rsidR="00B64CB3" w:rsidRDefault="00B64CB3" w:rsidP="00B64CB3">
      <w:pPr>
        <w:spacing w:line="360" w:lineRule="auto"/>
        <w:jc w:val="both"/>
        <w:rPr>
          <w:rtl/>
        </w:rPr>
      </w:pPr>
    </w:p>
    <w:p w14:paraId="040EEDBD" w14:textId="77777777" w:rsidR="00B64CB3" w:rsidRDefault="00B64CB3" w:rsidP="00B64CB3">
      <w:pPr>
        <w:spacing w:line="360" w:lineRule="auto"/>
        <w:jc w:val="both"/>
        <w:rPr>
          <w:rtl/>
        </w:rPr>
      </w:pPr>
      <w:r>
        <w:rPr>
          <w:rFonts w:hint="cs"/>
          <w:rtl/>
        </w:rPr>
        <w:t>19.</w:t>
      </w:r>
      <w:r>
        <w:rPr>
          <w:rFonts w:hint="cs"/>
          <w:rtl/>
        </w:rPr>
        <w:tab/>
        <w:t>לאחר שנתתי דעתי למכלול הנסיבות שאינן קשורות בביצוע העבירות, אני בדעה כי מן הראוי להשית על הנאשם בתיק זה עונש של 20 חודשי מאסר בפועל, לצד רכיב ענישה של מאסר על תנאי. כאן אציין כי אני מבכרת שלא להשית על הנאשם קנס כספי, בהינתן מצבו הכלכלי הקשה והעובדה שמוטל עליו בתיק זה מאסר בפועל לתקופה משמעותית.</w:t>
      </w:r>
    </w:p>
    <w:p w14:paraId="4BC30F1A" w14:textId="77777777" w:rsidR="00B64CB3" w:rsidRDefault="00B64CB3" w:rsidP="00B64CB3">
      <w:pPr>
        <w:spacing w:line="360" w:lineRule="auto"/>
        <w:jc w:val="both"/>
        <w:rPr>
          <w:rtl/>
        </w:rPr>
      </w:pPr>
    </w:p>
    <w:p w14:paraId="15272F11" w14:textId="77777777" w:rsidR="00B64CB3" w:rsidRDefault="00B64CB3" w:rsidP="00B64CB3">
      <w:pPr>
        <w:spacing w:line="360" w:lineRule="auto"/>
        <w:jc w:val="both"/>
        <w:rPr>
          <w:rtl/>
        </w:rPr>
      </w:pPr>
      <w:r>
        <w:rPr>
          <w:rFonts w:hint="cs"/>
          <w:rtl/>
        </w:rPr>
        <w:t>20.</w:t>
      </w:r>
      <w:r>
        <w:rPr>
          <w:rFonts w:hint="cs"/>
          <w:rtl/>
        </w:rPr>
        <w:tab/>
        <w:t>בסיכומו של דבר, אני דנה את הנאשם כדלקמן:</w:t>
      </w:r>
    </w:p>
    <w:p w14:paraId="1B4551C1" w14:textId="77777777" w:rsidR="00B64CB3" w:rsidRDefault="00B64CB3" w:rsidP="00B64CB3">
      <w:pPr>
        <w:spacing w:line="360" w:lineRule="auto"/>
        <w:jc w:val="both"/>
        <w:rPr>
          <w:rtl/>
        </w:rPr>
      </w:pPr>
    </w:p>
    <w:p w14:paraId="4D5E23E4" w14:textId="77777777" w:rsidR="00B64CB3" w:rsidRDefault="00B64CB3" w:rsidP="00B64CB3">
      <w:pPr>
        <w:spacing w:line="360" w:lineRule="auto"/>
        <w:jc w:val="both"/>
        <w:rPr>
          <w:rtl/>
        </w:rPr>
      </w:pPr>
      <w:r>
        <w:rPr>
          <w:rtl/>
        </w:rPr>
        <w:tab/>
      </w:r>
      <w:r>
        <w:rPr>
          <w:rFonts w:hint="cs"/>
          <w:rtl/>
        </w:rPr>
        <w:t>א.</w:t>
      </w:r>
      <w:r>
        <w:rPr>
          <w:rFonts w:hint="cs"/>
          <w:rtl/>
        </w:rPr>
        <w:tab/>
        <w:t>למאסר בפועל לתקופה של 20 חודשים, בניכוי ימי מעצרו (מיום 29/6/2019).</w:t>
      </w:r>
    </w:p>
    <w:p w14:paraId="2F93C64F" w14:textId="77777777" w:rsidR="00B64CB3" w:rsidRDefault="00B64CB3" w:rsidP="00B64CB3">
      <w:pPr>
        <w:spacing w:line="360" w:lineRule="auto"/>
        <w:jc w:val="both"/>
        <w:rPr>
          <w:rtl/>
        </w:rPr>
      </w:pPr>
    </w:p>
    <w:p w14:paraId="532B8E6E" w14:textId="77777777" w:rsidR="00B64CB3" w:rsidRDefault="00B64CB3" w:rsidP="00B64CB3">
      <w:pPr>
        <w:spacing w:line="360" w:lineRule="auto"/>
        <w:ind w:left="720"/>
        <w:jc w:val="both"/>
        <w:rPr>
          <w:rtl/>
        </w:rPr>
      </w:pPr>
      <w:r>
        <w:rPr>
          <w:rFonts w:hint="cs"/>
          <w:rtl/>
        </w:rPr>
        <w:t>ב.</w:t>
      </w:r>
      <w:r>
        <w:rPr>
          <w:rFonts w:hint="cs"/>
          <w:rtl/>
        </w:rPr>
        <w:tab/>
        <w:t xml:space="preserve">למאסר על תנאי לתקופה של 12 חודשים למשך 3 שנים, והתנאי הוא לבל יעבור הנאשם עבירה מסוג פשע לפי </w:t>
      </w:r>
      <w:hyperlink r:id="rId32" w:history="1">
        <w:r w:rsidR="007E2A17" w:rsidRPr="007E2A17">
          <w:rPr>
            <w:color w:val="0000FF"/>
            <w:u w:val="single"/>
            <w:rtl/>
          </w:rPr>
          <w:t>סעיף 144</w:t>
        </w:r>
      </w:hyperlink>
      <w:r>
        <w:rPr>
          <w:rFonts w:hint="cs"/>
          <w:rtl/>
        </w:rPr>
        <w:t xml:space="preserve"> ל</w:t>
      </w:r>
      <w:hyperlink r:id="rId33" w:history="1">
        <w:r w:rsidR="006B2B15" w:rsidRPr="006B2B15">
          <w:rPr>
            <w:color w:val="0000FF"/>
            <w:u w:val="single"/>
            <w:rtl/>
          </w:rPr>
          <w:t>חוק העונשין</w:t>
        </w:r>
      </w:hyperlink>
      <w:r>
        <w:rPr>
          <w:rFonts w:hint="cs"/>
          <w:rtl/>
        </w:rPr>
        <w:t>, התשל"ז-1977.</w:t>
      </w:r>
    </w:p>
    <w:p w14:paraId="4903E19C" w14:textId="77777777" w:rsidR="00B64CB3" w:rsidRDefault="00B64CB3" w:rsidP="00B64CB3">
      <w:pPr>
        <w:spacing w:line="360" w:lineRule="auto"/>
        <w:ind w:left="720"/>
        <w:jc w:val="both"/>
        <w:rPr>
          <w:rtl/>
        </w:rPr>
      </w:pPr>
      <w:r>
        <w:rPr>
          <w:rFonts w:hint="cs"/>
          <w:rtl/>
        </w:rPr>
        <w:t>ג.</w:t>
      </w:r>
      <w:r>
        <w:rPr>
          <w:rFonts w:hint="cs"/>
          <w:rtl/>
        </w:rPr>
        <w:tab/>
        <w:t xml:space="preserve">למאסר על תנאי לתקופה של 6 חודשים למשך 3 שנים, והתנאי הוא לבל יעבור הנאשם עבירה מסוג עוון לפי </w:t>
      </w:r>
      <w:hyperlink r:id="rId34" w:history="1">
        <w:r w:rsidR="007E2A17" w:rsidRPr="007E2A17">
          <w:rPr>
            <w:color w:val="0000FF"/>
            <w:u w:val="single"/>
            <w:rtl/>
          </w:rPr>
          <w:t>סעיף 144</w:t>
        </w:r>
      </w:hyperlink>
      <w:r>
        <w:rPr>
          <w:rFonts w:hint="cs"/>
          <w:rtl/>
        </w:rPr>
        <w:t xml:space="preserve"> ל</w:t>
      </w:r>
      <w:hyperlink r:id="rId35" w:history="1">
        <w:r w:rsidR="006B2B15" w:rsidRPr="006B2B15">
          <w:rPr>
            <w:color w:val="0000FF"/>
            <w:u w:val="single"/>
            <w:rtl/>
          </w:rPr>
          <w:t>חוק העונשין</w:t>
        </w:r>
      </w:hyperlink>
      <w:r>
        <w:rPr>
          <w:rFonts w:hint="cs"/>
          <w:rtl/>
        </w:rPr>
        <w:t xml:space="preserve">, התשל"ז-1977 ו/או עבירה לפי סימן </w:t>
      </w:r>
      <w:hyperlink r:id="rId36" w:history="1">
        <w:r w:rsidR="007E2A17" w:rsidRPr="007E2A17">
          <w:rPr>
            <w:color w:val="0000FF"/>
            <w:u w:val="single"/>
            <w:rtl/>
          </w:rPr>
          <w:t>ג' לפרק ט'</w:t>
        </w:r>
      </w:hyperlink>
      <w:r>
        <w:rPr>
          <w:rFonts w:hint="cs"/>
          <w:rtl/>
        </w:rPr>
        <w:t xml:space="preserve"> לחוק הנ"ל.</w:t>
      </w:r>
    </w:p>
    <w:p w14:paraId="34F2FABC" w14:textId="77777777" w:rsidR="00B64CB3" w:rsidRDefault="00B64CB3" w:rsidP="00B64CB3">
      <w:pPr>
        <w:spacing w:line="360" w:lineRule="auto"/>
        <w:jc w:val="both"/>
        <w:rPr>
          <w:rtl/>
        </w:rPr>
      </w:pPr>
    </w:p>
    <w:p w14:paraId="6889C8B3" w14:textId="77777777" w:rsidR="00B64CB3" w:rsidRDefault="00B64CB3" w:rsidP="00B64CB3">
      <w:pPr>
        <w:rPr>
          <w:rtl/>
        </w:rPr>
      </w:pPr>
      <w:r>
        <w:rPr>
          <w:rFonts w:hint="cs"/>
          <w:rtl/>
        </w:rPr>
        <w:t>לבקשת המאשימה, אני מורה על חילוט הנשק והתחמושת הנזכרים בכתב האישום לטובת המדינה.</w:t>
      </w:r>
    </w:p>
    <w:p w14:paraId="08E56308" w14:textId="77777777" w:rsidR="00B64CB3" w:rsidRDefault="00B64CB3" w:rsidP="00B64CB3">
      <w:pPr>
        <w:spacing w:line="360" w:lineRule="auto"/>
        <w:ind w:firstLine="720"/>
        <w:jc w:val="both"/>
        <w:rPr>
          <w:rtl/>
        </w:rPr>
      </w:pPr>
    </w:p>
    <w:p w14:paraId="6314E1E0" w14:textId="77777777" w:rsidR="00B64CB3" w:rsidRDefault="00B64CB3" w:rsidP="00B64CB3">
      <w:pPr>
        <w:rPr>
          <w:b/>
          <w:bCs/>
          <w:rtl/>
        </w:rPr>
      </w:pPr>
      <w:r w:rsidRPr="002173D8">
        <w:rPr>
          <w:rFonts w:hint="cs"/>
          <w:b/>
          <w:bCs/>
          <w:rtl/>
        </w:rPr>
        <w:t>המזכירות תמציא העתק מגזר הדין לשירות המבחן.</w:t>
      </w:r>
    </w:p>
    <w:p w14:paraId="332A4284" w14:textId="77777777" w:rsidR="00B64CB3" w:rsidRDefault="00B64CB3" w:rsidP="00B64CB3">
      <w:pPr>
        <w:rPr>
          <w:b/>
          <w:bCs/>
          <w:rtl/>
        </w:rPr>
      </w:pPr>
    </w:p>
    <w:p w14:paraId="77468A42" w14:textId="77777777" w:rsidR="00B64CB3" w:rsidRDefault="00B64CB3" w:rsidP="00B64CB3">
      <w:pPr>
        <w:pStyle w:val="a9"/>
        <w:ind w:left="0"/>
        <w:rPr>
          <w:b/>
          <w:bCs/>
          <w:rtl/>
        </w:rPr>
      </w:pPr>
      <w:r w:rsidRPr="00987E29">
        <w:rPr>
          <w:rFonts w:hint="cs"/>
          <w:b/>
          <w:bCs/>
          <w:rtl/>
        </w:rPr>
        <w:t>זכות ערעור לבית המשפט העליון תוך 45 ימים.</w:t>
      </w:r>
    </w:p>
    <w:p w14:paraId="6832EAAE" w14:textId="77777777" w:rsidR="00B64CB3" w:rsidRPr="00987E29" w:rsidRDefault="00B64CB3" w:rsidP="00B64CB3">
      <w:pPr>
        <w:pStyle w:val="a9"/>
        <w:spacing w:line="360" w:lineRule="auto"/>
        <w:rPr>
          <w:b/>
          <w:bCs/>
          <w:rtl/>
        </w:rPr>
      </w:pPr>
    </w:p>
    <w:p w14:paraId="0461F3D9" w14:textId="77777777" w:rsidR="00B64CB3" w:rsidRPr="00837D97" w:rsidRDefault="006B2B15" w:rsidP="00B64CB3">
      <w:pPr>
        <w:spacing w:line="360" w:lineRule="auto"/>
        <w:jc w:val="both"/>
        <w:rPr>
          <w:rFonts w:ascii="Arial" w:hAnsi="Arial"/>
          <w:b/>
          <w:bCs/>
        </w:rPr>
      </w:pPr>
      <w:bookmarkStart w:id="7" w:name="Nitan"/>
      <w:r w:rsidRPr="006B2B15">
        <w:rPr>
          <w:rFonts w:ascii="Arial" w:hAnsi="Arial"/>
          <w:b/>
          <w:bCs/>
          <w:color w:val="FFFFFF"/>
          <w:sz w:val="2"/>
          <w:szCs w:val="2"/>
          <w:rtl/>
        </w:rPr>
        <w:t>5129371</w:t>
      </w:r>
      <w:r>
        <w:rPr>
          <w:rFonts w:ascii="Arial" w:hAnsi="Arial"/>
          <w:b/>
          <w:bCs/>
          <w:rtl/>
        </w:rPr>
        <w:t xml:space="preserve">ניתן היום, ב' שבט תש"פ, 28 ינואר 2020, במעמד ב"כ המאשימה, עו"ד מונא מנסור , ב"כ </w:t>
      </w:r>
      <w:bookmarkEnd w:id="7"/>
      <w:r w:rsidR="00B64CB3" w:rsidRPr="00837D97">
        <w:rPr>
          <w:rFonts w:ascii="Arial" w:hAnsi="Arial" w:hint="cs"/>
          <w:b/>
          <w:bCs/>
          <w:rtl/>
        </w:rPr>
        <w:t xml:space="preserve">הנאשם, עו"ד רחיק ג'בארין, והנאשם </w:t>
      </w:r>
      <w:r w:rsidR="00B64CB3">
        <w:rPr>
          <w:rFonts w:ascii="Arial" w:hAnsi="Arial" w:hint="cs"/>
          <w:b/>
          <w:bCs/>
          <w:rtl/>
        </w:rPr>
        <w:t xml:space="preserve">שהובא </w:t>
      </w:r>
      <w:r w:rsidR="00B64CB3" w:rsidRPr="00837D97">
        <w:rPr>
          <w:rFonts w:ascii="Arial" w:hAnsi="Arial" w:hint="cs"/>
          <w:b/>
          <w:bCs/>
          <w:rtl/>
        </w:rPr>
        <w:t>באמצעות שב"ס</w:t>
      </w:r>
      <w:r w:rsidR="00B64CB3" w:rsidRPr="00837D97">
        <w:rPr>
          <w:rFonts w:ascii="Arial" w:hAnsi="Arial"/>
          <w:b/>
          <w:bCs/>
          <w:rtl/>
        </w:rPr>
        <w:t>.</w:t>
      </w:r>
    </w:p>
    <w:p w14:paraId="3CD48F1E" w14:textId="77777777" w:rsidR="00B64CB3" w:rsidRPr="006B2B15" w:rsidRDefault="006B2B15" w:rsidP="00B64CB3">
      <w:pPr>
        <w:rPr>
          <w:rFonts w:cs="FrankRuehl"/>
          <w:color w:val="FFFFFF"/>
          <w:sz w:val="2"/>
          <w:szCs w:val="2"/>
          <w:rtl/>
        </w:rPr>
      </w:pPr>
      <w:r w:rsidRPr="006B2B15">
        <w:rPr>
          <w:rFonts w:cs="FrankRuehl"/>
          <w:color w:val="FFFFFF"/>
          <w:sz w:val="2"/>
          <w:szCs w:val="2"/>
          <w:rtl/>
        </w:rPr>
        <w:t>54678313</w:t>
      </w:r>
    </w:p>
    <w:p w14:paraId="41835015" w14:textId="77777777" w:rsidR="00B64CB3" w:rsidRDefault="00B64CB3" w:rsidP="006B2B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A41BD4" w14:textId="77777777" w:rsidR="00B64CB3" w:rsidRDefault="00B64CB3" w:rsidP="00B64CB3">
      <w:pPr>
        <w:jc w:val="center"/>
        <w:rPr>
          <w:rFonts w:ascii="Arial" w:hAnsi="Arial" w:cs="FrankRuehl"/>
          <w:sz w:val="28"/>
          <w:szCs w:val="28"/>
          <w:rtl/>
        </w:rPr>
      </w:pPr>
    </w:p>
    <w:p w14:paraId="63CC8AED" w14:textId="77777777" w:rsidR="006B2B15" w:rsidRDefault="006B2B15" w:rsidP="006B2B15">
      <w:pPr>
        <w:rPr>
          <w:rtl/>
        </w:rPr>
      </w:pPr>
    </w:p>
    <w:p w14:paraId="38FA8A0E" w14:textId="77777777" w:rsidR="006B2B15" w:rsidRDefault="006B2B15" w:rsidP="006B2B1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E8EFA66" w14:textId="77777777" w:rsidR="007E2A17" w:rsidRPr="007E2A17" w:rsidRDefault="007E2A17" w:rsidP="007E2A17">
      <w:pPr>
        <w:keepNext/>
        <w:rPr>
          <w:rFonts w:ascii="David" w:hAnsi="David"/>
          <w:color w:val="000000"/>
          <w:sz w:val="22"/>
          <w:szCs w:val="22"/>
          <w:rtl/>
        </w:rPr>
      </w:pPr>
    </w:p>
    <w:p w14:paraId="4E29078D" w14:textId="77777777" w:rsidR="007E2A17" w:rsidRPr="007E2A17" w:rsidRDefault="007E2A17" w:rsidP="007E2A17">
      <w:pPr>
        <w:keepNext/>
        <w:rPr>
          <w:rFonts w:ascii="David" w:hAnsi="David"/>
          <w:color w:val="000000"/>
          <w:sz w:val="22"/>
          <w:szCs w:val="22"/>
          <w:rtl/>
        </w:rPr>
      </w:pPr>
      <w:r w:rsidRPr="007E2A17">
        <w:rPr>
          <w:rFonts w:ascii="David" w:hAnsi="David"/>
          <w:color w:val="000000"/>
          <w:sz w:val="22"/>
          <w:szCs w:val="22"/>
          <w:rtl/>
        </w:rPr>
        <w:t>רונית בש 54678313-/</w:t>
      </w:r>
    </w:p>
    <w:p w14:paraId="171386AA" w14:textId="77777777" w:rsidR="006B2B15" w:rsidRPr="006B2B15" w:rsidRDefault="007E2A17" w:rsidP="007E2A17">
      <w:pPr>
        <w:rPr>
          <w:color w:val="0000FF"/>
          <w:u w:val="single"/>
        </w:rPr>
      </w:pPr>
      <w:r w:rsidRPr="007E2A17">
        <w:rPr>
          <w:color w:val="000000"/>
          <w:u w:val="single"/>
          <w:rtl/>
        </w:rPr>
        <w:t>נוסח מסמך זה כפוף לשינויי ניסוח ועריכה</w:t>
      </w:r>
    </w:p>
    <w:sectPr w:rsidR="006B2B15" w:rsidRPr="006B2B15" w:rsidSect="007E2A17">
      <w:headerReference w:type="even" r:id="rId38"/>
      <w:headerReference w:type="default" r:id="rId39"/>
      <w:footerReference w:type="even" r:id="rId40"/>
      <w:footerReference w:type="default" r:id="rId41"/>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210C" w14:textId="77777777" w:rsidR="004A4E6A" w:rsidRDefault="004A4E6A" w:rsidP="00BD66F7">
      <w:r>
        <w:separator/>
      </w:r>
    </w:p>
  </w:endnote>
  <w:endnote w:type="continuationSeparator" w:id="0">
    <w:p w14:paraId="38E6D9DD" w14:textId="77777777" w:rsidR="004A4E6A" w:rsidRDefault="004A4E6A" w:rsidP="00BD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78CF" w14:textId="77777777" w:rsidR="007E2A17" w:rsidRDefault="007E2A17" w:rsidP="007E2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AF8B1F" w14:textId="77777777" w:rsidR="00654627" w:rsidRPr="007E2A17" w:rsidRDefault="007E2A17" w:rsidP="007E2A17">
    <w:pPr>
      <w:pStyle w:val="a5"/>
      <w:pBdr>
        <w:top w:val="single" w:sz="4" w:space="1" w:color="auto"/>
        <w:between w:val="single" w:sz="4" w:space="0" w:color="auto"/>
      </w:pBdr>
      <w:spacing w:after="60"/>
      <w:jc w:val="center"/>
      <w:rPr>
        <w:rFonts w:ascii="FrankRuehl" w:hAnsi="FrankRuehl" w:cs="FrankRuehl"/>
        <w:color w:val="000000"/>
      </w:rPr>
    </w:pPr>
    <w:r w:rsidRPr="007E2A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406D" w14:textId="77777777" w:rsidR="007E2A17" w:rsidRDefault="007E2A17" w:rsidP="007E2A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6003">
      <w:rPr>
        <w:rFonts w:ascii="FrankRuehl" w:hAnsi="FrankRuehl" w:cs="FrankRuehl"/>
        <w:noProof/>
        <w:rtl/>
      </w:rPr>
      <w:t>1</w:t>
    </w:r>
    <w:r>
      <w:rPr>
        <w:rFonts w:ascii="FrankRuehl" w:hAnsi="FrankRuehl" w:cs="FrankRuehl"/>
        <w:rtl/>
      </w:rPr>
      <w:fldChar w:fldCharType="end"/>
    </w:r>
  </w:p>
  <w:p w14:paraId="2BBC5537" w14:textId="77777777" w:rsidR="00654627" w:rsidRPr="007E2A17" w:rsidRDefault="007E2A17" w:rsidP="007E2A17">
    <w:pPr>
      <w:pStyle w:val="a5"/>
      <w:pBdr>
        <w:top w:val="single" w:sz="4" w:space="1" w:color="auto"/>
        <w:between w:val="single" w:sz="4" w:space="0" w:color="auto"/>
      </w:pBdr>
      <w:spacing w:after="60"/>
      <w:jc w:val="center"/>
      <w:rPr>
        <w:rFonts w:ascii="FrankRuehl" w:hAnsi="FrankRuehl" w:cs="FrankRuehl"/>
        <w:color w:val="000000"/>
      </w:rPr>
    </w:pPr>
    <w:r w:rsidRPr="007E2A17">
      <w:rPr>
        <w:rFonts w:ascii="FrankRuehl" w:hAnsi="FrankRuehl" w:cs="FrankRuehl"/>
        <w:color w:val="000000"/>
      </w:rPr>
      <w:pict w14:anchorId="7EE54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EE90" w14:textId="77777777" w:rsidR="004A4E6A" w:rsidRDefault="004A4E6A" w:rsidP="00BD66F7">
      <w:r>
        <w:separator/>
      </w:r>
    </w:p>
  </w:footnote>
  <w:footnote w:type="continuationSeparator" w:id="0">
    <w:p w14:paraId="513BECB6" w14:textId="77777777" w:rsidR="004A4E6A" w:rsidRDefault="004A4E6A" w:rsidP="00BD6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5AB1" w14:textId="77777777" w:rsidR="006B2B15" w:rsidRPr="007E2A17" w:rsidRDefault="007E2A17" w:rsidP="007E2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14115-07-19</w:t>
    </w:r>
    <w:r>
      <w:rPr>
        <w:rFonts w:ascii="David" w:hAnsi="David"/>
        <w:color w:val="000000"/>
        <w:sz w:val="22"/>
        <w:szCs w:val="22"/>
        <w:rtl/>
      </w:rPr>
      <w:tab/>
      <w:t xml:space="preserve"> מדינת ישראל נ' מורשד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9655" w14:textId="77777777" w:rsidR="006B2B15" w:rsidRPr="007E2A17" w:rsidRDefault="007E2A17" w:rsidP="007E2A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14115-07-19</w:t>
    </w:r>
    <w:r>
      <w:rPr>
        <w:rFonts w:ascii="David" w:hAnsi="David"/>
        <w:color w:val="000000"/>
        <w:sz w:val="22"/>
        <w:szCs w:val="22"/>
        <w:rtl/>
      </w:rPr>
      <w:tab/>
      <w:t xml:space="preserve"> מדינת ישראל נ' מורשד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832"/>
    <w:multiLevelType w:val="hybridMultilevel"/>
    <w:tmpl w:val="1E529C96"/>
    <w:lvl w:ilvl="0" w:tplc="29AE7A9C">
      <w:start w:val="7"/>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51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4CB3"/>
    <w:rsid w:val="00146003"/>
    <w:rsid w:val="004A4E6A"/>
    <w:rsid w:val="00546AB0"/>
    <w:rsid w:val="00654627"/>
    <w:rsid w:val="006B2B15"/>
    <w:rsid w:val="007E2A17"/>
    <w:rsid w:val="008062FF"/>
    <w:rsid w:val="00B64CB3"/>
    <w:rsid w:val="00BD66F7"/>
    <w:rsid w:val="00CB63BD"/>
    <w:rsid w:val="00FF4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C507A"/>
  <w15:chartTrackingRefBased/>
  <w15:docId w15:val="{11792E9D-CB18-43A7-B781-04E45907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C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4CB3"/>
    <w:pPr>
      <w:tabs>
        <w:tab w:val="center" w:pos="4153"/>
        <w:tab w:val="right" w:pos="8306"/>
      </w:tabs>
    </w:pPr>
  </w:style>
  <w:style w:type="character" w:customStyle="1" w:styleId="a4">
    <w:name w:val="כותרת עליונה תו"/>
    <w:link w:val="a3"/>
    <w:rsid w:val="00B64CB3"/>
    <w:rPr>
      <w:rFonts w:ascii="Times New Roman" w:eastAsia="Times New Roman" w:hAnsi="Times New Roman" w:cs="David"/>
      <w:sz w:val="24"/>
      <w:szCs w:val="24"/>
    </w:rPr>
  </w:style>
  <w:style w:type="paragraph" w:styleId="a5">
    <w:name w:val="footer"/>
    <w:basedOn w:val="a"/>
    <w:link w:val="a6"/>
    <w:rsid w:val="00B64CB3"/>
    <w:pPr>
      <w:tabs>
        <w:tab w:val="center" w:pos="4153"/>
        <w:tab w:val="right" w:pos="8306"/>
      </w:tabs>
    </w:pPr>
  </w:style>
  <w:style w:type="character" w:customStyle="1" w:styleId="a6">
    <w:name w:val="כותרת תחתונה תו"/>
    <w:link w:val="a5"/>
    <w:rsid w:val="00B64CB3"/>
    <w:rPr>
      <w:rFonts w:ascii="Times New Roman" w:eastAsia="Times New Roman" w:hAnsi="Times New Roman" w:cs="David"/>
      <w:sz w:val="24"/>
      <w:szCs w:val="24"/>
    </w:rPr>
  </w:style>
  <w:style w:type="table" w:styleId="a7">
    <w:name w:val="Table Grid"/>
    <w:basedOn w:val="a1"/>
    <w:rsid w:val="00B64C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4CB3"/>
  </w:style>
  <w:style w:type="paragraph" w:styleId="a9">
    <w:name w:val="List Paragraph"/>
    <w:basedOn w:val="a"/>
    <w:qFormat/>
    <w:rsid w:val="00B64CB3"/>
    <w:pPr>
      <w:ind w:left="720"/>
      <w:contextualSpacing/>
    </w:pPr>
  </w:style>
  <w:style w:type="character" w:styleId="Hyperlink">
    <w:name w:val="Hyperlink"/>
    <w:rsid w:val="006B2B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7791493" TargetMode="External"/><Relationship Id="rId39" Type="http://schemas.openxmlformats.org/officeDocument/2006/relationships/header" Target="header2.xml"/><Relationship Id="rId21" Type="http://schemas.openxmlformats.org/officeDocument/2006/relationships/hyperlink" Target="http://www.nevo.co.il/law/70301/40c" TargetMode="External"/><Relationship Id="rId34" Type="http://schemas.openxmlformats.org/officeDocument/2006/relationships/hyperlink" Target="http://www.nevo.co.il/law/70301/14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243627" TargetMode="External"/><Relationship Id="rId29" Type="http://schemas.openxmlformats.org/officeDocument/2006/relationships/hyperlink" Target="http://www.nevo.co.il/case/1304200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1289545" TargetMode="External"/><Relationship Id="rId36" Type="http://schemas.openxmlformats.org/officeDocument/2006/relationships/hyperlink" Target="http://www.nevo.co.il/law/70301/iCcS"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733878"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iCcS"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40699" TargetMode="External"/><Relationship Id="rId30" Type="http://schemas.openxmlformats.org/officeDocument/2006/relationships/hyperlink" Target="http://www.nevo.co.il/case/6864329"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2218</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13284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4522079</vt:i4>
      </vt:variant>
      <vt:variant>
        <vt:i4>87</vt:i4>
      </vt:variant>
      <vt:variant>
        <vt:i4>0</vt:i4>
      </vt:variant>
      <vt:variant>
        <vt:i4>5</vt:i4>
      </vt:variant>
      <vt:variant>
        <vt:lpwstr>http://www.nevo.co.il/law/70301/iCcS</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3211389</vt:i4>
      </vt:variant>
      <vt:variant>
        <vt:i4>72</vt:i4>
      </vt:variant>
      <vt:variant>
        <vt:i4>0</vt:i4>
      </vt:variant>
      <vt:variant>
        <vt:i4>5</vt:i4>
      </vt:variant>
      <vt:variant>
        <vt:lpwstr>http://www.nevo.co.il/case/22733878</vt:lpwstr>
      </vt:variant>
      <vt:variant>
        <vt:lpwstr/>
      </vt:variant>
      <vt:variant>
        <vt:i4>3801210</vt:i4>
      </vt:variant>
      <vt:variant>
        <vt:i4>69</vt:i4>
      </vt:variant>
      <vt:variant>
        <vt:i4>0</vt:i4>
      </vt:variant>
      <vt:variant>
        <vt:i4>5</vt:i4>
      </vt:variant>
      <vt:variant>
        <vt:lpwstr>http://www.nevo.co.il/case/6864329</vt:lpwstr>
      </vt:variant>
      <vt:variant>
        <vt:lpwstr/>
      </vt:variant>
      <vt:variant>
        <vt:i4>3342451</vt:i4>
      </vt:variant>
      <vt:variant>
        <vt:i4>66</vt:i4>
      </vt:variant>
      <vt:variant>
        <vt:i4>0</vt:i4>
      </vt:variant>
      <vt:variant>
        <vt:i4>5</vt:i4>
      </vt:variant>
      <vt:variant>
        <vt:lpwstr>http://www.nevo.co.il/case/13042005</vt:lpwstr>
      </vt:variant>
      <vt:variant>
        <vt:lpwstr/>
      </vt:variant>
      <vt:variant>
        <vt:i4>4063352</vt:i4>
      </vt:variant>
      <vt:variant>
        <vt:i4>63</vt:i4>
      </vt:variant>
      <vt:variant>
        <vt:i4>0</vt:i4>
      </vt:variant>
      <vt:variant>
        <vt:i4>5</vt:i4>
      </vt:variant>
      <vt:variant>
        <vt:lpwstr>http://www.nevo.co.il/case/11289545</vt:lpwstr>
      </vt:variant>
      <vt:variant>
        <vt:lpwstr/>
      </vt:variant>
      <vt:variant>
        <vt:i4>3932277</vt:i4>
      </vt:variant>
      <vt:variant>
        <vt:i4>60</vt:i4>
      </vt:variant>
      <vt:variant>
        <vt:i4>0</vt:i4>
      </vt:variant>
      <vt:variant>
        <vt:i4>5</vt:i4>
      </vt:variant>
      <vt:variant>
        <vt:lpwstr>http://www.nevo.co.il/case/7840699</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4522079</vt:i4>
      </vt:variant>
      <vt:variant>
        <vt:i4>21</vt:i4>
      </vt:variant>
      <vt:variant>
        <vt:i4>0</vt:i4>
      </vt:variant>
      <vt:variant>
        <vt:i4>5</vt:i4>
      </vt:variant>
      <vt:variant>
        <vt:lpwstr>http://www.nevo.co.il/law/70301/iCcS</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14115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מורשד ג'בארין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20200128</vt:lpwstr>
  </property>
  <property fmtid="{D5CDD505-2E9C-101B-9397-08002B2CF9AE}" pid="13" name="TYPE_N_DATE">
    <vt:lpwstr>39020200128</vt:lpwstr>
  </property>
  <property fmtid="{D5CDD505-2E9C-101B-9397-08002B2CF9AE}" pid="14" name="CASESLISTTMP1">
    <vt:lpwstr>6243627;5601503;7791493;7840699;11289545;13042005;6864329;22733878</vt:lpwstr>
  </property>
  <property fmtid="{D5CDD505-2E9C-101B-9397-08002B2CF9AE}" pid="15" name="WORDNUMPAGES">
    <vt:lpwstr>6</vt:lpwstr>
  </property>
  <property fmtid="{D5CDD505-2E9C-101B-9397-08002B2CF9AE}" pid="16" name="TYPE_ABS_DATE">
    <vt:lpwstr>390020200128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70301/144.b;275;040b;040c;040i;144:2;iCcS</vt:lpwstr>
  </property>
</Properties>
</file>