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65"/>
        <w:gridCol w:w="3656"/>
      </w:tblGrid>
      <w:tr w:rsidR="009F00AD" w:rsidRPr="0033683F" w14:paraId="3A1D5E0C" w14:textId="77777777" w:rsidTr="00470E4D">
        <w:trPr>
          <w:trHeight w:hRule="exact" w:val="418"/>
          <w:jc w:val="center"/>
        </w:trPr>
        <w:tc>
          <w:tcPr>
            <w:tcW w:w="8721" w:type="dxa"/>
            <w:gridSpan w:val="2"/>
          </w:tcPr>
          <w:p w14:paraId="195DAF5E" w14:textId="77777777" w:rsidR="009F00AD" w:rsidRPr="0033683F" w:rsidRDefault="009F00AD" w:rsidP="00B75F0C">
            <w:pPr>
              <w:pStyle w:val="a4"/>
              <w:jc w:val="center"/>
              <w:rPr>
                <w:rFonts w:ascii="Tahoma" w:hAnsi="Tahoma" w:cs="Tahoma"/>
                <w:color w:val="000080"/>
                <w:rtl/>
              </w:rPr>
            </w:pPr>
            <w:bookmarkStart w:id="0" w:name="LastJudge"/>
            <w:r w:rsidRPr="0033683F">
              <w:rPr>
                <w:rFonts w:ascii="Tahoma" w:hAnsi="Tahoma" w:cs="Tahoma"/>
                <w:b/>
                <w:bCs/>
                <w:color w:val="000080"/>
                <w:rtl/>
              </w:rPr>
              <w:t>בית המשפט המחוזי בחיפה</w:t>
            </w:r>
          </w:p>
        </w:tc>
      </w:tr>
      <w:tr w:rsidR="009F00AD" w:rsidRPr="0033683F" w14:paraId="44814955" w14:textId="77777777" w:rsidTr="00470E4D">
        <w:trPr>
          <w:trHeight w:val="337"/>
          <w:jc w:val="center"/>
        </w:trPr>
        <w:tc>
          <w:tcPr>
            <w:tcW w:w="5065" w:type="dxa"/>
          </w:tcPr>
          <w:p w14:paraId="13ADD558" w14:textId="77777777" w:rsidR="009F00AD" w:rsidRPr="0033683F" w:rsidRDefault="009F00AD" w:rsidP="00B75F0C">
            <w:pPr>
              <w:rPr>
                <w:rFonts w:cs="FrankRuehl"/>
                <w:sz w:val="28"/>
                <w:szCs w:val="28"/>
                <w:rtl/>
              </w:rPr>
            </w:pPr>
            <w:r w:rsidRPr="0033683F">
              <w:rPr>
                <w:rFonts w:cs="FrankRuehl"/>
                <w:sz w:val="28"/>
                <w:szCs w:val="28"/>
                <w:rtl/>
              </w:rPr>
              <w:t>ת"פ</w:t>
            </w:r>
            <w:r w:rsidRPr="0033683F">
              <w:rPr>
                <w:rFonts w:cs="FrankRuehl" w:hint="cs"/>
                <w:sz w:val="28"/>
                <w:szCs w:val="28"/>
                <w:rtl/>
              </w:rPr>
              <w:t xml:space="preserve"> </w:t>
            </w:r>
            <w:r w:rsidRPr="0033683F">
              <w:rPr>
                <w:rFonts w:cs="FrankRuehl"/>
                <w:sz w:val="28"/>
                <w:szCs w:val="28"/>
                <w:rtl/>
              </w:rPr>
              <w:t>27294-04-19</w:t>
            </w:r>
            <w:r w:rsidRPr="0033683F">
              <w:rPr>
                <w:rFonts w:cs="FrankRuehl" w:hint="cs"/>
                <w:sz w:val="28"/>
                <w:szCs w:val="28"/>
                <w:rtl/>
              </w:rPr>
              <w:t xml:space="preserve"> </w:t>
            </w:r>
            <w:r w:rsidRPr="0033683F">
              <w:rPr>
                <w:rFonts w:cs="FrankRuehl"/>
                <w:sz w:val="28"/>
                <w:szCs w:val="28"/>
                <w:rtl/>
              </w:rPr>
              <w:t>מדינת ישראל נ' עוויסאת(עצור/אסיר בפיקוח)</w:t>
            </w:r>
          </w:p>
          <w:p w14:paraId="0EDE426D" w14:textId="77777777" w:rsidR="009F00AD" w:rsidRPr="0033683F" w:rsidRDefault="009F00AD" w:rsidP="00B75F0C">
            <w:pPr>
              <w:pStyle w:val="a4"/>
              <w:rPr>
                <w:rFonts w:cs="FrankRuehl"/>
                <w:sz w:val="28"/>
                <w:szCs w:val="28"/>
                <w:rtl/>
              </w:rPr>
            </w:pPr>
          </w:p>
        </w:tc>
        <w:tc>
          <w:tcPr>
            <w:tcW w:w="3656" w:type="dxa"/>
          </w:tcPr>
          <w:p w14:paraId="7FA6FE93" w14:textId="77777777" w:rsidR="009F00AD" w:rsidRPr="0033683F" w:rsidRDefault="009F00AD" w:rsidP="00B75F0C">
            <w:pPr>
              <w:pStyle w:val="a4"/>
              <w:jc w:val="right"/>
              <w:rPr>
                <w:rFonts w:cs="FrankRuehl"/>
                <w:sz w:val="28"/>
                <w:szCs w:val="28"/>
                <w:rtl/>
              </w:rPr>
            </w:pPr>
          </w:p>
        </w:tc>
      </w:tr>
    </w:tbl>
    <w:p w14:paraId="2EE72C81" w14:textId="77777777" w:rsidR="009F00AD" w:rsidRPr="0033683F" w:rsidRDefault="009F00AD" w:rsidP="009F00AD">
      <w:pPr>
        <w:pStyle w:val="a4"/>
        <w:rPr>
          <w:rtl/>
        </w:rPr>
      </w:pPr>
      <w:r w:rsidRPr="0033683F">
        <w:rPr>
          <w:rFonts w:hint="cs"/>
          <w:rtl/>
        </w:rPr>
        <w:t xml:space="preserve"> </w:t>
      </w:r>
    </w:p>
    <w:p w14:paraId="75A3168B" w14:textId="77777777" w:rsidR="009F00AD" w:rsidRPr="0033683F" w:rsidRDefault="009F00AD" w:rsidP="009F00AD">
      <w:pPr>
        <w:jc w:val="both"/>
        <w:rPr>
          <w:rtl/>
        </w:rPr>
      </w:pPr>
    </w:p>
    <w:p w14:paraId="0CA4CFDB" w14:textId="77777777" w:rsidR="009F00AD" w:rsidRPr="0033683F" w:rsidRDefault="009F00AD" w:rsidP="009F00AD">
      <w:pPr>
        <w:jc w:val="both"/>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9F00AD" w:rsidRPr="0033683F" w14:paraId="0CCB61A6" w14:textId="77777777" w:rsidTr="009F00AD">
        <w:trPr>
          <w:trHeight w:val="295"/>
          <w:jc w:val="center"/>
        </w:trPr>
        <w:tc>
          <w:tcPr>
            <w:tcW w:w="945" w:type="dxa"/>
            <w:tcBorders>
              <w:top w:val="nil"/>
              <w:left w:val="nil"/>
              <w:bottom w:val="nil"/>
              <w:right w:val="nil"/>
            </w:tcBorders>
            <w:shd w:val="clear" w:color="auto" w:fill="auto"/>
          </w:tcPr>
          <w:p w14:paraId="29C6B3B1" w14:textId="77777777" w:rsidR="009F00AD" w:rsidRPr="0033683F" w:rsidRDefault="009F00AD" w:rsidP="009F00AD">
            <w:pPr>
              <w:jc w:val="both"/>
              <w:rPr>
                <w:rFonts w:ascii="David" w:hAnsi="David"/>
                <w:b/>
                <w:bCs/>
                <w:sz w:val="28"/>
                <w:szCs w:val="28"/>
              </w:rPr>
            </w:pPr>
            <w:r w:rsidRPr="0033683F">
              <w:rPr>
                <w:rFonts w:ascii="David" w:hAnsi="David"/>
                <w:b/>
                <w:bCs/>
                <w:sz w:val="28"/>
                <w:szCs w:val="28"/>
                <w:rtl/>
              </w:rPr>
              <w:t xml:space="preserve">בפני </w:t>
            </w:r>
          </w:p>
        </w:tc>
        <w:tc>
          <w:tcPr>
            <w:tcW w:w="7875" w:type="dxa"/>
            <w:gridSpan w:val="2"/>
            <w:tcBorders>
              <w:top w:val="nil"/>
              <w:left w:val="nil"/>
              <w:bottom w:val="nil"/>
              <w:right w:val="nil"/>
            </w:tcBorders>
            <w:shd w:val="clear" w:color="auto" w:fill="auto"/>
          </w:tcPr>
          <w:p w14:paraId="46E84A71" w14:textId="77777777" w:rsidR="009F00AD" w:rsidRPr="0033683F" w:rsidRDefault="009F00AD" w:rsidP="009F00AD">
            <w:pPr>
              <w:jc w:val="both"/>
              <w:rPr>
                <w:rFonts w:ascii="David" w:hAnsi="David"/>
                <w:b/>
                <w:bCs/>
                <w:rtl/>
              </w:rPr>
            </w:pPr>
            <w:r w:rsidRPr="0033683F">
              <w:rPr>
                <w:rFonts w:ascii="David" w:hAnsi="David"/>
                <w:b/>
                <w:bCs/>
                <w:rtl/>
              </w:rPr>
              <w:t>כבוד השופטת  רונית בש</w:t>
            </w:r>
          </w:p>
          <w:p w14:paraId="587CB348" w14:textId="77777777" w:rsidR="009F00AD" w:rsidRPr="0033683F" w:rsidRDefault="009F00AD" w:rsidP="009F00AD">
            <w:pPr>
              <w:jc w:val="both"/>
              <w:rPr>
                <w:rFonts w:ascii="David" w:hAnsi="David"/>
                <w:b/>
                <w:bCs/>
                <w:rtl/>
              </w:rPr>
            </w:pPr>
          </w:p>
          <w:p w14:paraId="42F6B004" w14:textId="77777777" w:rsidR="009F00AD" w:rsidRPr="0033683F" w:rsidRDefault="009F00AD" w:rsidP="009F00AD">
            <w:pPr>
              <w:jc w:val="both"/>
              <w:rPr>
                <w:rFonts w:ascii="David" w:hAnsi="David"/>
                <w:b/>
                <w:bCs/>
                <w:sz w:val="28"/>
                <w:szCs w:val="28"/>
              </w:rPr>
            </w:pPr>
          </w:p>
        </w:tc>
      </w:tr>
      <w:tr w:rsidR="009F00AD" w:rsidRPr="0033683F" w14:paraId="6C63E9AE" w14:textId="77777777" w:rsidTr="009F00AD">
        <w:trPr>
          <w:trHeight w:val="355"/>
          <w:jc w:val="center"/>
        </w:trPr>
        <w:tc>
          <w:tcPr>
            <w:tcW w:w="945" w:type="dxa"/>
            <w:tcBorders>
              <w:top w:val="nil"/>
              <w:left w:val="nil"/>
              <w:bottom w:val="nil"/>
              <w:right w:val="nil"/>
            </w:tcBorders>
            <w:shd w:val="clear" w:color="auto" w:fill="auto"/>
          </w:tcPr>
          <w:p w14:paraId="716DC8C3" w14:textId="77777777" w:rsidR="009F00AD" w:rsidRPr="0033683F" w:rsidRDefault="009F00AD" w:rsidP="009F00AD">
            <w:pPr>
              <w:jc w:val="both"/>
              <w:rPr>
                <w:rFonts w:ascii="David" w:hAnsi="David"/>
                <w:b/>
                <w:bCs/>
                <w:sz w:val="28"/>
                <w:szCs w:val="28"/>
              </w:rPr>
            </w:pPr>
            <w:bookmarkStart w:id="1" w:name="FirstAppellant"/>
            <w:r w:rsidRPr="0033683F">
              <w:rPr>
                <w:rFonts w:ascii="David" w:hAnsi="David"/>
                <w:b/>
                <w:bCs/>
                <w:sz w:val="28"/>
                <w:szCs w:val="28"/>
                <w:rtl/>
              </w:rPr>
              <w:t>בעניין:</w:t>
            </w:r>
          </w:p>
        </w:tc>
        <w:tc>
          <w:tcPr>
            <w:tcW w:w="4114" w:type="dxa"/>
            <w:tcBorders>
              <w:top w:val="nil"/>
              <w:left w:val="nil"/>
              <w:bottom w:val="nil"/>
              <w:right w:val="nil"/>
            </w:tcBorders>
            <w:shd w:val="clear" w:color="auto" w:fill="auto"/>
          </w:tcPr>
          <w:p w14:paraId="1BBBC82B" w14:textId="77777777" w:rsidR="009F00AD" w:rsidRPr="0033683F" w:rsidRDefault="009F00AD" w:rsidP="009F00AD">
            <w:pPr>
              <w:jc w:val="both"/>
              <w:rPr>
                <w:rFonts w:ascii="David" w:hAnsi="David"/>
                <w:b/>
                <w:bCs/>
              </w:rPr>
            </w:pPr>
            <w:r w:rsidRPr="0033683F">
              <w:rPr>
                <w:rFonts w:ascii="David" w:hAnsi="David"/>
                <w:b/>
                <w:bCs/>
                <w:sz w:val="28"/>
                <w:szCs w:val="28"/>
                <w:rtl/>
              </w:rPr>
              <w:t>מדינת ישראל</w:t>
            </w:r>
          </w:p>
        </w:tc>
        <w:tc>
          <w:tcPr>
            <w:tcW w:w="3761" w:type="dxa"/>
            <w:tcBorders>
              <w:top w:val="nil"/>
              <w:left w:val="nil"/>
              <w:bottom w:val="nil"/>
              <w:right w:val="nil"/>
            </w:tcBorders>
            <w:shd w:val="clear" w:color="auto" w:fill="auto"/>
          </w:tcPr>
          <w:p w14:paraId="0DFADFAF" w14:textId="77777777" w:rsidR="009F00AD" w:rsidRPr="0033683F" w:rsidRDefault="009F00AD" w:rsidP="009F00AD">
            <w:pPr>
              <w:jc w:val="both"/>
              <w:rPr>
                <w:rFonts w:ascii="David" w:hAnsi="David"/>
                <w:b/>
                <w:bCs/>
                <w:sz w:val="28"/>
                <w:szCs w:val="28"/>
              </w:rPr>
            </w:pPr>
            <w:r w:rsidRPr="0033683F">
              <w:rPr>
                <w:rFonts w:ascii="David" w:hAnsi="David" w:hint="cs"/>
                <w:b/>
                <w:bCs/>
                <w:sz w:val="28"/>
                <w:szCs w:val="28"/>
                <w:rtl/>
              </w:rPr>
              <w:t>המאשימה</w:t>
            </w:r>
          </w:p>
        </w:tc>
      </w:tr>
      <w:bookmarkEnd w:id="1"/>
      <w:tr w:rsidR="009F00AD" w:rsidRPr="0033683F" w14:paraId="0958D633" w14:textId="77777777" w:rsidTr="009F00AD">
        <w:trPr>
          <w:trHeight w:val="355"/>
          <w:jc w:val="center"/>
        </w:trPr>
        <w:tc>
          <w:tcPr>
            <w:tcW w:w="945" w:type="dxa"/>
            <w:tcBorders>
              <w:top w:val="nil"/>
              <w:left w:val="nil"/>
              <w:bottom w:val="nil"/>
              <w:right w:val="nil"/>
            </w:tcBorders>
            <w:shd w:val="clear" w:color="auto" w:fill="auto"/>
          </w:tcPr>
          <w:p w14:paraId="50089F63" w14:textId="77777777" w:rsidR="009F00AD" w:rsidRPr="0033683F" w:rsidRDefault="009F00AD" w:rsidP="009F00AD">
            <w:pPr>
              <w:jc w:val="both"/>
              <w:rPr>
                <w:rFonts w:ascii="David" w:hAnsi="David"/>
                <w:b/>
                <w:bCs/>
                <w:sz w:val="28"/>
                <w:szCs w:val="28"/>
                <w:rtl/>
              </w:rPr>
            </w:pPr>
          </w:p>
        </w:tc>
        <w:tc>
          <w:tcPr>
            <w:tcW w:w="7875" w:type="dxa"/>
            <w:gridSpan w:val="2"/>
            <w:tcBorders>
              <w:top w:val="nil"/>
              <w:left w:val="nil"/>
              <w:bottom w:val="nil"/>
              <w:right w:val="nil"/>
            </w:tcBorders>
            <w:shd w:val="clear" w:color="auto" w:fill="auto"/>
          </w:tcPr>
          <w:p w14:paraId="75D77772" w14:textId="77777777" w:rsidR="009F00AD" w:rsidRPr="0033683F" w:rsidRDefault="009F00AD" w:rsidP="009F00AD">
            <w:pPr>
              <w:jc w:val="both"/>
              <w:rPr>
                <w:rFonts w:ascii="David" w:hAnsi="David"/>
                <w:b/>
                <w:bCs/>
                <w:sz w:val="28"/>
                <w:szCs w:val="28"/>
                <w:rtl/>
              </w:rPr>
            </w:pPr>
          </w:p>
          <w:p w14:paraId="660E527D" w14:textId="77777777" w:rsidR="009F00AD" w:rsidRPr="0033683F" w:rsidRDefault="009F00AD" w:rsidP="009F00AD">
            <w:pPr>
              <w:jc w:val="both"/>
              <w:rPr>
                <w:rFonts w:ascii="David" w:hAnsi="David"/>
                <w:b/>
                <w:bCs/>
                <w:sz w:val="28"/>
                <w:szCs w:val="28"/>
                <w:rtl/>
              </w:rPr>
            </w:pPr>
            <w:r w:rsidRPr="0033683F">
              <w:rPr>
                <w:rFonts w:ascii="David" w:hAnsi="David"/>
                <w:b/>
                <w:bCs/>
                <w:sz w:val="28"/>
                <w:szCs w:val="28"/>
                <w:rtl/>
              </w:rPr>
              <w:t>נגד</w:t>
            </w:r>
          </w:p>
          <w:p w14:paraId="4E7F6BD6" w14:textId="77777777" w:rsidR="009F00AD" w:rsidRPr="0033683F" w:rsidRDefault="009F00AD" w:rsidP="009F00AD">
            <w:pPr>
              <w:jc w:val="both"/>
              <w:rPr>
                <w:rFonts w:ascii="David" w:hAnsi="David"/>
                <w:b/>
                <w:bCs/>
                <w:sz w:val="28"/>
                <w:szCs w:val="28"/>
              </w:rPr>
            </w:pPr>
          </w:p>
        </w:tc>
      </w:tr>
      <w:tr w:rsidR="009F00AD" w:rsidRPr="0033683F" w14:paraId="13D60B8A" w14:textId="77777777" w:rsidTr="009F00AD">
        <w:trPr>
          <w:trHeight w:val="355"/>
          <w:jc w:val="center"/>
        </w:trPr>
        <w:tc>
          <w:tcPr>
            <w:tcW w:w="945" w:type="dxa"/>
            <w:tcBorders>
              <w:top w:val="nil"/>
              <w:left w:val="nil"/>
              <w:bottom w:val="nil"/>
              <w:right w:val="nil"/>
            </w:tcBorders>
            <w:shd w:val="clear" w:color="auto" w:fill="auto"/>
          </w:tcPr>
          <w:p w14:paraId="301E13C2" w14:textId="77777777" w:rsidR="009F00AD" w:rsidRPr="0033683F" w:rsidRDefault="009F00AD" w:rsidP="009F00AD">
            <w:pPr>
              <w:jc w:val="both"/>
              <w:rPr>
                <w:rFonts w:ascii="David" w:hAnsi="David"/>
                <w:b/>
                <w:bCs/>
                <w:sz w:val="28"/>
                <w:szCs w:val="28"/>
                <w:rtl/>
              </w:rPr>
            </w:pPr>
          </w:p>
        </w:tc>
        <w:tc>
          <w:tcPr>
            <w:tcW w:w="4114" w:type="dxa"/>
            <w:tcBorders>
              <w:top w:val="nil"/>
              <w:left w:val="nil"/>
              <w:bottom w:val="nil"/>
              <w:right w:val="nil"/>
            </w:tcBorders>
            <w:shd w:val="clear" w:color="auto" w:fill="auto"/>
          </w:tcPr>
          <w:p w14:paraId="0CE8B9EB" w14:textId="77777777" w:rsidR="009F00AD" w:rsidRPr="0033683F" w:rsidRDefault="009F00AD" w:rsidP="009F00AD">
            <w:pPr>
              <w:jc w:val="both"/>
              <w:rPr>
                <w:rFonts w:ascii="David" w:hAnsi="David"/>
                <w:b/>
                <w:bCs/>
                <w:rtl/>
              </w:rPr>
            </w:pPr>
            <w:r w:rsidRPr="0033683F">
              <w:rPr>
                <w:rFonts w:ascii="David" w:hAnsi="David"/>
                <w:b/>
                <w:bCs/>
                <w:sz w:val="28"/>
                <w:szCs w:val="28"/>
                <w:rtl/>
              </w:rPr>
              <w:t>נור עוויסאת (עצור בפיקוח)</w:t>
            </w:r>
          </w:p>
        </w:tc>
        <w:tc>
          <w:tcPr>
            <w:tcW w:w="3761" w:type="dxa"/>
            <w:tcBorders>
              <w:top w:val="nil"/>
              <w:left w:val="nil"/>
              <w:bottom w:val="nil"/>
              <w:right w:val="nil"/>
            </w:tcBorders>
            <w:shd w:val="clear" w:color="auto" w:fill="auto"/>
          </w:tcPr>
          <w:p w14:paraId="573127F0" w14:textId="77777777" w:rsidR="009F00AD" w:rsidRPr="0033683F" w:rsidRDefault="009F00AD" w:rsidP="009F00AD">
            <w:pPr>
              <w:jc w:val="both"/>
              <w:rPr>
                <w:rFonts w:ascii="David" w:hAnsi="David"/>
                <w:b/>
                <w:bCs/>
                <w:sz w:val="28"/>
                <w:szCs w:val="28"/>
              </w:rPr>
            </w:pPr>
            <w:r w:rsidRPr="0033683F">
              <w:rPr>
                <w:rFonts w:ascii="David" w:hAnsi="David" w:hint="cs"/>
                <w:b/>
                <w:bCs/>
                <w:sz w:val="28"/>
                <w:szCs w:val="28"/>
                <w:rtl/>
              </w:rPr>
              <w:t>הנאשם</w:t>
            </w:r>
          </w:p>
        </w:tc>
      </w:tr>
    </w:tbl>
    <w:p w14:paraId="15856F73" w14:textId="77777777" w:rsidR="00470E4D" w:rsidRPr="00470E4D" w:rsidRDefault="00470E4D" w:rsidP="00470E4D">
      <w:pPr>
        <w:spacing w:before="120" w:after="120" w:line="240" w:lineRule="exact"/>
        <w:ind w:left="283" w:hanging="283"/>
        <w:jc w:val="both"/>
        <w:rPr>
          <w:rFonts w:ascii="FrankRuehl" w:hAnsi="FrankRuehl" w:cs="FrankRuehl"/>
          <w:rtl/>
        </w:rPr>
      </w:pPr>
    </w:p>
    <w:p w14:paraId="3B1138BD" w14:textId="77777777" w:rsidR="00470E4D" w:rsidRPr="00470E4D" w:rsidRDefault="00470E4D" w:rsidP="00470E4D">
      <w:pPr>
        <w:spacing w:before="120" w:after="120" w:line="240" w:lineRule="exact"/>
        <w:ind w:left="283" w:hanging="283"/>
        <w:jc w:val="both"/>
        <w:rPr>
          <w:rFonts w:ascii="FrankRuehl" w:hAnsi="FrankRuehl" w:cs="FrankRuehl"/>
          <w:rtl/>
        </w:rPr>
      </w:pPr>
    </w:p>
    <w:p w14:paraId="1EBA79B6" w14:textId="77777777" w:rsidR="00EE7DFF" w:rsidRPr="00EE7DFF" w:rsidRDefault="00EE7DFF" w:rsidP="00EE7DFF">
      <w:pPr>
        <w:spacing w:before="120" w:after="120" w:line="240" w:lineRule="exact"/>
        <w:ind w:left="283" w:hanging="283"/>
        <w:jc w:val="both"/>
        <w:rPr>
          <w:rFonts w:ascii="FrankRuehl" w:hAnsi="FrankRuehl" w:cs="FrankRuehl"/>
          <w:rtl/>
        </w:rPr>
      </w:pPr>
      <w:bookmarkStart w:id="2" w:name="LawTable"/>
      <w:bookmarkEnd w:id="2"/>
    </w:p>
    <w:p w14:paraId="72DC06CB" w14:textId="77777777" w:rsidR="00EE7DFF" w:rsidRPr="00EE7DFF" w:rsidRDefault="00EE7DFF" w:rsidP="00EE7DFF">
      <w:pPr>
        <w:spacing w:before="120" w:after="120" w:line="240" w:lineRule="exact"/>
        <w:ind w:left="283" w:hanging="283"/>
        <w:jc w:val="both"/>
        <w:rPr>
          <w:rFonts w:ascii="FrankRuehl" w:hAnsi="FrankRuehl" w:cs="FrankRuehl"/>
          <w:rtl/>
        </w:rPr>
      </w:pPr>
      <w:r w:rsidRPr="00EE7DFF">
        <w:rPr>
          <w:rFonts w:ascii="FrankRuehl" w:hAnsi="FrankRuehl" w:cs="FrankRuehl"/>
          <w:rtl/>
        </w:rPr>
        <w:t xml:space="preserve">חקיקה שאוזכרה: </w:t>
      </w:r>
    </w:p>
    <w:p w14:paraId="7DFD851D" w14:textId="77777777" w:rsidR="00EE7DFF" w:rsidRPr="00EE7DFF" w:rsidRDefault="00EE7DFF" w:rsidP="00EE7DFF">
      <w:pPr>
        <w:spacing w:before="120" w:after="120" w:line="240" w:lineRule="exact"/>
        <w:ind w:left="283" w:hanging="283"/>
        <w:jc w:val="both"/>
        <w:rPr>
          <w:rFonts w:ascii="FrankRuehl" w:hAnsi="FrankRuehl" w:cs="FrankRuehl"/>
          <w:color w:val="0000FF"/>
          <w:rtl/>
        </w:rPr>
      </w:pPr>
      <w:hyperlink r:id="rId7" w:history="1">
        <w:r w:rsidRPr="00EE7DFF">
          <w:rPr>
            <w:rStyle w:val="Hyperlink"/>
            <w:rFonts w:ascii="FrankRuehl" w:hAnsi="FrankRuehl" w:cs="FrankRuehl"/>
            <w:u w:val="none"/>
            <w:rtl/>
          </w:rPr>
          <w:t>חוק העונשין, תשל"ז-1977</w:t>
        </w:r>
      </w:hyperlink>
      <w:r w:rsidRPr="00EE7DFF">
        <w:rPr>
          <w:rFonts w:ascii="FrankRuehl" w:hAnsi="FrankRuehl" w:cs="FrankRuehl"/>
          <w:color w:val="0000FF"/>
          <w:rtl/>
        </w:rPr>
        <w:t xml:space="preserve">: סע'  </w:t>
      </w:r>
      <w:hyperlink r:id="rId8" w:history="1">
        <w:r w:rsidRPr="00EE7DFF">
          <w:rPr>
            <w:rStyle w:val="Hyperlink"/>
            <w:rFonts w:ascii="FrankRuehl" w:hAnsi="FrankRuehl" w:cs="FrankRuehl"/>
            <w:u w:val="none"/>
          </w:rPr>
          <w:t>29</w:t>
        </w:r>
      </w:hyperlink>
      <w:r w:rsidRPr="00EE7DFF">
        <w:rPr>
          <w:rFonts w:ascii="FrankRuehl" w:hAnsi="FrankRuehl" w:cs="FrankRuehl"/>
          <w:color w:val="0000FF"/>
          <w:rtl/>
        </w:rPr>
        <w:t xml:space="preserve">, </w:t>
      </w:r>
      <w:hyperlink r:id="rId9" w:history="1">
        <w:r w:rsidRPr="00EE7DFF">
          <w:rPr>
            <w:rStyle w:val="Hyperlink"/>
            <w:rFonts w:ascii="FrankRuehl" w:hAnsi="FrankRuehl" w:cs="FrankRuehl"/>
            <w:u w:val="none"/>
          </w:rPr>
          <w:t>40</w:t>
        </w:r>
        <w:r w:rsidRPr="00EE7DFF">
          <w:rPr>
            <w:rStyle w:val="Hyperlink"/>
            <w:rFonts w:ascii="FrankRuehl" w:hAnsi="FrankRuehl" w:cs="FrankRuehl"/>
            <w:u w:val="none"/>
            <w:rtl/>
          </w:rPr>
          <w:t>ב</w:t>
        </w:r>
      </w:hyperlink>
      <w:r w:rsidRPr="00EE7DFF">
        <w:rPr>
          <w:rFonts w:ascii="FrankRuehl" w:hAnsi="FrankRuehl" w:cs="FrankRuehl"/>
          <w:color w:val="0000FF"/>
          <w:rtl/>
        </w:rPr>
        <w:t xml:space="preserve">, </w:t>
      </w:r>
      <w:hyperlink r:id="rId10" w:history="1">
        <w:r w:rsidRPr="00EE7DFF">
          <w:rPr>
            <w:rStyle w:val="Hyperlink"/>
            <w:rFonts w:ascii="FrankRuehl" w:hAnsi="FrankRuehl" w:cs="FrankRuehl"/>
            <w:u w:val="none"/>
          </w:rPr>
          <w:t>40</w:t>
        </w:r>
        <w:r w:rsidRPr="00EE7DFF">
          <w:rPr>
            <w:rStyle w:val="Hyperlink"/>
            <w:rFonts w:ascii="FrankRuehl" w:hAnsi="FrankRuehl" w:cs="FrankRuehl"/>
            <w:u w:val="none"/>
            <w:rtl/>
          </w:rPr>
          <w:t>ג</w:t>
        </w:r>
      </w:hyperlink>
      <w:r w:rsidRPr="00EE7DFF">
        <w:rPr>
          <w:rFonts w:ascii="FrankRuehl" w:hAnsi="FrankRuehl" w:cs="FrankRuehl"/>
          <w:color w:val="0000FF"/>
          <w:rtl/>
        </w:rPr>
        <w:t xml:space="preserve">, </w:t>
      </w:r>
      <w:hyperlink r:id="rId11" w:history="1">
        <w:r w:rsidRPr="00EE7DFF">
          <w:rPr>
            <w:rStyle w:val="Hyperlink"/>
            <w:rFonts w:ascii="FrankRuehl" w:hAnsi="FrankRuehl" w:cs="FrankRuehl"/>
            <w:u w:val="none"/>
          </w:rPr>
          <w:t>40</w:t>
        </w:r>
        <w:r w:rsidRPr="00EE7DFF">
          <w:rPr>
            <w:rStyle w:val="Hyperlink"/>
            <w:rFonts w:ascii="FrankRuehl" w:hAnsi="FrankRuehl" w:cs="FrankRuehl"/>
            <w:u w:val="none"/>
            <w:rtl/>
          </w:rPr>
          <w:t>ט</w:t>
        </w:r>
      </w:hyperlink>
      <w:r w:rsidRPr="00EE7DFF">
        <w:rPr>
          <w:rFonts w:ascii="FrankRuehl" w:hAnsi="FrankRuehl" w:cs="FrankRuehl"/>
          <w:color w:val="0000FF"/>
          <w:rtl/>
        </w:rPr>
        <w:t xml:space="preserve">, </w:t>
      </w:r>
      <w:hyperlink r:id="rId12" w:history="1">
        <w:r w:rsidRPr="00EE7DFF">
          <w:rPr>
            <w:rStyle w:val="Hyperlink"/>
            <w:rFonts w:ascii="FrankRuehl" w:hAnsi="FrankRuehl" w:cs="FrankRuehl"/>
            <w:u w:val="none"/>
          </w:rPr>
          <w:t>144</w:t>
        </w:r>
      </w:hyperlink>
      <w:r w:rsidRPr="00EE7DFF">
        <w:rPr>
          <w:rFonts w:ascii="FrankRuehl" w:hAnsi="FrankRuehl" w:cs="FrankRuehl"/>
          <w:color w:val="0000FF"/>
          <w:rtl/>
        </w:rPr>
        <w:t xml:space="preserve">, </w:t>
      </w:r>
      <w:hyperlink r:id="rId13" w:history="1">
        <w:r w:rsidRPr="00EE7DFF">
          <w:rPr>
            <w:rStyle w:val="Hyperlink"/>
            <w:rFonts w:ascii="FrankRuehl" w:hAnsi="FrankRuehl" w:cs="FrankRuehl"/>
            <w:u w:val="none"/>
          </w:rPr>
          <w:t>144</w:t>
        </w:r>
      </w:hyperlink>
      <w:r w:rsidRPr="00EE7DFF">
        <w:rPr>
          <w:rFonts w:ascii="FrankRuehl" w:hAnsi="FrankRuehl" w:cs="FrankRuehl"/>
          <w:color w:val="0000FF"/>
          <w:rtl/>
        </w:rPr>
        <w:t xml:space="preserve">(ב), </w:t>
      </w:r>
      <w:hyperlink r:id="rId14" w:history="1">
        <w:r w:rsidRPr="00EE7DFF">
          <w:rPr>
            <w:rStyle w:val="Hyperlink"/>
            <w:rFonts w:ascii="FrankRuehl" w:hAnsi="FrankRuehl" w:cs="FrankRuehl"/>
            <w:u w:val="none"/>
          </w:rPr>
          <w:t>275</w:t>
        </w:r>
      </w:hyperlink>
    </w:p>
    <w:p w14:paraId="01E8B4FB" w14:textId="77777777" w:rsidR="00470E4D" w:rsidRPr="00EE7DFF" w:rsidRDefault="00470E4D" w:rsidP="00EE7DFF">
      <w:pPr>
        <w:jc w:val="both"/>
        <w:rPr>
          <w:rFonts w:hint="cs"/>
        </w:rPr>
      </w:pPr>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F00AD" w14:paraId="4418B39A" w14:textId="77777777" w:rsidTr="009F00AD">
        <w:trPr>
          <w:trHeight w:val="355"/>
          <w:jc w:val="center"/>
        </w:trPr>
        <w:tc>
          <w:tcPr>
            <w:tcW w:w="8820" w:type="dxa"/>
            <w:tcBorders>
              <w:top w:val="nil"/>
              <w:left w:val="nil"/>
              <w:bottom w:val="nil"/>
              <w:right w:val="nil"/>
            </w:tcBorders>
            <w:shd w:val="clear" w:color="auto" w:fill="auto"/>
          </w:tcPr>
          <w:p w14:paraId="5773B602" w14:textId="77777777" w:rsidR="0033683F" w:rsidRPr="0033683F" w:rsidRDefault="0033683F" w:rsidP="0033683F">
            <w:pPr>
              <w:jc w:val="center"/>
              <w:rPr>
                <w:rFonts w:ascii="Arial" w:hAnsi="Arial" w:cs="FrankRuehl"/>
                <w:b/>
                <w:bCs/>
                <w:sz w:val="32"/>
                <w:szCs w:val="32"/>
                <w:u w:val="single"/>
                <w:rtl/>
              </w:rPr>
            </w:pPr>
            <w:bookmarkStart w:id="4" w:name="PsakDin" w:colFirst="0" w:colLast="0"/>
            <w:bookmarkEnd w:id="0"/>
            <w:r w:rsidRPr="0033683F">
              <w:rPr>
                <w:rFonts w:ascii="Arial" w:hAnsi="Arial" w:cs="FrankRuehl"/>
                <w:b/>
                <w:bCs/>
                <w:sz w:val="32"/>
                <w:szCs w:val="32"/>
                <w:u w:val="single"/>
                <w:rtl/>
              </w:rPr>
              <w:t>גזר דין</w:t>
            </w:r>
          </w:p>
          <w:p w14:paraId="0D1A46BF" w14:textId="77777777" w:rsidR="009F00AD" w:rsidRPr="0033683F" w:rsidRDefault="009F00AD" w:rsidP="0033683F">
            <w:pPr>
              <w:jc w:val="center"/>
              <w:rPr>
                <w:rFonts w:ascii="Arial" w:hAnsi="Arial" w:cs="FrankRuehl"/>
                <w:bCs/>
                <w:sz w:val="32"/>
                <w:szCs w:val="32"/>
                <w:u w:val="single"/>
                <w:rtl/>
              </w:rPr>
            </w:pPr>
          </w:p>
        </w:tc>
      </w:tr>
      <w:bookmarkEnd w:id="4"/>
    </w:tbl>
    <w:p w14:paraId="02AEE6DA" w14:textId="77777777" w:rsidR="009F00AD" w:rsidRPr="00B05847" w:rsidRDefault="009F00AD" w:rsidP="009F00AD">
      <w:pPr>
        <w:jc w:val="center"/>
        <w:rPr>
          <w:rFonts w:ascii="Arial" w:hAnsi="Arial"/>
          <w:rtl/>
        </w:rPr>
      </w:pPr>
    </w:p>
    <w:p w14:paraId="0ADAECC0" w14:textId="77777777" w:rsidR="009F00AD" w:rsidRDefault="009F00AD" w:rsidP="009F00AD">
      <w:pPr>
        <w:jc w:val="both"/>
        <w:rPr>
          <w:rtl/>
        </w:rPr>
      </w:pPr>
    </w:p>
    <w:p w14:paraId="0BB93408" w14:textId="77777777" w:rsidR="009F00AD" w:rsidRPr="00B05847" w:rsidRDefault="009F00AD" w:rsidP="009F00AD">
      <w:pPr>
        <w:spacing w:line="360" w:lineRule="auto"/>
        <w:jc w:val="both"/>
        <w:rPr>
          <w:rtl/>
        </w:rPr>
      </w:pPr>
      <w:r>
        <w:rPr>
          <w:rFonts w:hint="cs"/>
          <w:rtl/>
        </w:rPr>
        <w:t>1.</w:t>
      </w:r>
      <w:r>
        <w:rPr>
          <w:rtl/>
        </w:rPr>
        <w:tab/>
      </w:r>
      <w:bookmarkStart w:id="5" w:name="ABSTRACT_START"/>
      <w:bookmarkEnd w:id="5"/>
      <w:r>
        <w:rPr>
          <w:rFonts w:hint="cs"/>
          <w:rtl/>
        </w:rPr>
        <w:t xml:space="preserve">הנאשם הורשע על יסוד הודאתו בעובדות כתב האישום שתוקן במסגרת הסדר טיעון בין הצדדים </w:t>
      </w:r>
      <w:r w:rsidRPr="007D1F3A">
        <w:rPr>
          <w:rFonts w:ascii="Miriam" w:hAnsi="Miriam" w:cs="Miriam"/>
          <w:rtl/>
        </w:rPr>
        <w:t>(א/1</w:t>
      </w:r>
      <w:r>
        <w:rPr>
          <w:rFonts w:hint="cs"/>
          <w:rtl/>
        </w:rPr>
        <w:t xml:space="preserve">),  בביצוע עבירה של נשיאה והובלת נשק בצוותא חדא, עבירה לפי </w:t>
      </w:r>
      <w:hyperlink r:id="rId15" w:history="1">
        <w:r w:rsidR="00470E4D" w:rsidRPr="00470E4D">
          <w:rPr>
            <w:rStyle w:val="Hyperlink"/>
            <w:rFonts w:hint="eastAsia"/>
            <w:rtl/>
          </w:rPr>
          <w:t>סעיפים</w:t>
        </w:r>
        <w:r w:rsidR="00470E4D" w:rsidRPr="00470E4D">
          <w:rPr>
            <w:rStyle w:val="Hyperlink"/>
            <w:rtl/>
          </w:rPr>
          <w:t xml:space="preserve"> 144(ב)</w:t>
        </w:r>
      </w:hyperlink>
      <w:r>
        <w:rPr>
          <w:rFonts w:hint="cs"/>
          <w:rtl/>
        </w:rPr>
        <w:t xml:space="preserve"> רישא וסיפא ו- </w:t>
      </w:r>
      <w:hyperlink r:id="rId16" w:history="1">
        <w:r w:rsidR="00470E4D" w:rsidRPr="00470E4D">
          <w:rPr>
            <w:rStyle w:val="Hyperlink"/>
            <w:rtl/>
          </w:rPr>
          <w:t>29</w:t>
        </w:r>
      </w:hyperlink>
      <w:r>
        <w:rPr>
          <w:rFonts w:hint="cs"/>
          <w:rtl/>
        </w:rPr>
        <w:t xml:space="preserve"> ל</w:t>
      </w:r>
      <w:hyperlink r:id="rId17" w:history="1">
        <w:r w:rsidR="0033683F" w:rsidRPr="0033683F">
          <w:rPr>
            <w:color w:val="0000FF"/>
            <w:u w:val="single"/>
            <w:rtl/>
          </w:rPr>
          <w:t>חוק העונשין</w:t>
        </w:r>
      </w:hyperlink>
      <w:r>
        <w:rPr>
          <w:rFonts w:hint="cs"/>
          <w:rtl/>
        </w:rPr>
        <w:t xml:space="preserve">, התשל"ז- 1977. </w:t>
      </w:r>
      <w:r w:rsidRPr="005D1258">
        <w:rPr>
          <w:rtl/>
        </w:rPr>
        <w:t xml:space="preserve">כאן אציין </w:t>
      </w:r>
      <w:r>
        <w:rPr>
          <w:rFonts w:hint="cs"/>
          <w:rtl/>
        </w:rPr>
        <w:t>כי</w:t>
      </w:r>
      <w:r w:rsidRPr="005D1258">
        <w:rPr>
          <w:rtl/>
        </w:rPr>
        <w:t xml:space="preserve"> לא גובשה הסכמה בתיק זה לעניין העונש</w:t>
      </w:r>
      <w:r>
        <w:rPr>
          <w:rFonts w:hint="cs"/>
          <w:rtl/>
        </w:rPr>
        <w:t xml:space="preserve">, למעט לכך שהמאשימה תעתור, בין היתר, למאסר מותנה שיכלול גם עבירה של הפרעה לשוטר, לפי </w:t>
      </w:r>
      <w:hyperlink r:id="rId18" w:history="1">
        <w:r w:rsidR="00470E4D" w:rsidRPr="00470E4D">
          <w:rPr>
            <w:rStyle w:val="Hyperlink"/>
            <w:rFonts w:hint="eastAsia"/>
            <w:rtl/>
          </w:rPr>
          <w:t>סעיף</w:t>
        </w:r>
        <w:r w:rsidR="00470E4D" w:rsidRPr="00470E4D">
          <w:rPr>
            <w:rStyle w:val="Hyperlink"/>
            <w:rtl/>
          </w:rPr>
          <w:t xml:space="preserve"> 275</w:t>
        </w:r>
      </w:hyperlink>
      <w:r>
        <w:rPr>
          <w:rFonts w:hint="cs"/>
          <w:rtl/>
        </w:rPr>
        <w:t xml:space="preserve"> ל</w:t>
      </w:r>
      <w:hyperlink r:id="rId19" w:history="1">
        <w:r w:rsidR="0033683F" w:rsidRPr="0033683F">
          <w:rPr>
            <w:color w:val="0000FF"/>
            <w:u w:val="single"/>
            <w:rtl/>
          </w:rPr>
          <w:t>חוק העונשין</w:t>
        </w:r>
      </w:hyperlink>
      <w:r>
        <w:rPr>
          <w:rFonts w:hint="cs"/>
          <w:rtl/>
        </w:rPr>
        <w:t xml:space="preserve"> וההגנה תסכים לכך שהמאסר המותנה יכלול את העבירה הנ"ל.</w:t>
      </w:r>
    </w:p>
    <w:p w14:paraId="5B0DDCCE" w14:textId="77777777" w:rsidR="009F00AD" w:rsidRDefault="009F00AD" w:rsidP="009F00AD">
      <w:pPr>
        <w:jc w:val="both"/>
        <w:rPr>
          <w:rtl/>
        </w:rPr>
      </w:pPr>
      <w:bookmarkStart w:id="6" w:name="ABSTRACT_END"/>
      <w:bookmarkEnd w:id="6"/>
    </w:p>
    <w:p w14:paraId="3DDCA77A" w14:textId="77777777" w:rsidR="009F00AD" w:rsidRDefault="009F00AD" w:rsidP="009F00AD">
      <w:pPr>
        <w:jc w:val="both"/>
        <w:rPr>
          <w:rFonts w:ascii="Miriam" w:hAnsi="Miriam" w:cs="Miriam"/>
          <w:b/>
          <w:bCs/>
          <w:rtl/>
        </w:rPr>
      </w:pPr>
      <w:r w:rsidRPr="00472C16">
        <w:rPr>
          <w:rFonts w:ascii="Miriam" w:hAnsi="Miriam" w:cs="Miriam"/>
          <w:b/>
          <w:bCs/>
          <w:rtl/>
        </w:rPr>
        <w:t>כתב האישום</w:t>
      </w:r>
      <w:r w:rsidRPr="00472C16">
        <w:rPr>
          <w:rFonts w:ascii="Miriam" w:hAnsi="Miriam" w:cs="Miriam" w:hint="cs"/>
          <w:b/>
          <w:bCs/>
          <w:rtl/>
        </w:rPr>
        <w:t xml:space="preserve"> המתוקן</w:t>
      </w:r>
    </w:p>
    <w:p w14:paraId="5511C1B2" w14:textId="77777777" w:rsidR="009F00AD" w:rsidRPr="00472C16" w:rsidRDefault="009F00AD" w:rsidP="009F00AD">
      <w:pPr>
        <w:jc w:val="both"/>
        <w:rPr>
          <w:rFonts w:ascii="Miriam" w:hAnsi="Miriam" w:cs="Miriam"/>
          <w:b/>
          <w:bCs/>
          <w:rtl/>
        </w:rPr>
      </w:pPr>
    </w:p>
    <w:p w14:paraId="2540A35B" w14:textId="77777777" w:rsidR="009F00AD" w:rsidRPr="00B05847" w:rsidRDefault="009F00AD" w:rsidP="009F00AD">
      <w:pPr>
        <w:jc w:val="both"/>
        <w:rPr>
          <w:rtl/>
        </w:rPr>
      </w:pPr>
    </w:p>
    <w:p w14:paraId="3BC79DCB" w14:textId="77777777" w:rsidR="009F00AD" w:rsidRDefault="009F00AD" w:rsidP="009F00AD">
      <w:pPr>
        <w:spacing w:line="360" w:lineRule="auto"/>
        <w:jc w:val="both"/>
        <w:rPr>
          <w:rtl/>
        </w:rPr>
      </w:pPr>
      <w:r>
        <w:rPr>
          <w:rFonts w:hint="cs"/>
          <w:rtl/>
        </w:rPr>
        <w:t>2.</w:t>
      </w:r>
      <w:r>
        <w:rPr>
          <w:rFonts w:hint="cs"/>
          <w:rtl/>
        </w:rPr>
        <w:tab/>
        <w:t xml:space="preserve">בין הנאשם לבין הקטין ס.מ יליד 26/06/2001 המתגורר בבאקה אל- ע'רביה (להלן: </w:t>
      </w:r>
      <w:r w:rsidRPr="00E96B02">
        <w:rPr>
          <w:rFonts w:ascii="Miriam" w:hAnsi="Miriam" w:cs="Miriam"/>
          <w:rtl/>
        </w:rPr>
        <w:t>הקטין</w:t>
      </w:r>
      <w:r>
        <w:rPr>
          <w:rFonts w:hint="cs"/>
          <w:rtl/>
        </w:rPr>
        <w:t>) ישנה הכרות שטחית. בערב יום 5/4/19 התקיימה בשכונת הבדואים בבאקה אל-ע'רביה שמחה משפחתית של בן דודו של הנאשם (להלן:</w:t>
      </w:r>
      <w:r>
        <w:rPr>
          <w:rFonts w:ascii="Miriam" w:hAnsi="Miriam" w:cs="Miriam"/>
          <w:rtl/>
        </w:rPr>
        <w:t xml:space="preserve"> הא</w:t>
      </w:r>
      <w:r>
        <w:rPr>
          <w:rFonts w:ascii="Miriam" w:hAnsi="Miriam" w:cs="Miriam" w:hint="cs"/>
          <w:rtl/>
        </w:rPr>
        <w:t>י</w:t>
      </w:r>
      <w:r w:rsidRPr="007D1F3A">
        <w:rPr>
          <w:rFonts w:ascii="Miriam" w:hAnsi="Miriam" w:cs="Miriam"/>
          <w:rtl/>
        </w:rPr>
        <w:t>רוע</w:t>
      </w:r>
      <w:r>
        <w:rPr>
          <w:rFonts w:hint="cs"/>
          <w:rtl/>
        </w:rPr>
        <w:t xml:space="preserve">), בה נכחו הנאשם והקטין. במועד שאינו ידוע למאשימה,  הוסלק על עץ במטע זיתים סמוך למקום האירוע (להלן: </w:t>
      </w:r>
      <w:r w:rsidRPr="007D1F3A">
        <w:rPr>
          <w:rFonts w:ascii="Miriam" w:hAnsi="Miriam" w:cs="Miriam"/>
          <w:rtl/>
        </w:rPr>
        <w:t>המטע</w:t>
      </w:r>
      <w:r>
        <w:rPr>
          <w:rFonts w:hint="cs"/>
          <w:rtl/>
        </w:rPr>
        <w:t xml:space="preserve">) תת מקלע מאולתר </w:t>
      </w:r>
      <w:r>
        <w:rPr>
          <w:rFonts w:hint="cs"/>
          <w:rtl/>
        </w:rPr>
        <w:lastRenderedPageBreak/>
        <w:t xml:space="preserve">שסוגל לירות כדור ובכוחו להרוג אדם וכן מחסנית מתאימה (להלן: </w:t>
      </w:r>
      <w:r w:rsidRPr="00B65422">
        <w:rPr>
          <w:rFonts w:ascii="Miriam" w:hAnsi="Miriam" w:cs="Miriam"/>
          <w:rtl/>
        </w:rPr>
        <w:t>הנשק).</w:t>
      </w:r>
      <w:r>
        <w:rPr>
          <w:rFonts w:hint="cs"/>
          <w:rtl/>
        </w:rPr>
        <w:t xml:space="preserve"> בזמן האירוע  בסמוך למקום האירוע התקיימה פעילות משטרתית יזומה כנגד ביצוע עבירות בנשק. </w:t>
      </w:r>
    </w:p>
    <w:p w14:paraId="73FD5660" w14:textId="77777777" w:rsidR="009F00AD" w:rsidRDefault="009F00AD" w:rsidP="009F00AD">
      <w:pPr>
        <w:spacing w:line="360" w:lineRule="auto"/>
        <w:jc w:val="both"/>
        <w:rPr>
          <w:rtl/>
        </w:rPr>
      </w:pPr>
    </w:p>
    <w:p w14:paraId="58E794B7" w14:textId="77777777" w:rsidR="009F00AD" w:rsidRDefault="009F00AD" w:rsidP="009F00AD">
      <w:pPr>
        <w:spacing w:line="360" w:lineRule="auto"/>
        <w:ind w:firstLine="720"/>
        <w:jc w:val="both"/>
        <w:rPr>
          <w:rtl/>
        </w:rPr>
      </w:pPr>
      <w:r>
        <w:rPr>
          <w:rFonts w:hint="cs"/>
          <w:rtl/>
        </w:rPr>
        <w:t>מעט לאחר השעה 23:00 עזבו הנאשם והקטין את האירוע וצעדו למטע על מנת לשאת ולהוביל מהמקום את הנשק אל האירוע. הנאשם והקטין הגיעו אל המטע, הנאשם הוציא את הנשק מהמקום בו הוסלק והכניסו לתיק, ואז החלו הנאשם והקטין  להתרחק מהמקום, בצוותא חדא, כאשר הנאשם נושא ומוביל בידו את התיק ובתוכו הנשק.</w:t>
      </w:r>
    </w:p>
    <w:p w14:paraId="4741036D" w14:textId="77777777" w:rsidR="009F00AD" w:rsidRDefault="009F00AD" w:rsidP="009F00AD">
      <w:pPr>
        <w:spacing w:line="360" w:lineRule="auto"/>
        <w:ind w:firstLine="720"/>
        <w:jc w:val="both"/>
        <w:rPr>
          <w:rtl/>
        </w:rPr>
      </w:pPr>
    </w:p>
    <w:p w14:paraId="242D495C" w14:textId="77777777" w:rsidR="009F00AD" w:rsidRDefault="009F00AD" w:rsidP="009F00AD">
      <w:pPr>
        <w:spacing w:line="360" w:lineRule="auto"/>
        <w:ind w:firstLine="720"/>
        <w:jc w:val="both"/>
        <w:rPr>
          <w:rtl/>
        </w:rPr>
      </w:pPr>
      <w:r>
        <w:rPr>
          <w:rFonts w:hint="cs"/>
          <w:rtl/>
        </w:rPr>
        <w:t>בשלב זה פעלו השוטרים שהיו במקום במטרה לעצור את הנאשם ואת הקטין. השוטרים אלון דוידי והשוטר אבי אשואן התקרבו אל הנאשם ואל הקטין וקראו לשניים "עצרו משטרה לא לזוז" וכן "משטרה, עצרו במקום". השוטר אלון דוידי הבחין בחפץ שסבר כי הוא אקדח בידו השמאלית של הנאשם, צעק לעברו "משטרה זרוק את הנשק מיד או שאני יורה"  והוציא את אקדח השירות שלו. לאחר שהנאשם לא נשמע להוראות השוטרים, ביצע השוטר אלון דוידי, נוכח הסכנה שחש, ירי אזהרה באוויר. גם השוטר אבי אשואן שלף ודרך בשלב זה את אקדח השירות שלו.</w:t>
      </w:r>
    </w:p>
    <w:p w14:paraId="78642350" w14:textId="77777777" w:rsidR="009F00AD" w:rsidRDefault="009F00AD" w:rsidP="009F00AD">
      <w:pPr>
        <w:spacing w:line="360" w:lineRule="auto"/>
        <w:ind w:firstLine="720"/>
        <w:jc w:val="both"/>
        <w:rPr>
          <w:rtl/>
        </w:rPr>
      </w:pPr>
    </w:p>
    <w:p w14:paraId="34ABAC8C" w14:textId="77777777" w:rsidR="009F00AD" w:rsidRDefault="009F00AD" w:rsidP="009F00AD">
      <w:pPr>
        <w:spacing w:line="360" w:lineRule="auto"/>
        <w:ind w:firstLine="720"/>
        <w:jc w:val="both"/>
        <w:rPr>
          <w:rtl/>
        </w:rPr>
      </w:pPr>
      <w:r>
        <w:rPr>
          <w:rFonts w:hint="cs"/>
          <w:rtl/>
        </w:rPr>
        <w:t>הנאשם והקטין החלו להימלט מהמקום, כאשר הנאשם ממשיך לשאת ולהוביל, בצוותא חדא עם הקטין, את הנשק בתוך התיק, ותוך שהשוטר אלון דוידי חוזר וקורא לעברם "עצור משטרה או שאני יורה". בשלב זה, הסתובב הנאשם לעבר השוטר אלון דוידי כשהוא מחזיק את החפץ בידו. אז ביצע השוטר אלון דוידי ירי אזהרה נוסף באוויר ורץ לעברו של הנאשם תוך שהוא קורא לעברו "עצור משטרה".</w:t>
      </w:r>
    </w:p>
    <w:p w14:paraId="390753B2" w14:textId="77777777" w:rsidR="009F00AD" w:rsidRDefault="009F00AD" w:rsidP="009F00AD">
      <w:pPr>
        <w:spacing w:line="360" w:lineRule="auto"/>
        <w:ind w:firstLine="720"/>
        <w:jc w:val="both"/>
        <w:rPr>
          <w:rtl/>
        </w:rPr>
      </w:pPr>
    </w:p>
    <w:p w14:paraId="6922AF86" w14:textId="77777777" w:rsidR="009F00AD" w:rsidRDefault="009F00AD" w:rsidP="009F00AD">
      <w:pPr>
        <w:spacing w:line="360" w:lineRule="auto"/>
        <w:ind w:firstLine="720"/>
        <w:jc w:val="both"/>
        <w:rPr>
          <w:rtl/>
        </w:rPr>
      </w:pPr>
      <w:r>
        <w:rPr>
          <w:rFonts w:hint="cs"/>
          <w:rtl/>
        </w:rPr>
        <w:t>הנאשם והקטין המשיכו בבריחתם, עברו מעל גדר שהייתה במקום ונמלטו מהשוטרים. במהלך מנוסתו הנאשם זרק את התיק עם הנשק בפח סמוך, שם אותר על ידי שוטרי משטרת ישראל.</w:t>
      </w:r>
    </w:p>
    <w:p w14:paraId="72B49C0A" w14:textId="77777777" w:rsidR="009F00AD" w:rsidRDefault="009F00AD" w:rsidP="009F00AD">
      <w:pPr>
        <w:spacing w:line="360" w:lineRule="auto"/>
        <w:ind w:firstLine="720"/>
        <w:jc w:val="both"/>
        <w:rPr>
          <w:rtl/>
        </w:rPr>
      </w:pPr>
    </w:p>
    <w:p w14:paraId="15D32F36" w14:textId="77777777" w:rsidR="009F00AD" w:rsidRDefault="009F00AD" w:rsidP="009F00AD">
      <w:pPr>
        <w:spacing w:line="360" w:lineRule="auto"/>
        <w:ind w:firstLine="720"/>
        <w:jc w:val="both"/>
        <w:rPr>
          <w:rtl/>
        </w:rPr>
      </w:pPr>
      <w:r>
        <w:rPr>
          <w:rFonts w:hint="cs"/>
          <w:rtl/>
        </w:rPr>
        <w:t xml:space="preserve">במעשיהם הנ"ל נשאו והובילו, בלא רשות על פי דין,  הנאשם והקטין, בצוותא חדא, תת מקלע מאולתר ומחסנית תואמת המהווה אביזר לנשק.                        </w:t>
      </w:r>
    </w:p>
    <w:p w14:paraId="61C6DC98" w14:textId="77777777" w:rsidR="009F00AD" w:rsidRPr="00472C16" w:rsidRDefault="009F00AD" w:rsidP="009F00AD">
      <w:pPr>
        <w:spacing w:line="360" w:lineRule="auto"/>
        <w:jc w:val="both"/>
        <w:rPr>
          <w:rFonts w:ascii="Miriam" w:hAnsi="Miriam" w:cs="Miriam"/>
          <w:b/>
          <w:bCs/>
          <w:rtl/>
        </w:rPr>
      </w:pPr>
    </w:p>
    <w:p w14:paraId="250992FB" w14:textId="77777777" w:rsidR="009F00AD" w:rsidRDefault="009F00AD" w:rsidP="009F00AD">
      <w:pPr>
        <w:spacing w:line="360" w:lineRule="auto"/>
        <w:jc w:val="both"/>
        <w:rPr>
          <w:rFonts w:ascii="Miriam" w:hAnsi="Miriam" w:cs="Miriam"/>
          <w:b/>
          <w:bCs/>
          <w:rtl/>
        </w:rPr>
      </w:pPr>
      <w:r w:rsidRPr="00472C16">
        <w:rPr>
          <w:rFonts w:ascii="Miriam" w:hAnsi="Miriam" w:cs="Miriam"/>
          <w:b/>
          <w:bCs/>
          <w:rtl/>
        </w:rPr>
        <w:t>תסקיר</w:t>
      </w:r>
      <w:r w:rsidRPr="00472C16">
        <w:rPr>
          <w:rFonts w:ascii="Miriam" w:hAnsi="Miriam" w:cs="Miriam" w:hint="cs"/>
          <w:b/>
          <w:bCs/>
          <w:rtl/>
        </w:rPr>
        <w:t>י</w:t>
      </w:r>
      <w:r w:rsidRPr="00472C16">
        <w:rPr>
          <w:rFonts w:ascii="Miriam" w:hAnsi="Miriam" w:cs="Miriam"/>
          <w:b/>
          <w:bCs/>
          <w:rtl/>
        </w:rPr>
        <w:t xml:space="preserve"> שירות המבחן</w:t>
      </w:r>
    </w:p>
    <w:p w14:paraId="7B585FE7" w14:textId="77777777" w:rsidR="009F00AD" w:rsidRPr="00472C16" w:rsidRDefault="009F00AD" w:rsidP="009F00AD">
      <w:pPr>
        <w:spacing w:line="360" w:lineRule="auto"/>
        <w:jc w:val="both"/>
        <w:rPr>
          <w:rFonts w:ascii="Miriam" w:hAnsi="Miriam" w:cs="Miriam"/>
          <w:b/>
          <w:bCs/>
          <w:rtl/>
        </w:rPr>
      </w:pPr>
    </w:p>
    <w:p w14:paraId="08640E04" w14:textId="77777777" w:rsidR="009F00AD" w:rsidRDefault="009F00AD" w:rsidP="009F00AD">
      <w:pPr>
        <w:spacing w:line="360" w:lineRule="auto"/>
        <w:jc w:val="both"/>
        <w:rPr>
          <w:rFonts w:ascii="David" w:hAnsi="David"/>
          <w:rtl/>
        </w:rPr>
      </w:pPr>
      <w:r>
        <w:rPr>
          <w:rFonts w:ascii="David" w:hAnsi="David" w:hint="cs"/>
          <w:rtl/>
        </w:rPr>
        <w:t>3.</w:t>
      </w:r>
      <w:r>
        <w:rPr>
          <w:rFonts w:ascii="David" w:hAnsi="David" w:hint="cs"/>
          <w:rtl/>
        </w:rPr>
        <w:tab/>
        <w:t xml:space="preserve">תסקירו הראשון של שירות המבחן שהוגש על אודות הנאשם מלמד על בחור צעיר, בן 19.5, השוהה כיום במעצר באיזוק אלקטרוני, בתנאי מעצר בית מלא בבית הוריו. טרם מעצרו התגורר הנאשם עם אחיו בדירה שכורה בפתח תקווה ועבד עמו בהובלות בשופרסל. עברו הפלילי של הנאשם נקי. </w:t>
      </w:r>
    </w:p>
    <w:p w14:paraId="017A74EA" w14:textId="77777777" w:rsidR="009F00AD" w:rsidRDefault="009F00AD" w:rsidP="009F00AD">
      <w:pPr>
        <w:spacing w:line="360" w:lineRule="auto"/>
        <w:jc w:val="both"/>
        <w:rPr>
          <w:rFonts w:ascii="David" w:hAnsi="David"/>
          <w:rtl/>
        </w:rPr>
      </w:pPr>
    </w:p>
    <w:p w14:paraId="51E3F718" w14:textId="77777777" w:rsidR="009F00AD" w:rsidRDefault="009F00AD" w:rsidP="009F00AD">
      <w:pPr>
        <w:spacing w:line="360" w:lineRule="auto"/>
        <w:jc w:val="both"/>
        <w:rPr>
          <w:rFonts w:ascii="David" w:hAnsi="David"/>
          <w:rtl/>
        </w:rPr>
      </w:pPr>
      <w:r>
        <w:rPr>
          <w:rFonts w:ascii="David" w:hAnsi="David" w:hint="cs"/>
          <w:rtl/>
        </w:rPr>
        <w:lastRenderedPageBreak/>
        <w:t>4.</w:t>
      </w:r>
      <w:r>
        <w:rPr>
          <w:rFonts w:ascii="David" w:hAnsi="David" w:hint="cs"/>
          <w:rtl/>
        </w:rPr>
        <w:tab/>
        <w:t>שירות המבחן התרשם כי הנאשם גדל במשפחה תומכת ומכילה בה זכה ליחס חם. עוד התרשם שירות המבחן כי לנאשם קווי אישיות תלותיים והוא מגלה נזקקות לליווי ולתמיכה משפחתית, וכן הוא נעדר בשלות רגשית ובעל דפוסי חשיבה ילדותיים. בנוסף, סבור שירות המבחן כי הנאשם אינו בעל דפוסים עבריינים מושרשים וכי ההליך הפלילי המתנהל נגדו מהווה עבורו הרתעה וגבול ברור למניעת הישנות התנהגות דומה. שרות המבחן העריך בתסקירו הנ"ל קיום סיכון נמוך בעתיד להתנהגות אלימה של הנאשם ברמת חומרה נמוכה.</w:t>
      </w:r>
    </w:p>
    <w:p w14:paraId="318B3581" w14:textId="77777777" w:rsidR="009F00AD" w:rsidRDefault="009F00AD" w:rsidP="009F00AD">
      <w:pPr>
        <w:spacing w:line="360" w:lineRule="auto"/>
        <w:jc w:val="both"/>
        <w:rPr>
          <w:rFonts w:ascii="David" w:hAnsi="David"/>
          <w:rtl/>
        </w:rPr>
      </w:pPr>
      <w:r>
        <w:rPr>
          <w:rFonts w:ascii="David" w:hAnsi="David"/>
          <w:rtl/>
        </w:rPr>
        <w:tab/>
      </w:r>
    </w:p>
    <w:p w14:paraId="44905660" w14:textId="77777777" w:rsidR="009F00AD" w:rsidRDefault="009F00AD" w:rsidP="009F00AD">
      <w:pPr>
        <w:spacing w:line="360" w:lineRule="auto"/>
        <w:jc w:val="both"/>
        <w:rPr>
          <w:rFonts w:ascii="David" w:hAnsi="David"/>
          <w:rtl/>
        </w:rPr>
      </w:pPr>
      <w:r>
        <w:rPr>
          <w:rFonts w:ascii="David" w:hAnsi="David" w:hint="cs"/>
          <w:rtl/>
        </w:rPr>
        <w:t>5.</w:t>
      </w:r>
      <w:r>
        <w:rPr>
          <w:rFonts w:ascii="David" w:hAnsi="David" w:hint="cs"/>
          <w:rtl/>
        </w:rPr>
        <w:tab/>
        <w:t>עוד עולה מהתסקיר הנ"ל, כי הנאשם לקח בפני שירות המבחן אחריות לביצוע העבירה. הנאשם תיאר בפני שירות המבחן את תחושת הריגוש  שחש עת שאחז בנשק ואת תחושת הבהלה שחש כשברח מהמשטרה. הנאשם הסביר לשירות המבחן, כי לא הבין את השלכות מעשיו וכיום הוא מבין היטב את חומרתם. שירות המבחן התרשם, כי  הנאשם חש צורך לפרוק מעמסות ומחויבויות וחיפש צורך בפורקן סביב התעניינות בנשק, דבר שלתפיסתו מסמל גבריות וחוזק, וזאת מבלי ששקל לעומק את השלכות מעשיו. עוד התרשם שירות המבחן כי הנאשם נטה לצמצם את המידע שמסר לשירות המבחן, להסתיר ולהפחית מחומרת מעשיו.</w:t>
      </w:r>
    </w:p>
    <w:p w14:paraId="704E89C6" w14:textId="77777777" w:rsidR="009F00AD" w:rsidRDefault="009F00AD" w:rsidP="009F00AD">
      <w:pPr>
        <w:spacing w:line="360" w:lineRule="auto"/>
        <w:jc w:val="both"/>
        <w:rPr>
          <w:rFonts w:ascii="David" w:hAnsi="David"/>
          <w:rtl/>
        </w:rPr>
      </w:pPr>
    </w:p>
    <w:p w14:paraId="10085629" w14:textId="77777777" w:rsidR="009F00AD" w:rsidRDefault="009F00AD" w:rsidP="009F00AD">
      <w:pPr>
        <w:spacing w:line="360" w:lineRule="auto"/>
        <w:jc w:val="both"/>
        <w:rPr>
          <w:rFonts w:ascii="David" w:hAnsi="David"/>
          <w:rtl/>
        </w:rPr>
      </w:pPr>
      <w:r>
        <w:rPr>
          <w:rFonts w:ascii="David" w:hAnsi="David" w:hint="cs"/>
          <w:rtl/>
        </w:rPr>
        <w:t>6.</w:t>
      </w:r>
      <w:r>
        <w:rPr>
          <w:rFonts w:ascii="David" w:hAnsi="David" w:hint="cs"/>
          <w:rtl/>
        </w:rPr>
        <w:tab/>
        <w:t>נוכח התרשמות שירות המבחן כי צריך לסייע בהליך טיפולי לנאשם להבין לעומק את החומרה שבביצוע העבירה ובכך להפחית הסיכון להישנות התנהגות דומה, הובהר בתסקיר כי לצורך בחינת הירתמותו והשתלבותו של הנאשם בטיפול, יש צורך בדחיית הדיון.</w:t>
      </w:r>
    </w:p>
    <w:p w14:paraId="2ADE25A8" w14:textId="77777777" w:rsidR="009F00AD" w:rsidRDefault="009F00AD" w:rsidP="009F00AD">
      <w:pPr>
        <w:spacing w:line="360" w:lineRule="auto"/>
        <w:jc w:val="both"/>
        <w:rPr>
          <w:rFonts w:ascii="David" w:hAnsi="David"/>
          <w:rtl/>
        </w:rPr>
      </w:pPr>
    </w:p>
    <w:p w14:paraId="275771CE" w14:textId="77777777" w:rsidR="009F00AD" w:rsidRDefault="009F00AD" w:rsidP="009F00AD">
      <w:pPr>
        <w:spacing w:line="360" w:lineRule="auto"/>
        <w:jc w:val="both"/>
        <w:rPr>
          <w:rFonts w:ascii="David" w:hAnsi="David"/>
          <w:rtl/>
        </w:rPr>
      </w:pPr>
      <w:r>
        <w:rPr>
          <w:rFonts w:ascii="David" w:hAnsi="David" w:hint="cs"/>
          <w:rtl/>
        </w:rPr>
        <w:t>7.</w:t>
      </w:r>
      <w:r>
        <w:rPr>
          <w:rFonts w:ascii="David" w:hAnsi="David" w:hint="cs"/>
          <w:rtl/>
        </w:rPr>
        <w:tab/>
        <w:t>מהתסקיר המשלים שהוגש ביום 10/5/20 עולה, כי במהלך תקופת הדחייה הביע הנאשם, במפגש עם שרות המבחן, נכונות להשתלב בקבוצה טיפולית המיועדת למי שביצע עבירה ראשונה וכוללת 8 מפגשים. הנאשם לא הגיע במועד תחילת פעילות הקבוצה אף שידע על אותו מועד. הנאשם לא יצר קשר עם שירות המבחן לעניין אי הגעתו למפגש. לפניית שרות המבחן אליו טלפונית, השיב הנאשם כי אביו חלה ולא היה מי שילווה אותו למפגש. הנאשם זומן לפגישה נוספת והודע לו על מועדה, אך גם אליה לא הגיע. לפניית שרות המבחן אליו, השיב שוב תשובה תמוהה, לפיה סבר כי שרות המבחן יתזכר אותו לגבי מועד הפגישה. היות והנאשם לא נכח בשניים מתוך שמונת המפגשים של הקבוצה, נמסר לו כי לא יוכל להצטרף לקבוצה. מאז נותק הקשר של שירות המבחן עם הנאשם.</w:t>
      </w:r>
    </w:p>
    <w:p w14:paraId="60B5A228" w14:textId="77777777" w:rsidR="009F00AD" w:rsidRDefault="009F00AD" w:rsidP="009F00AD">
      <w:pPr>
        <w:spacing w:line="360" w:lineRule="auto"/>
        <w:jc w:val="both"/>
        <w:rPr>
          <w:rFonts w:ascii="David" w:hAnsi="David"/>
          <w:rtl/>
        </w:rPr>
      </w:pPr>
    </w:p>
    <w:p w14:paraId="331ACCD2" w14:textId="77777777" w:rsidR="009F00AD" w:rsidRDefault="009F00AD" w:rsidP="009F00AD">
      <w:pPr>
        <w:spacing w:line="360" w:lineRule="auto"/>
        <w:jc w:val="both"/>
        <w:rPr>
          <w:rFonts w:ascii="David" w:hAnsi="David"/>
          <w:rtl/>
        </w:rPr>
      </w:pPr>
      <w:r>
        <w:rPr>
          <w:rFonts w:ascii="David" w:hAnsi="David" w:hint="cs"/>
          <w:rtl/>
        </w:rPr>
        <w:t>8.</w:t>
      </w:r>
      <w:r>
        <w:rPr>
          <w:rFonts w:ascii="David" w:hAnsi="David" w:hint="cs"/>
          <w:rtl/>
        </w:rPr>
        <w:tab/>
        <w:t>בבואו לגבש המלצתו בעניינו של הנאשם, שקל שירות המבחן, במסגרת גורמי הסיכון, את חומרת נסיבות ביצוע העבירה, את רצונו של הנאשם לגבש לעצמו מעמד אותו חווה כגברי באמצעות השימוש בנשק וכן את הניסיון הטיפולי שכשל. מכך באה התרשמות שירות המבחן כי הנאשם נעדר מוטיבציה לטיפול. במסגרת מרכיבי הסיכוי נשקל עברו הנקי של הנאשם והעובדה שמדובר בעבירה ראשונה. בסיכומו של דבר, סבור שירות המבחן, כי הנאשם אינו פנוי לטיפול ולפיכך נמנע מלבוא בהמלצה טיפולית בעניינו.</w:t>
      </w:r>
    </w:p>
    <w:p w14:paraId="26306A89" w14:textId="77777777" w:rsidR="009F00AD" w:rsidRDefault="009F00AD" w:rsidP="009F00AD">
      <w:pPr>
        <w:spacing w:line="360" w:lineRule="auto"/>
        <w:jc w:val="both"/>
        <w:rPr>
          <w:rFonts w:ascii="David" w:hAnsi="David"/>
          <w:rtl/>
        </w:rPr>
      </w:pPr>
    </w:p>
    <w:p w14:paraId="2A73BFDF" w14:textId="77777777" w:rsidR="009F00AD" w:rsidRPr="00472C16" w:rsidRDefault="009F00AD" w:rsidP="009F00AD">
      <w:pPr>
        <w:spacing w:line="360" w:lineRule="auto"/>
        <w:jc w:val="both"/>
        <w:rPr>
          <w:rFonts w:ascii="Miriam" w:hAnsi="Miriam" w:cs="Miriam"/>
          <w:b/>
          <w:bCs/>
          <w:rtl/>
        </w:rPr>
      </w:pPr>
      <w:r w:rsidRPr="00472C16">
        <w:rPr>
          <w:rFonts w:ascii="Miriam" w:hAnsi="Miriam" w:cs="Miriam"/>
          <w:b/>
          <w:bCs/>
          <w:rtl/>
        </w:rPr>
        <w:t>טיעוני הצדדים לעונש</w:t>
      </w:r>
    </w:p>
    <w:p w14:paraId="35948708" w14:textId="77777777" w:rsidR="009F00AD" w:rsidRDefault="009F00AD" w:rsidP="009F00AD">
      <w:pPr>
        <w:spacing w:line="360" w:lineRule="auto"/>
        <w:jc w:val="both"/>
        <w:rPr>
          <w:rFonts w:ascii="David" w:hAnsi="David"/>
          <w:rtl/>
        </w:rPr>
      </w:pPr>
    </w:p>
    <w:p w14:paraId="1E0D2084" w14:textId="77777777" w:rsidR="009F00AD" w:rsidRDefault="009F00AD" w:rsidP="009F00AD">
      <w:pPr>
        <w:spacing w:line="360" w:lineRule="auto"/>
        <w:jc w:val="both"/>
        <w:rPr>
          <w:rFonts w:ascii="David" w:hAnsi="David"/>
          <w:rtl/>
        </w:rPr>
      </w:pPr>
      <w:r>
        <w:rPr>
          <w:rFonts w:ascii="David" w:hAnsi="David" w:hint="cs"/>
          <w:rtl/>
        </w:rPr>
        <w:t>9.</w:t>
      </w:r>
      <w:r>
        <w:rPr>
          <w:rFonts w:ascii="David" w:hAnsi="David" w:hint="cs"/>
          <w:rtl/>
        </w:rPr>
        <w:tab/>
        <w:t xml:space="preserve">בפתח טיעוניה לעונש ציינה ב"כ המאשימה את עובדות כתב האישום המתוקן בהן הודה הנאשם, וזאת על מנת ללמד על חומרת מעשיו. </w:t>
      </w:r>
      <w:r w:rsidRPr="00B93A98">
        <w:rPr>
          <w:rFonts w:ascii="David" w:hAnsi="David"/>
          <w:rtl/>
        </w:rPr>
        <w:t>לטענת המאשימה, הערך החברתי המוגן שנפגע במקרה דנן הוא שלום הציבור ו</w:t>
      </w:r>
      <w:r>
        <w:rPr>
          <w:rFonts w:ascii="David" w:hAnsi="David" w:hint="cs"/>
          <w:rtl/>
        </w:rPr>
        <w:t>ביטחונו</w:t>
      </w:r>
      <w:r w:rsidRPr="00B93A98">
        <w:rPr>
          <w:rFonts w:ascii="David" w:hAnsi="David"/>
          <w:rtl/>
        </w:rPr>
        <w:t>. ב</w:t>
      </w:r>
      <w:r>
        <w:rPr>
          <w:rFonts w:ascii="David" w:hAnsi="David" w:hint="cs"/>
          <w:rtl/>
        </w:rPr>
        <w:t xml:space="preserve">"כ </w:t>
      </w:r>
      <w:r w:rsidRPr="00B93A98">
        <w:rPr>
          <w:rFonts w:ascii="David" w:hAnsi="David"/>
          <w:rtl/>
        </w:rPr>
        <w:t xml:space="preserve">המאשימה </w:t>
      </w:r>
      <w:r>
        <w:rPr>
          <w:rFonts w:ascii="David" w:hAnsi="David" w:hint="cs"/>
          <w:rtl/>
        </w:rPr>
        <w:t>ציינה</w:t>
      </w:r>
      <w:r w:rsidRPr="00B93A98">
        <w:rPr>
          <w:rFonts w:ascii="David" w:hAnsi="David"/>
          <w:rtl/>
        </w:rPr>
        <w:t xml:space="preserve"> לחומרה את</w:t>
      </w:r>
      <w:r>
        <w:rPr>
          <w:rFonts w:ascii="David" w:hAnsi="David" w:hint="cs"/>
          <w:rtl/>
        </w:rPr>
        <w:t xml:space="preserve"> התכנון שקדם למעשיו של הנאשם, תוך שהדגישה כי </w:t>
      </w:r>
      <w:r>
        <w:rPr>
          <w:rFonts w:ascii="David" w:hAnsi="David"/>
          <w:rtl/>
        </w:rPr>
        <w:t xml:space="preserve"> </w:t>
      </w:r>
      <w:r w:rsidRPr="00B93A98">
        <w:rPr>
          <w:rFonts w:ascii="David" w:hAnsi="David"/>
          <w:rtl/>
        </w:rPr>
        <w:t>הנאשם</w:t>
      </w:r>
      <w:r>
        <w:rPr>
          <w:rFonts w:ascii="David" w:hAnsi="David" w:hint="cs"/>
          <w:rtl/>
        </w:rPr>
        <w:t xml:space="preserve"> והקטין  עזבו, באישון לילה, את האירוע המשפחתי בכוונה להביא את הנשק שהוסלק במטע אל האירוע המשפחתי, כך שאלמלא הפעילות המשטרתית הם היו מממשים את תכניתם  ובכך מסכנים חיי אדם. ב"כ המאשימה ציינה את חלקו הבלעדי של הנאשם בביצוע העבירות, לצד הנזק הפוטנציאלי והממשי הטמון במעשיו. הוטעם כי </w:t>
      </w:r>
      <w:r w:rsidRPr="0004689E">
        <w:rPr>
          <w:rFonts w:ascii="David" w:hAnsi="David"/>
          <w:rtl/>
        </w:rPr>
        <w:t xml:space="preserve">הנאשם והקטין </w:t>
      </w:r>
      <w:r>
        <w:rPr>
          <w:rFonts w:ascii="David" w:hAnsi="David" w:hint="cs"/>
          <w:rtl/>
        </w:rPr>
        <w:t>נסו מפני השוטרים</w:t>
      </w:r>
      <w:r>
        <w:rPr>
          <w:rFonts w:ascii="David" w:hAnsi="David"/>
          <w:rtl/>
        </w:rPr>
        <w:t xml:space="preserve">, </w:t>
      </w:r>
      <w:r>
        <w:rPr>
          <w:rFonts w:ascii="David" w:hAnsi="David" w:hint="cs"/>
          <w:rtl/>
        </w:rPr>
        <w:t xml:space="preserve">וכי </w:t>
      </w:r>
      <w:r>
        <w:rPr>
          <w:rFonts w:ascii="David" w:hAnsi="David"/>
          <w:rtl/>
        </w:rPr>
        <w:t xml:space="preserve">במהלך מנוסתו </w:t>
      </w:r>
      <w:r w:rsidRPr="0004689E">
        <w:rPr>
          <w:rFonts w:ascii="David" w:hAnsi="David"/>
          <w:rtl/>
        </w:rPr>
        <w:t xml:space="preserve">זרק </w:t>
      </w:r>
      <w:r>
        <w:rPr>
          <w:rFonts w:ascii="David" w:hAnsi="David" w:hint="cs"/>
          <w:rtl/>
        </w:rPr>
        <w:t xml:space="preserve">הנאשם </w:t>
      </w:r>
      <w:r w:rsidRPr="0004689E">
        <w:rPr>
          <w:rFonts w:ascii="David" w:hAnsi="David"/>
          <w:rtl/>
        </w:rPr>
        <w:t xml:space="preserve">את התיק עם הנשק </w:t>
      </w:r>
      <w:r>
        <w:rPr>
          <w:rFonts w:ascii="David" w:hAnsi="David" w:hint="cs"/>
          <w:rtl/>
        </w:rPr>
        <w:t>ל</w:t>
      </w:r>
      <w:r w:rsidRPr="0004689E">
        <w:rPr>
          <w:rFonts w:ascii="David" w:hAnsi="David"/>
          <w:rtl/>
        </w:rPr>
        <w:t xml:space="preserve">פח סמוך, </w:t>
      </w:r>
      <w:r>
        <w:rPr>
          <w:rFonts w:ascii="David" w:hAnsi="David" w:hint="cs"/>
          <w:rtl/>
        </w:rPr>
        <w:t xml:space="preserve">על כל המשתמע מכך.  הנאשם אף </w:t>
      </w:r>
      <w:r w:rsidRPr="00523EC5">
        <w:rPr>
          <w:rFonts w:ascii="David" w:hAnsi="David"/>
          <w:rtl/>
        </w:rPr>
        <w:t xml:space="preserve">הביא את השוטרים לבצע  ירי באוויר מספר פעמים </w:t>
      </w:r>
      <w:r>
        <w:rPr>
          <w:rFonts w:ascii="David" w:hAnsi="David" w:hint="cs"/>
          <w:rtl/>
        </w:rPr>
        <w:t>כדי למנוע את מנוסתו.</w:t>
      </w:r>
    </w:p>
    <w:p w14:paraId="78A51CED" w14:textId="77777777" w:rsidR="009F00AD" w:rsidRDefault="009F00AD" w:rsidP="009F00AD">
      <w:pPr>
        <w:spacing w:line="360" w:lineRule="auto"/>
        <w:jc w:val="both"/>
        <w:rPr>
          <w:rFonts w:ascii="David" w:hAnsi="David"/>
          <w:rtl/>
        </w:rPr>
      </w:pPr>
    </w:p>
    <w:p w14:paraId="71539A0B" w14:textId="77777777" w:rsidR="009F00AD" w:rsidRPr="00523EC5" w:rsidRDefault="009F00AD" w:rsidP="009F00AD">
      <w:pPr>
        <w:spacing w:line="360" w:lineRule="auto"/>
        <w:jc w:val="both"/>
        <w:rPr>
          <w:rFonts w:ascii="David" w:hAnsi="David"/>
          <w:rtl/>
        </w:rPr>
      </w:pPr>
      <w:r>
        <w:rPr>
          <w:rFonts w:ascii="David" w:hAnsi="David" w:hint="cs"/>
          <w:rtl/>
        </w:rPr>
        <w:t>10.</w:t>
      </w:r>
      <w:r>
        <w:rPr>
          <w:rFonts w:ascii="David" w:hAnsi="David" w:hint="cs"/>
          <w:rtl/>
        </w:rPr>
        <w:tab/>
        <w:t xml:space="preserve"> ב"כ המאשימה הפנתה לתסקירי שירות המבחן שלא באו בהמלצה טיפולית בעניינו של הנאשם ומהם עולה, כי הנאשם מתייחס </w:t>
      </w:r>
      <w:r w:rsidRPr="00523EC5">
        <w:rPr>
          <w:rFonts w:ascii="David" w:hAnsi="David"/>
          <w:rtl/>
        </w:rPr>
        <w:t>באופן קונקר</w:t>
      </w:r>
      <w:r>
        <w:rPr>
          <w:rFonts w:ascii="David" w:hAnsi="David"/>
          <w:rtl/>
        </w:rPr>
        <w:t>טי ומצומצם למעשים, מפחית מחומרת</w:t>
      </w:r>
      <w:r>
        <w:rPr>
          <w:rFonts w:ascii="David" w:hAnsi="David" w:hint="cs"/>
          <w:rtl/>
        </w:rPr>
        <w:t>ם ונוטה להסתרה.</w:t>
      </w:r>
    </w:p>
    <w:p w14:paraId="2F499235" w14:textId="77777777" w:rsidR="009F00AD" w:rsidRPr="00523EC5" w:rsidRDefault="009F00AD" w:rsidP="009F00AD">
      <w:pPr>
        <w:spacing w:line="360" w:lineRule="auto"/>
        <w:jc w:val="both"/>
        <w:rPr>
          <w:rFonts w:ascii="David" w:hAnsi="David"/>
          <w:rtl/>
        </w:rPr>
      </w:pPr>
    </w:p>
    <w:p w14:paraId="347AB89F" w14:textId="77777777" w:rsidR="009F00AD" w:rsidRPr="00523EC5" w:rsidRDefault="009F00AD" w:rsidP="009F00AD">
      <w:pPr>
        <w:spacing w:line="360" w:lineRule="auto"/>
        <w:jc w:val="both"/>
        <w:rPr>
          <w:rFonts w:ascii="David" w:hAnsi="David"/>
          <w:rtl/>
        </w:rPr>
      </w:pPr>
      <w:r>
        <w:rPr>
          <w:rFonts w:ascii="David" w:hAnsi="David" w:hint="cs"/>
          <w:rtl/>
        </w:rPr>
        <w:t>11.</w:t>
      </w:r>
      <w:r>
        <w:rPr>
          <w:rFonts w:ascii="David" w:hAnsi="David"/>
          <w:rtl/>
        </w:rPr>
        <w:tab/>
      </w:r>
      <w:r w:rsidRPr="007F1417">
        <w:rPr>
          <w:rFonts w:ascii="David" w:hAnsi="David"/>
          <w:rtl/>
        </w:rPr>
        <w:t xml:space="preserve"> בסיכומו של דבר</w:t>
      </w:r>
      <w:r>
        <w:rPr>
          <w:rFonts w:ascii="David" w:hAnsi="David" w:hint="cs"/>
          <w:rtl/>
        </w:rPr>
        <w:t xml:space="preserve">, </w:t>
      </w:r>
      <w:r w:rsidRPr="007F1417">
        <w:rPr>
          <w:rFonts w:ascii="David" w:hAnsi="David"/>
          <w:rtl/>
        </w:rPr>
        <w:t xml:space="preserve">לאחר שסקרה פסיקה </w:t>
      </w:r>
      <w:r>
        <w:rPr>
          <w:rFonts w:ascii="David" w:hAnsi="David" w:hint="cs"/>
          <w:rtl/>
        </w:rPr>
        <w:t xml:space="preserve">מטעמה </w:t>
      </w:r>
      <w:r>
        <w:rPr>
          <w:rFonts w:ascii="David" w:hAnsi="David"/>
          <w:rtl/>
        </w:rPr>
        <w:t>לעניין העונש</w:t>
      </w:r>
      <w:r>
        <w:rPr>
          <w:rFonts w:ascii="David" w:hAnsi="David" w:hint="cs"/>
          <w:rtl/>
        </w:rPr>
        <w:t xml:space="preserve"> ובהסתמך על הנחיית פרקליט המדינה מספר 9.16 </w:t>
      </w:r>
      <w:r w:rsidRPr="00AC1B8F">
        <w:rPr>
          <w:rFonts w:ascii="Miriam" w:hAnsi="Miriam" w:cs="Miriam"/>
          <w:rtl/>
        </w:rPr>
        <w:t>(ט/1)</w:t>
      </w:r>
      <w:r>
        <w:rPr>
          <w:rFonts w:ascii="David" w:hAnsi="David" w:hint="cs"/>
          <w:rtl/>
        </w:rPr>
        <w:t xml:space="preserve">, </w:t>
      </w:r>
      <w:r w:rsidRPr="007F1417">
        <w:rPr>
          <w:rFonts w:ascii="David" w:hAnsi="David"/>
          <w:rtl/>
        </w:rPr>
        <w:t xml:space="preserve">ביקשה </w:t>
      </w:r>
      <w:r>
        <w:rPr>
          <w:rFonts w:ascii="David" w:hAnsi="David" w:hint="cs"/>
          <w:rtl/>
        </w:rPr>
        <w:t>ב"כ</w:t>
      </w:r>
      <w:r w:rsidRPr="007F1417">
        <w:rPr>
          <w:rFonts w:ascii="David" w:hAnsi="David"/>
          <w:rtl/>
        </w:rPr>
        <w:t xml:space="preserve"> המאשימה לקבוע בתיק זה מתחם עונש הולם הנע בין שנתיים </w:t>
      </w:r>
      <w:r>
        <w:rPr>
          <w:rFonts w:ascii="David" w:hAnsi="David" w:hint="cs"/>
          <w:rtl/>
        </w:rPr>
        <w:t xml:space="preserve">וחצי </w:t>
      </w:r>
      <w:r w:rsidRPr="007F1417">
        <w:rPr>
          <w:rFonts w:ascii="David" w:hAnsi="David"/>
          <w:rtl/>
        </w:rPr>
        <w:t>עד</w:t>
      </w:r>
      <w:r>
        <w:rPr>
          <w:rFonts w:ascii="David" w:hAnsi="David" w:hint="cs"/>
          <w:rtl/>
        </w:rPr>
        <w:t xml:space="preserve"> 5</w:t>
      </w:r>
      <w:r w:rsidRPr="007F1417">
        <w:rPr>
          <w:rFonts w:ascii="David" w:hAnsi="David"/>
          <w:rtl/>
        </w:rPr>
        <w:t xml:space="preserve"> שנות מאסר בפועל, זאת לצד רכיבי ע</w:t>
      </w:r>
      <w:r>
        <w:rPr>
          <w:rFonts w:ascii="David" w:hAnsi="David"/>
          <w:rtl/>
        </w:rPr>
        <w:t>נישה של מאסר על תנאי וקנס כספי</w:t>
      </w:r>
      <w:r>
        <w:rPr>
          <w:rFonts w:ascii="David" w:hAnsi="David" w:hint="cs"/>
          <w:rtl/>
        </w:rPr>
        <w:t xml:space="preserve">. נוכח עברו הפלילי הנקי של הנאשם, סבורה המאשימה כי יש לגזור את עונשו בתחתית המתחם לו היא עותרת. </w:t>
      </w:r>
    </w:p>
    <w:p w14:paraId="63097C88" w14:textId="77777777" w:rsidR="009F00AD" w:rsidRDefault="009F00AD" w:rsidP="009F00AD">
      <w:pPr>
        <w:spacing w:line="360" w:lineRule="auto"/>
        <w:jc w:val="both"/>
        <w:rPr>
          <w:rFonts w:ascii="David" w:hAnsi="David"/>
          <w:rtl/>
        </w:rPr>
      </w:pPr>
    </w:p>
    <w:p w14:paraId="7DFB6643" w14:textId="77777777" w:rsidR="009F00AD" w:rsidRPr="00523EC5" w:rsidRDefault="009F00AD" w:rsidP="009F00AD">
      <w:pPr>
        <w:spacing w:line="360" w:lineRule="auto"/>
        <w:jc w:val="both"/>
        <w:rPr>
          <w:rFonts w:ascii="David" w:hAnsi="David"/>
          <w:rtl/>
        </w:rPr>
      </w:pPr>
      <w:r>
        <w:rPr>
          <w:rFonts w:ascii="David" w:hAnsi="David" w:hint="cs"/>
          <w:rtl/>
        </w:rPr>
        <w:t>12.</w:t>
      </w:r>
      <w:r>
        <w:rPr>
          <w:rFonts w:ascii="David" w:hAnsi="David" w:hint="cs"/>
          <w:rtl/>
        </w:rPr>
        <w:tab/>
        <w:t xml:space="preserve">הסניגור, בטיעוניו לעונש, הדגיש את הודאת הנאשם בעובדות כתב האישום המתוקן שחסכה זמן שיפוטי יקר והעדת 23 עדי תביעה, לרבות הקטין המעורב. ב"כ הנאשם חלק על טיעוני המאשימה ככל שהם נוגעים לחלקו הבלעדי של הנאשם בביצוע העבירות. בנקודה זו הפנה הסניגור לעובדות כתב האישום המתוקן ממנו עולה, כי הקטין והנאשם נשאו את הנשק בצוותא חדא. עוד נטען כי, בין יתר שיקולי הענישה, יש לשקול את האבחנה שערכה המאשימה, שלא בצדק, בין הנאשם ובין שותפו הקטין. נטען לעניין זה, כי בעוד שהנאשם נעצר מאחורי סורג ובריח למשך כחודשיים ולאחר מכן נעצר באיזוק אלקטרוני, הרי שהקטין שוחרר ממעצרו. נטען כי פער הגילאים בין השניים גבולי, כך שלא היה מקום לאבחנה, כאמור. עוד נטען, כי נשיאת הנשק הייתה אך לזמן ולמרחק קצרים וכי הנאשם זרק את הנשק רק כשהבחין בשוטרים דולקים אחריו תוך שהבין כי הנשק ייתפס על-ידם וזה אכן נתפס על-ידי משטרת ישראל, דבר הפועל, לשיטת הסנגור, לטובת הנאשם. בסיכומם של דברים, ולאחר שהגיש אסופת פסיקה מטעם ההגנה </w:t>
      </w:r>
      <w:r w:rsidRPr="00E1434F">
        <w:rPr>
          <w:rFonts w:ascii="Miriam" w:hAnsi="Miriam" w:cs="Miriam"/>
          <w:rtl/>
        </w:rPr>
        <w:t>(נ/1)</w:t>
      </w:r>
      <w:r>
        <w:rPr>
          <w:rFonts w:ascii="David" w:hAnsi="David" w:hint="cs"/>
          <w:rtl/>
        </w:rPr>
        <w:t xml:space="preserve">, עתר ב"כ הנאשם למתחם עונש הולם הנע בין 7 חודשי מאסר בפועל שניתן יהא לרצות בעבודות שירות עד ל- 30 חודשי מאסר בפועל. </w:t>
      </w:r>
    </w:p>
    <w:p w14:paraId="308F1805" w14:textId="77777777" w:rsidR="009F00AD" w:rsidRDefault="009F00AD" w:rsidP="009F00AD">
      <w:pPr>
        <w:spacing w:line="360" w:lineRule="auto"/>
        <w:jc w:val="both"/>
        <w:rPr>
          <w:rFonts w:ascii="David" w:hAnsi="David"/>
          <w:rtl/>
        </w:rPr>
      </w:pPr>
    </w:p>
    <w:p w14:paraId="7C993F12" w14:textId="77777777" w:rsidR="009F00AD" w:rsidRPr="00523EC5" w:rsidRDefault="009F00AD" w:rsidP="009F00AD">
      <w:pPr>
        <w:spacing w:line="360" w:lineRule="auto"/>
        <w:jc w:val="both"/>
        <w:rPr>
          <w:rFonts w:ascii="David" w:hAnsi="David"/>
          <w:rtl/>
        </w:rPr>
      </w:pPr>
      <w:r>
        <w:rPr>
          <w:rFonts w:ascii="David" w:hAnsi="David" w:hint="cs"/>
          <w:rtl/>
        </w:rPr>
        <w:t>13.</w:t>
      </w:r>
      <w:r w:rsidRPr="000968F0">
        <w:rPr>
          <w:rFonts w:ascii="David" w:hAnsi="David"/>
          <w:rtl/>
        </w:rPr>
        <w:t xml:space="preserve"> </w:t>
      </w:r>
      <w:r>
        <w:rPr>
          <w:rFonts w:ascii="David" w:hAnsi="David"/>
          <w:rtl/>
        </w:rPr>
        <w:tab/>
      </w:r>
      <w:r>
        <w:rPr>
          <w:rFonts w:ascii="David" w:hAnsi="David" w:hint="cs"/>
          <w:rtl/>
        </w:rPr>
        <w:t>ב</w:t>
      </w:r>
      <w:r>
        <w:rPr>
          <w:rFonts w:ascii="David" w:hAnsi="David"/>
          <w:rtl/>
        </w:rPr>
        <w:t xml:space="preserve">"כ הנאשם </w:t>
      </w:r>
      <w:r w:rsidRPr="000968F0">
        <w:rPr>
          <w:rFonts w:ascii="David" w:hAnsi="David"/>
          <w:rtl/>
        </w:rPr>
        <w:t>ציין כי עסקינן בנאשם שהינו "בגיר צעיר"</w:t>
      </w:r>
      <w:r>
        <w:rPr>
          <w:rFonts w:ascii="David" w:hAnsi="David" w:hint="cs"/>
          <w:rtl/>
        </w:rPr>
        <w:t xml:space="preserve">, תוך שהוסיף כי </w:t>
      </w:r>
      <w:r w:rsidRPr="000968F0">
        <w:rPr>
          <w:rFonts w:ascii="David" w:hAnsi="David"/>
          <w:rtl/>
        </w:rPr>
        <w:t xml:space="preserve"> הפסיקה </w:t>
      </w:r>
      <w:r>
        <w:rPr>
          <w:rFonts w:ascii="David" w:hAnsi="David" w:hint="cs"/>
          <w:rtl/>
        </w:rPr>
        <w:t xml:space="preserve">הקנתה לכך </w:t>
      </w:r>
      <w:r>
        <w:rPr>
          <w:rFonts w:ascii="David" w:hAnsi="David"/>
          <w:rtl/>
        </w:rPr>
        <w:t xml:space="preserve"> משמעות רבה</w:t>
      </w:r>
      <w:r>
        <w:rPr>
          <w:rFonts w:ascii="David" w:hAnsi="David" w:hint="cs"/>
          <w:rtl/>
        </w:rPr>
        <w:t xml:space="preserve"> וכי שירות המבחן התרשם ממאפייני אישיותו</w:t>
      </w:r>
      <w:r w:rsidRPr="00523EC5">
        <w:rPr>
          <w:rFonts w:ascii="David" w:hAnsi="David"/>
          <w:rtl/>
        </w:rPr>
        <w:t xml:space="preserve">  </w:t>
      </w:r>
      <w:r>
        <w:rPr>
          <w:rFonts w:ascii="David" w:hAnsi="David" w:hint="cs"/>
          <w:rtl/>
        </w:rPr>
        <w:t>הילדותיים של הנאשם ובשלותו המנטלית הנמוכה</w:t>
      </w:r>
      <w:r>
        <w:rPr>
          <w:rFonts w:ascii="David" w:hAnsi="David"/>
          <w:rtl/>
        </w:rPr>
        <w:t xml:space="preserve">. </w:t>
      </w:r>
      <w:r>
        <w:rPr>
          <w:rFonts w:ascii="David" w:hAnsi="David" w:hint="cs"/>
          <w:rtl/>
        </w:rPr>
        <w:t>עוד צוין עברו הנקי ללא רבב של הנאשם, היותו בן למשפחה נורמטיבית, וכן התקופה הארוכה בה הוא שוהה במעצר באיזוק אלקטרוני, זאת לאחר שהיה נתון במעצר של ממש במשך כחודשיים. נטען כי שליחת הנאשם למאסר מאחורי סורג ובריח עלולה לגרום לנזק קשה לאישיותו. נוכח כל האמור לעיל, ביקש הסניגור לגזור את עונשו של הנאשם בתחתית המתחם לו עותרת, כאמור, ההגנה.</w:t>
      </w:r>
    </w:p>
    <w:p w14:paraId="1E158BC7" w14:textId="77777777" w:rsidR="009F00AD" w:rsidRDefault="009F00AD" w:rsidP="009F00AD">
      <w:pPr>
        <w:spacing w:line="360" w:lineRule="auto"/>
        <w:jc w:val="both"/>
        <w:rPr>
          <w:rFonts w:ascii="David" w:hAnsi="David"/>
          <w:rtl/>
        </w:rPr>
      </w:pPr>
      <w:r>
        <w:rPr>
          <w:rFonts w:ascii="David" w:hAnsi="David" w:hint="cs"/>
          <w:rtl/>
        </w:rPr>
        <w:t>14.</w:t>
      </w:r>
      <w:r>
        <w:rPr>
          <w:rFonts w:ascii="David" w:hAnsi="David" w:hint="cs"/>
          <w:rtl/>
        </w:rPr>
        <w:tab/>
      </w:r>
      <w:r w:rsidRPr="00E1434F">
        <w:rPr>
          <w:rFonts w:ascii="David" w:hAnsi="David"/>
          <w:rtl/>
        </w:rPr>
        <w:t>להלן דבר הנאשם בבית המשפט:</w:t>
      </w:r>
    </w:p>
    <w:p w14:paraId="3BA01D0C" w14:textId="77777777" w:rsidR="009F00AD" w:rsidRPr="00523EC5" w:rsidRDefault="009F00AD" w:rsidP="009F00AD">
      <w:pPr>
        <w:spacing w:line="360" w:lineRule="auto"/>
        <w:jc w:val="both"/>
        <w:rPr>
          <w:rFonts w:ascii="David" w:hAnsi="David"/>
          <w:rtl/>
        </w:rPr>
      </w:pPr>
      <w:r w:rsidRPr="00523EC5">
        <w:rPr>
          <w:rFonts w:ascii="David" w:hAnsi="David"/>
          <w:rtl/>
        </w:rPr>
        <w:t xml:space="preserve"> </w:t>
      </w:r>
    </w:p>
    <w:p w14:paraId="08872157" w14:textId="77777777" w:rsidR="009F00AD" w:rsidRDefault="009F00AD" w:rsidP="009F00AD">
      <w:pPr>
        <w:spacing w:line="360" w:lineRule="auto"/>
        <w:ind w:left="720"/>
        <w:jc w:val="both"/>
        <w:rPr>
          <w:rFonts w:ascii="David" w:hAnsi="David"/>
          <w:rtl/>
        </w:rPr>
      </w:pPr>
      <w:r>
        <w:rPr>
          <w:rFonts w:ascii="David" w:hAnsi="David" w:hint="cs"/>
          <w:rtl/>
        </w:rPr>
        <w:t>"</w:t>
      </w:r>
      <w:r w:rsidRPr="002A778F">
        <w:rPr>
          <w:rFonts w:ascii="Miriam" w:hAnsi="Miriam" w:cs="Miriam"/>
          <w:rtl/>
        </w:rPr>
        <w:t>אני מצטער על מה שקרה, אני מתנצל.  ישבתי בכלא / במעצר  כמעט חודשים, אני לא רוצה לחזור למקום הזה, זה לא מקום בשבילי.  אני לא בדברים האלה, גם המשפחה שלי לא  מתעסקת בדברים האלה</w:t>
      </w:r>
      <w:r>
        <w:rPr>
          <w:rFonts w:ascii="David" w:hAnsi="David" w:hint="cs"/>
          <w:rtl/>
        </w:rPr>
        <w:t>"</w:t>
      </w:r>
      <w:r w:rsidRPr="00523EC5">
        <w:rPr>
          <w:rFonts w:ascii="David" w:hAnsi="David"/>
          <w:rtl/>
        </w:rPr>
        <w:t>.</w:t>
      </w:r>
    </w:p>
    <w:p w14:paraId="4316C120" w14:textId="77777777" w:rsidR="009F00AD" w:rsidRDefault="009F00AD" w:rsidP="009F00AD">
      <w:pPr>
        <w:spacing w:line="360" w:lineRule="auto"/>
        <w:ind w:left="720"/>
        <w:jc w:val="both"/>
        <w:rPr>
          <w:rFonts w:ascii="David" w:hAnsi="David"/>
          <w:rtl/>
        </w:rPr>
      </w:pPr>
    </w:p>
    <w:p w14:paraId="5AFBBD25" w14:textId="77777777" w:rsidR="009F00AD" w:rsidRPr="00787181" w:rsidRDefault="009F00AD" w:rsidP="009F00AD">
      <w:pPr>
        <w:spacing w:line="360" w:lineRule="auto"/>
        <w:jc w:val="both"/>
        <w:rPr>
          <w:rFonts w:ascii="Miriam" w:hAnsi="Miriam" w:cs="Miriam"/>
          <w:b/>
          <w:bCs/>
          <w:rtl/>
        </w:rPr>
      </w:pPr>
      <w:r w:rsidRPr="00787181">
        <w:rPr>
          <w:rFonts w:ascii="Miriam" w:hAnsi="Miriam" w:cs="Miriam"/>
          <w:b/>
          <w:bCs/>
          <w:rtl/>
        </w:rPr>
        <w:t>דיון והכרעה</w:t>
      </w:r>
    </w:p>
    <w:p w14:paraId="06940A17" w14:textId="77777777" w:rsidR="009F00AD" w:rsidRPr="002A778F" w:rsidRDefault="009F00AD" w:rsidP="009F00AD">
      <w:pPr>
        <w:spacing w:line="360" w:lineRule="auto"/>
        <w:ind w:left="720"/>
        <w:jc w:val="both"/>
        <w:rPr>
          <w:rFonts w:ascii="Miriam" w:hAnsi="Miriam" w:cs="Miriam"/>
          <w:rtl/>
        </w:rPr>
      </w:pPr>
    </w:p>
    <w:p w14:paraId="7853B911" w14:textId="77777777" w:rsidR="009F00AD" w:rsidRPr="002A778F" w:rsidRDefault="009F00AD" w:rsidP="009F00AD">
      <w:pPr>
        <w:spacing w:line="360" w:lineRule="auto"/>
        <w:jc w:val="both"/>
      </w:pPr>
      <w:r>
        <w:rPr>
          <w:rFonts w:hint="cs"/>
          <w:rtl/>
        </w:rPr>
        <w:t>15.</w:t>
      </w:r>
      <w:r w:rsidRPr="002A778F">
        <w:rPr>
          <w:rtl/>
        </w:rPr>
        <w:tab/>
        <w:t xml:space="preserve">תיקון מס' 113 מתווה את העיקרון המנחה את ביהמ"ש </w:t>
      </w:r>
      <w:r>
        <w:rPr>
          <w:rtl/>
        </w:rPr>
        <w:t>בבואו לגזור דינו של נאשם, שהינו</w:t>
      </w:r>
      <w:r w:rsidRPr="002A778F">
        <w:rPr>
          <w:rtl/>
        </w:rPr>
        <w:t xml:space="preserve"> לפי </w:t>
      </w:r>
      <w:hyperlink r:id="rId20" w:history="1">
        <w:r w:rsidR="00470E4D" w:rsidRPr="00470E4D">
          <w:rPr>
            <w:rStyle w:val="Hyperlink"/>
            <w:rtl/>
          </w:rPr>
          <w:t>סעיף 40ב</w:t>
        </w:r>
      </w:hyperlink>
      <w:r w:rsidRPr="002A778F">
        <w:rPr>
          <w:rtl/>
        </w:rPr>
        <w:t xml:space="preserve"> ל</w:t>
      </w:r>
      <w:hyperlink r:id="rId21" w:history="1">
        <w:r w:rsidR="0033683F" w:rsidRPr="0033683F">
          <w:rPr>
            <w:color w:val="0000FF"/>
            <w:u w:val="single"/>
            <w:rtl/>
          </w:rPr>
          <w:t>חוק העונשין</w:t>
        </w:r>
      </w:hyperlink>
      <w:r w:rsidRPr="002A778F">
        <w:rPr>
          <w:rtl/>
        </w:rPr>
        <w:t xml:space="preserve">, עיקרון ההלימה, </w:t>
      </w:r>
      <w:r>
        <w:rPr>
          <w:rFonts w:hint="cs"/>
          <w:rtl/>
        </w:rPr>
        <w:t>ו</w:t>
      </w:r>
      <w:r w:rsidRPr="002A778F">
        <w:rPr>
          <w:rtl/>
        </w:rPr>
        <w:t xml:space="preserve">לפיו צריך להתקיים יחס הולם בין חומרת מעשה העבירה בנסיבותיו ומידת אשמו של הנאשם לבין סוג ומידת העונש המוטל עליו. יחס זה מבטא, למעשה, את עיקרון הגמול (ראו: </w:t>
      </w:r>
      <w:hyperlink r:id="rId22" w:history="1">
        <w:r w:rsidR="0033683F" w:rsidRPr="0033683F">
          <w:rPr>
            <w:color w:val="0000FF"/>
            <w:u w:val="single"/>
            <w:rtl/>
          </w:rPr>
          <w:t>ע"פ 1523/10</w:t>
        </w:r>
      </w:hyperlink>
      <w:r w:rsidRPr="002A778F">
        <w:rPr>
          <w:rtl/>
        </w:rPr>
        <w:t xml:space="preserve"> </w:t>
      </w:r>
      <w:r w:rsidRPr="002A778F">
        <w:rPr>
          <w:rFonts w:ascii="Miriam" w:hAnsi="Miriam" w:cs="Miriam"/>
          <w:sz w:val="22"/>
          <w:szCs w:val="22"/>
          <w:rtl/>
        </w:rPr>
        <w:t>פלוני נ' מדינת ישראל</w:t>
      </w:r>
      <w:r w:rsidRPr="002A778F">
        <w:rPr>
          <w:rtl/>
        </w:rPr>
        <w:t xml:space="preserve">, 18/4/12). </w:t>
      </w:r>
      <w:hyperlink r:id="rId23" w:history="1">
        <w:r w:rsidR="00470E4D" w:rsidRPr="00470E4D">
          <w:rPr>
            <w:rStyle w:val="Hyperlink"/>
            <w:rtl/>
          </w:rPr>
          <w:t>סעיף 40ג</w:t>
        </w:r>
      </w:hyperlink>
      <w:r w:rsidRPr="002A778F">
        <w:rPr>
          <w:rtl/>
        </w:rPr>
        <w:t xml:space="preserve"> ל</w:t>
      </w:r>
      <w:hyperlink r:id="rId24" w:history="1">
        <w:r w:rsidR="0033683F" w:rsidRPr="0033683F">
          <w:rPr>
            <w:color w:val="0000FF"/>
            <w:u w:val="single"/>
            <w:rtl/>
          </w:rPr>
          <w:t>חוק העונשין</w:t>
        </w:r>
      </w:hyperlink>
      <w:r w:rsidRPr="002A778F">
        <w:rPr>
          <w:rtl/>
        </w:rPr>
        <w:t xml:space="preserve"> קובע, כי על ביהמ"ש לקבוע מתחם עונ</w:t>
      </w:r>
      <w:r>
        <w:rPr>
          <w:rtl/>
        </w:rPr>
        <w:t>ש הולם למעשה העבירה שביצע הנאשם</w:t>
      </w:r>
      <w:r w:rsidRPr="002A778F">
        <w:rPr>
          <w:rtl/>
        </w:rPr>
        <w:t xml:space="preserve"> בהתאם לעיקרון המנחה הנ"ל. לשם כך, יתחשב ביהמ"ש בערך החברתי שנפגע מביצוע העבירה, במידת הפגיעה בו, במדיניות הענישה הנהוגה ובנסיבות הקשורות בביצוע העבירה, </w:t>
      </w:r>
      <w:r>
        <w:rPr>
          <w:rFonts w:hint="cs"/>
          <w:rtl/>
        </w:rPr>
        <w:t xml:space="preserve">הנזכרות </w:t>
      </w:r>
      <w:hyperlink r:id="rId25" w:history="1">
        <w:r w:rsidR="00470E4D" w:rsidRPr="00470E4D">
          <w:rPr>
            <w:rStyle w:val="Hyperlink"/>
            <w:rtl/>
          </w:rPr>
          <w:t>בסעיף 40ט</w:t>
        </w:r>
      </w:hyperlink>
      <w:r w:rsidRPr="002A778F">
        <w:rPr>
          <w:rtl/>
        </w:rPr>
        <w:t xml:space="preserve"> ל</w:t>
      </w:r>
      <w:hyperlink r:id="rId26" w:history="1">
        <w:r w:rsidR="0033683F" w:rsidRPr="0033683F">
          <w:rPr>
            <w:color w:val="0000FF"/>
            <w:u w:val="single"/>
            <w:rtl/>
          </w:rPr>
          <w:t>חוק העונשין</w:t>
        </w:r>
      </w:hyperlink>
      <w:r w:rsidRPr="002A778F">
        <w:rPr>
          <w:rtl/>
        </w:rPr>
        <w:t xml:space="preserve">. </w:t>
      </w:r>
    </w:p>
    <w:p w14:paraId="3EEFC187" w14:textId="77777777" w:rsidR="009F00AD" w:rsidRDefault="009F00AD" w:rsidP="009F00AD">
      <w:pPr>
        <w:spacing w:line="360" w:lineRule="auto"/>
        <w:jc w:val="both"/>
        <w:rPr>
          <w:rtl/>
        </w:rPr>
      </w:pPr>
    </w:p>
    <w:p w14:paraId="0EE037BB" w14:textId="77777777" w:rsidR="009F00AD" w:rsidRDefault="009F00AD" w:rsidP="009F00AD">
      <w:pPr>
        <w:spacing w:line="360" w:lineRule="auto"/>
        <w:jc w:val="both"/>
        <w:rPr>
          <w:rFonts w:ascii="David" w:hAnsi="David"/>
          <w:color w:val="000000"/>
          <w:rtl/>
        </w:rPr>
      </w:pPr>
      <w:r>
        <w:rPr>
          <w:rtl/>
        </w:rPr>
        <w:t>1</w:t>
      </w:r>
      <w:r>
        <w:rPr>
          <w:rFonts w:hint="cs"/>
          <w:rtl/>
        </w:rPr>
        <w:t>6.</w:t>
      </w:r>
      <w:r>
        <w:rPr>
          <w:rtl/>
        </w:rPr>
        <w:tab/>
      </w:r>
      <w:r>
        <w:rPr>
          <w:rFonts w:hint="cs"/>
          <w:rtl/>
        </w:rPr>
        <w:t xml:space="preserve">ומן הכלל אל הפרט: </w:t>
      </w:r>
      <w:r>
        <w:rPr>
          <w:rtl/>
        </w:rPr>
        <w:t xml:space="preserve">הערך המוגן הנפגע כתוצאה מביצוע העבירה </w:t>
      </w:r>
      <w:r>
        <w:rPr>
          <w:rFonts w:hint="cs"/>
          <w:rtl/>
        </w:rPr>
        <w:t>שבפנינו, עבירה של</w:t>
      </w:r>
      <w:r>
        <w:rPr>
          <w:rtl/>
        </w:rPr>
        <w:t xml:space="preserve"> </w:t>
      </w:r>
      <w:r>
        <w:rPr>
          <w:rFonts w:hint="cs"/>
          <w:rtl/>
        </w:rPr>
        <w:t xml:space="preserve">נשיאת והובלת </w:t>
      </w:r>
      <w:r>
        <w:rPr>
          <w:rtl/>
        </w:rPr>
        <w:t>נשק שלא כדין</w:t>
      </w:r>
      <w:r>
        <w:rPr>
          <w:rFonts w:hint="cs"/>
          <w:rtl/>
        </w:rPr>
        <w:t xml:space="preserve">, </w:t>
      </w:r>
      <w:r>
        <w:rPr>
          <w:rtl/>
        </w:rPr>
        <w:t>הוא שלום הציבור ובטחונו. "</w:t>
      </w:r>
      <w:r>
        <w:rPr>
          <w:rFonts w:ascii="Miriam" w:hAnsi="Miriam" w:cs="Miriam"/>
          <w:rtl/>
        </w:rPr>
        <w:t>עבירות בנשק לסוגיהן מגלמות בתוכן סיכון ממשי לשלום הציבור ולביטחונו, שכן לא ניתן לדעת להיכן יתגלגלו כלי הנשק המוחזקים שלא כדין, ואיזה שימוש יעשה בהם בעתיד</w:t>
      </w:r>
      <w:r>
        <w:rPr>
          <w:rtl/>
        </w:rPr>
        <w:t xml:space="preserve">" </w:t>
      </w:r>
      <w:r w:rsidRPr="002A778F">
        <w:rPr>
          <w:rtl/>
        </w:rPr>
        <w:t>(</w:t>
      </w:r>
      <w:hyperlink r:id="rId27" w:history="1">
        <w:r w:rsidR="0033683F" w:rsidRPr="0033683F">
          <w:rPr>
            <w:color w:val="0000FF"/>
            <w:u w:val="single"/>
            <w:rtl/>
          </w:rPr>
          <w:t>ע"פ 7502/12</w:t>
        </w:r>
      </w:hyperlink>
      <w:r w:rsidRPr="002A778F">
        <w:rPr>
          <w:rtl/>
        </w:rPr>
        <w:t xml:space="preserve"> ‏</w:t>
      </w:r>
      <w:r w:rsidRPr="002A778F">
        <w:rPr>
          <w:rFonts w:ascii="Miriam" w:hAnsi="Miriam" w:cs="Miriam"/>
          <w:rtl/>
        </w:rPr>
        <w:t>כוויס נ' מדינת ישראל</w:t>
      </w:r>
      <w:r w:rsidRPr="002A778F">
        <w:rPr>
          <w:rFonts w:ascii="Miriam" w:hAnsi="Miriam" w:cs="Miriam"/>
          <w:sz w:val="22"/>
          <w:szCs w:val="22"/>
          <w:rtl/>
        </w:rPr>
        <w:t xml:space="preserve"> </w:t>
      </w:r>
      <w:r w:rsidRPr="002A778F">
        <w:rPr>
          <w:rtl/>
        </w:rPr>
        <w:t>(25.6.2013</w:t>
      </w:r>
      <w:r w:rsidRPr="002A778F">
        <w:rPr>
          <w:rFonts w:ascii="Miriam" w:hAnsi="Miriam" w:cs="Miriam" w:hint="cs"/>
          <w:rtl/>
        </w:rPr>
        <w:t>))</w:t>
      </w:r>
      <w:r w:rsidRPr="002A778F">
        <w:rPr>
          <w:rFonts w:ascii="David" w:hAnsi="David" w:hint="cs"/>
          <w:rtl/>
        </w:rPr>
        <w:t xml:space="preserve">. </w:t>
      </w:r>
      <w:r w:rsidRPr="002A778F">
        <w:rPr>
          <w:rFonts w:ascii="David" w:hAnsi="David"/>
          <w:rtl/>
        </w:rPr>
        <w:t xml:space="preserve">דברי כב' </w:t>
      </w:r>
      <w:r>
        <w:rPr>
          <w:rFonts w:ascii="David" w:hAnsi="David"/>
          <w:color w:val="000000"/>
          <w:rtl/>
        </w:rPr>
        <w:t xml:space="preserve">השופטת ע' </w:t>
      </w:r>
      <w:r w:rsidRPr="00A321DA">
        <w:rPr>
          <w:rFonts w:ascii="David" w:hAnsi="David"/>
          <w:rtl/>
        </w:rPr>
        <w:t>ברון ב</w:t>
      </w:r>
      <w:hyperlink r:id="rId28" w:history="1">
        <w:r w:rsidR="0033683F" w:rsidRPr="0033683F">
          <w:rPr>
            <w:rFonts w:ascii="David" w:hAnsi="David"/>
            <w:color w:val="0000FF"/>
            <w:u w:val="single"/>
            <w:rtl/>
          </w:rPr>
          <w:t>ע"פ 2564/19</w:t>
        </w:r>
      </w:hyperlink>
      <w:r w:rsidRPr="00A321DA">
        <w:rPr>
          <w:rFonts w:ascii="David" w:hAnsi="David"/>
          <w:b/>
          <w:bCs/>
          <w:rtl/>
        </w:rPr>
        <w:t xml:space="preserve"> </w:t>
      </w:r>
      <w:r w:rsidRPr="00A321DA">
        <w:rPr>
          <w:rFonts w:ascii="Miriam" w:hAnsi="Miriam" w:cs="Miriam"/>
          <w:rtl/>
        </w:rPr>
        <w:t>אזברגה נ' מדינת ישראל</w:t>
      </w:r>
      <w:r w:rsidRPr="00A321DA">
        <w:rPr>
          <w:rFonts w:ascii="David" w:hAnsi="David"/>
          <w:rtl/>
        </w:rPr>
        <w:t xml:space="preserve"> (18.7.19)</w:t>
      </w:r>
      <w:r w:rsidRPr="00A321DA">
        <w:rPr>
          <w:rFonts w:ascii="David" w:hAnsi="David" w:hint="cs"/>
          <w:rtl/>
        </w:rPr>
        <w:t xml:space="preserve"> </w:t>
      </w:r>
      <w:r w:rsidRPr="00A321DA">
        <w:rPr>
          <w:rtl/>
        </w:rPr>
        <w:t>ממחישים את המסוכנות הטמונה בעבירות הנשק לשלום הציבור ובטחו</w:t>
      </w:r>
      <w:r w:rsidRPr="00A321DA">
        <w:rPr>
          <w:rFonts w:hint="cs"/>
          <w:rtl/>
        </w:rPr>
        <w:t>נו ואת מגמת ההחמרה בענישה למען יראו וי</w:t>
      </w:r>
      <w:r>
        <w:rPr>
          <w:rFonts w:hint="cs"/>
          <w:rtl/>
        </w:rPr>
        <w:t>יראו:</w:t>
      </w:r>
      <w:r>
        <w:rPr>
          <w:rFonts w:ascii="David" w:hAnsi="David"/>
          <w:color w:val="000000"/>
          <w:rtl/>
        </w:rPr>
        <w:t xml:space="preserve"> </w:t>
      </w:r>
    </w:p>
    <w:p w14:paraId="4AC6B2B0" w14:textId="77777777" w:rsidR="009F00AD" w:rsidRDefault="009F00AD" w:rsidP="009F00AD">
      <w:pPr>
        <w:spacing w:line="360" w:lineRule="auto"/>
        <w:jc w:val="both"/>
        <w:rPr>
          <w:rFonts w:ascii="David" w:hAnsi="David"/>
          <w:color w:val="000000"/>
        </w:rPr>
      </w:pPr>
    </w:p>
    <w:p w14:paraId="43C1D4CA" w14:textId="77777777" w:rsidR="009F00AD" w:rsidRDefault="009F00AD" w:rsidP="009F00AD">
      <w:pPr>
        <w:spacing w:after="120" w:line="360" w:lineRule="auto"/>
        <w:ind w:left="1274" w:right="851"/>
        <w:jc w:val="both"/>
        <w:rPr>
          <w:rFonts w:ascii="Miriam" w:hAnsi="Miriam" w:cs="Miriam"/>
          <w:color w:val="000000"/>
          <w:rtl/>
        </w:rPr>
      </w:pPr>
      <w:r>
        <w:rPr>
          <w:rFonts w:ascii="David" w:hAnsi="David"/>
          <w:color w:val="000000"/>
          <w:rtl/>
        </w:rPr>
        <w:t>"</w:t>
      </w:r>
      <w:r w:rsidRPr="00A321DA">
        <w:rPr>
          <w:rFonts w:ascii="Miriam" w:hAnsi="Miriam" w:cs="Miriam"/>
          <w:color w:val="000000"/>
          <w:rtl/>
        </w:rPr>
        <w:t xml:space="preserve">בית משפט זה עמד בשורה ארוכה של פסקי דין על חומרתן הרבה של עבירות הנשק ועל הסכנה הגבוהה במיוחד לשלום הציבור וביטחונו הטמונה בנשיאה והחזקה של נשק. הדבר חמור שבעתיים במציאות הישראלית שבה נשק בלתי חוקי עשוי לשמש הן לפעילות חבלנית עוינת על רקע ביטחוני הן לפעילות עבריינית... לפיכך, קיימת בפסיקה מגמת החמרה ברמת הענישה של המעורבים בעבירות נשק תוך מתן ביטוי עונשי הולם לסכנה הנשקפת מהן; וזאת במטרה להרתיע את היחיד והרבים גם יחד מפני ביצוען. </w:t>
      </w:r>
      <w:r w:rsidRPr="00815C41">
        <w:rPr>
          <w:rFonts w:ascii="Miriam" w:hAnsi="Miriam" w:cs="Miriam"/>
          <w:b/>
          <w:bCs/>
          <w:color w:val="000000"/>
          <w:rtl/>
        </w:rPr>
        <w:t>ברירת המחדל בעבירות נשק היא אפוא מאסר בפועל גם כאשר הנאשם נעדר עבר פלילי</w:t>
      </w:r>
      <w:r>
        <w:rPr>
          <w:rFonts w:ascii="Miriam" w:hAnsi="Miriam" w:cs="Miriam" w:hint="cs"/>
          <w:b/>
          <w:bCs/>
          <w:color w:val="000000"/>
          <w:rtl/>
        </w:rPr>
        <w:t xml:space="preserve"> </w:t>
      </w:r>
      <w:r w:rsidRPr="00815C41">
        <w:rPr>
          <w:rFonts w:ascii="Miriam" w:hAnsi="Miriam" w:cs="Miriam" w:hint="cs"/>
          <w:color w:val="000000"/>
          <w:rtl/>
        </w:rPr>
        <w:t>(הדגשה שלי-ר.ב.)</w:t>
      </w:r>
      <w:r w:rsidRPr="00815C41">
        <w:rPr>
          <w:rFonts w:ascii="Miriam" w:hAnsi="Miriam" w:cs="Miriam"/>
          <w:color w:val="000000"/>
          <w:rtl/>
        </w:rPr>
        <w:t>".</w:t>
      </w:r>
    </w:p>
    <w:p w14:paraId="7E0D34D4" w14:textId="77777777" w:rsidR="009F00AD" w:rsidRDefault="009F00AD" w:rsidP="009F00AD">
      <w:pPr>
        <w:spacing w:line="360" w:lineRule="auto"/>
        <w:jc w:val="both"/>
        <w:rPr>
          <w:rtl/>
        </w:rPr>
      </w:pPr>
      <w:r>
        <w:rPr>
          <w:rFonts w:hint="cs"/>
          <w:rtl/>
        </w:rPr>
        <w:t>17.</w:t>
      </w:r>
      <w:r>
        <w:rPr>
          <w:rFonts w:hint="cs"/>
          <w:rtl/>
        </w:rPr>
        <w:tab/>
        <w:t xml:space="preserve">במסגרת סקירת  נסיבות ביצוע העבירה אציין, לחובת הנאשם, את חלקו הדומיננטי בביצוע העבירה, שכן הנאשם הוריד בעצמו את הנשק והתחמושת מהעץ, הכניסם לתיק והחל בנשיאתם למקום האירוע. הנאשם אף ברח מהשוטרים שדלקו אחריו ונאלצו לירות באוויר יותר מפעם אחת כדי להביא לעצירתו, אך זה המשיך בבריחתו מפניהם תוך שבדרכו השליך לפח את הנשק והמחסנית. עוד אציין, לחובת הנאשם, את תכנון המעשים שהרי הנאשם תכנן לשאת את הנשק והתחמושת ממקום המחבוא חזרה למקום האירוע, דבר שסוכל הודות לפעילות המשטרה ובכך הובטח ביטחונו של הציבור. עם זאת, לטובת הנאשם, אציין כי עסקינן בנשיאה קצרת טווח של הנשק שארכה זמן קצר בלבד.  עוד אציין לקולה את היותו של הנאשם בן 19 שנים בלבד במועד ביצוע העבירה, כמו גם את התרשמותו של שרות המבחן  </w:t>
      </w:r>
      <w:r>
        <w:rPr>
          <w:rFonts w:ascii="David" w:hAnsi="David" w:hint="cs"/>
          <w:rtl/>
        </w:rPr>
        <w:t>כי הוא נעדר בשלות רגשית ובעל דפוסי חשיבה ילדותיים</w:t>
      </w:r>
      <w:r>
        <w:rPr>
          <w:rFonts w:hint="cs"/>
          <w:rtl/>
        </w:rPr>
        <w:t>, דבר המלמד כי הנאשם, כפי הנראה, לא הבין עד תום, מפאת גילו הצעיר ומאפייני אישיותו, את משמעות מעשיו וחומרתם.</w:t>
      </w:r>
    </w:p>
    <w:p w14:paraId="5BB094FC" w14:textId="77777777" w:rsidR="009F00AD" w:rsidRDefault="009F00AD" w:rsidP="009F00AD">
      <w:pPr>
        <w:spacing w:line="360" w:lineRule="auto"/>
        <w:jc w:val="both"/>
        <w:rPr>
          <w:rtl/>
        </w:rPr>
      </w:pPr>
    </w:p>
    <w:p w14:paraId="20507E03" w14:textId="77777777" w:rsidR="009F00AD" w:rsidRDefault="009F00AD" w:rsidP="009F00AD">
      <w:pPr>
        <w:spacing w:line="360" w:lineRule="auto"/>
        <w:jc w:val="both"/>
      </w:pPr>
      <w:r>
        <w:rPr>
          <w:rFonts w:hint="cs"/>
          <w:rtl/>
        </w:rPr>
        <w:t>18.</w:t>
      </w:r>
      <w:r>
        <w:rPr>
          <w:rFonts w:hint="cs"/>
          <w:rtl/>
        </w:rPr>
        <w:tab/>
      </w:r>
      <w:r>
        <w:rPr>
          <w:rtl/>
        </w:rPr>
        <w:t xml:space="preserve">במסגרת סקירת מדיניות הענישה הנהוגה בעבירה של נשיאת והובלת נשק שלא כדין אביא את הפסיקה הבאה: </w:t>
      </w:r>
    </w:p>
    <w:p w14:paraId="4AFEF33C" w14:textId="77777777" w:rsidR="009F00AD" w:rsidRDefault="009F00AD" w:rsidP="009F00AD">
      <w:pPr>
        <w:spacing w:line="360" w:lineRule="auto"/>
        <w:jc w:val="both"/>
        <w:rPr>
          <w:rtl/>
        </w:rPr>
      </w:pPr>
    </w:p>
    <w:p w14:paraId="31C61CD7" w14:textId="77777777" w:rsidR="009F00AD" w:rsidRDefault="009F00AD" w:rsidP="009F00AD">
      <w:pPr>
        <w:pStyle w:val="aa"/>
        <w:numPr>
          <w:ilvl w:val="0"/>
          <w:numId w:val="1"/>
        </w:numPr>
        <w:spacing w:line="360" w:lineRule="auto"/>
        <w:jc w:val="both"/>
      </w:pPr>
      <w:r w:rsidRPr="004D02DB">
        <w:rPr>
          <w:rtl/>
        </w:rPr>
        <w:t>ב</w:t>
      </w:r>
      <w:hyperlink r:id="rId29" w:history="1">
        <w:r w:rsidR="0033683F" w:rsidRPr="0033683F">
          <w:rPr>
            <w:color w:val="0000FF"/>
            <w:u w:val="single"/>
            <w:rtl/>
          </w:rPr>
          <w:t>ת"פ (מחוזי חיפה) 31862-05-13</w:t>
        </w:r>
      </w:hyperlink>
      <w:r w:rsidRPr="004D02DB">
        <w:rPr>
          <w:rtl/>
        </w:rPr>
        <w:t xml:space="preserve"> </w:t>
      </w:r>
      <w:r w:rsidRPr="004D02DB">
        <w:rPr>
          <w:rFonts w:ascii="Miriam" w:hAnsi="Miriam" w:cs="Miriam"/>
          <w:rtl/>
        </w:rPr>
        <w:t>מ"י נ' מוחמד מחאמיד</w:t>
      </w:r>
      <w:r w:rsidRPr="004D02DB">
        <w:rPr>
          <w:sz w:val="22"/>
          <w:szCs w:val="22"/>
          <w:rtl/>
        </w:rPr>
        <w:t xml:space="preserve"> </w:t>
      </w:r>
      <w:r w:rsidRPr="004D02DB">
        <w:rPr>
          <w:rtl/>
        </w:rPr>
        <w:t xml:space="preserve">(1/10/13) הוטל על נאשם צעיר, בן פחות מ-21, עונש של 21 חודשי מאסר בפועל בגין עבירה של נשיאת נשק (אקדח) שלא כדין לצד עבירה של הפרעה לשוטר בשעת מילוי תפקידו כדין. </w:t>
      </w:r>
    </w:p>
    <w:p w14:paraId="184D27FE" w14:textId="77777777" w:rsidR="009F00AD" w:rsidRPr="004D02DB" w:rsidRDefault="009F00AD" w:rsidP="009F00AD">
      <w:pPr>
        <w:pStyle w:val="aa"/>
        <w:spacing w:line="360" w:lineRule="auto"/>
        <w:jc w:val="both"/>
        <w:rPr>
          <w:rtl/>
        </w:rPr>
      </w:pPr>
    </w:p>
    <w:p w14:paraId="6304047A" w14:textId="77777777" w:rsidR="009F00AD" w:rsidRDefault="009F00AD" w:rsidP="009F00AD">
      <w:pPr>
        <w:pStyle w:val="aa"/>
        <w:numPr>
          <w:ilvl w:val="0"/>
          <w:numId w:val="1"/>
        </w:numPr>
        <w:spacing w:line="360" w:lineRule="auto"/>
        <w:jc w:val="both"/>
      </w:pPr>
      <w:r w:rsidRPr="004D02DB">
        <w:rPr>
          <w:rtl/>
        </w:rPr>
        <w:t>ב</w:t>
      </w:r>
      <w:hyperlink r:id="rId30" w:history="1">
        <w:r w:rsidR="0033683F" w:rsidRPr="0033683F">
          <w:rPr>
            <w:color w:val="0000FF"/>
            <w:u w:val="single"/>
            <w:rtl/>
          </w:rPr>
          <w:t>ת"פ (מחוזי חיפה) 3451-02-14</w:t>
        </w:r>
      </w:hyperlink>
      <w:r w:rsidRPr="004D02DB">
        <w:rPr>
          <w:rtl/>
        </w:rPr>
        <w:t xml:space="preserve"> </w:t>
      </w:r>
      <w:r w:rsidRPr="004D02DB">
        <w:rPr>
          <w:rFonts w:ascii="Miriam" w:hAnsi="Miriam" w:cs="Miriam"/>
          <w:rtl/>
        </w:rPr>
        <w:t>מדינת ישראל נ' עבד אלעאל</w:t>
      </w:r>
      <w:r w:rsidRPr="004D02DB">
        <w:rPr>
          <w:sz w:val="22"/>
          <w:szCs w:val="22"/>
          <w:rtl/>
        </w:rPr>
        <w:t xml:space="preserve"> </w:t>
      </w:r>
      <w:r w:rsidRPr="004D02DB">
        <w:rPr>
          <w:rtl/>
        </w:rPr>
        <w:t xml:space="preserve">(23/9/14) הושת על נאשם בן 21 בעל עבר נקי שהורשע, לאחר שמיעת ראיות, בביצוע עבירות של נשיאת והחזקת נשק (תת מקלע מאולתר ובתוכו מחסנית וכדורים), לצד עבירה של הפרעה לשוטר במילוי תפקידו כדין, עונש של 18 חודשי מאסר בפועל, וכן ענישה נלווית. </w:t>
      </w:r>
    </w:p>
    <w:p w14:paraId="2C2CA7EB" w14:textId="77777777" w:rsidR="009F00AD" w:rsidRDefault="009F00AD" w:rsidP="009F00AD">
      <w:pPr>
        <w:pStyle w:val="aa"/>
        <w:rPr>
          <w:rtl/>
        </w:rPr>
      </w:pPr>
    </w:p>
    <w:p w14:paraId="4832B5EA" w14:textId="77777777" w:rsidR="009F00AD" w:rsidRDefault="009F00AD" w:rsidP="009F00AD">
      <w:pPr>
        <w:pStyle w:val="aa"/>
        <w:numPr>
          <w:ilvl w:val="0"/>
          <w:numId w:val="1"/>
        </w:numPr>
        <w:spacing w:line="360" w:lineRule="auto"/>
        <w:jc w:val="both"/>
      </w:pPr>
      <w:r>
        <w:rPr>
          <w:rFonts w:hint="cs"/>
          <w:rtl/>
        </w:rPr>
        <w:t>ב</w:t>
      </w:r>
      <w:hyperlink r:id="rId31" w:history="1">
        <w:r w:rsidR="0033683F" w:rsidRPr="0033683F">
          <w:rPr>
            <w:color w:val="0000FF"/>
            <w:u w:val="single"/>
            <w:rtl/>
          </w:rPr>
          <w:t>ת"פ (מחוזי ירושלים) 17520-03-14</w:t>
        </w:r>
      </w:hyperlink>
      <w:r>
        <w:rPr>
          <w:rFonts w:hint="cs"/>
          <w:rtl/>
        </w:rPr>
        <w:t xml:space="preserve"> </w:t>
      </w:r>
      <w:r w:rsidRPr="00787181">
        <w:rPr>
          <w:rFonts w:ascii="Miriam" w:hAnsi="Miriam" w:cs="Miriam"/>
          <w:rtl/>
        </w:rPr>
        <w:t>מדינת ישראל נ' אבו אלהווה</w:t>
      </w:r>
      <w:r>
        <w:rPr>
          <w:rFonts w:ascii="Miriam" w:hAnsi="Miriam" w:cs="Miriam" w:hint="cs"/>
          <w:rtl/>
        </w:rPr>
        <w:t xml:space="preserve"> </w:t>
      </w:r>
      <w:r w:rsidRPr="00787181">
        <w:rPr>
          <w:rFonts w:ascii="David" w:hAnsi="David"/>
          <w:rtl/>
        </w:rPr>
        <w:t>(31/12/14)</w:t>
      </w:r>
      <w:r>
        <w:rPr>
          <w:rFonts w:ascii="David" w:hAnsi="David" w:hint="cs"/>
          <w:rtl/>
        </w:rPr>
        <w:t xml:space="preserve"> גזר בית המשפט המחוזי בירושלים על הנאשם עונש שעיקרו מאסר בפועל בן 20 חודשים לריצוי בפועל, בגין ביצועה של עבירה שעניינה הובלת נשק (תת מקלע מאולתר). </w:t>
      </w:r>
    </w:p>
    <w:p w14:paraId="5C79C027" w14:textId="77777777" w:rsidR="009F00AD" w:rsidRDefault="009F00AD" w:rsidP="009F00AD">
      <w:pPr>
        <w:pStyle w:val="aa"/>
        <w:rPr>
          <w:rtl/>
        </w:rPr>
      </w:pPr>
    </w:p>
    <w:p w14:paraId="45CD7275" w14:textId="77777777" w:rsidR="009F00AD" w:rsidRDefault="009F00AD" w:rsidP="009F00AD">
      <w:pPr>
        <w:pStyle w:val="aa"/>
        <w:numPr>
          <w:ilvl w:val="0"/>
          <w:numId w:val="1"/>
        </w:numPr>
        <w:spacing w:line="360" w:lineRule="auto"/>
        <w:jc w:val="both"/>
      </w:pPr>
      <w:r>
        <w:rPr>
          <w:rFonts w:hint="cs"/>
          <w:rtl/>
        </w:rPr>
        <w:t>ב</w:t>
      </w:r>
      <w:hyperlink r:id="rId32" w:history="1">
        <w:r w:rsidR="0033683F" w:rsidRPr="0033683F">
          <w:rPr>
            <w:color w:val="0000FF"/>
            <w:u w:val="single"/>
            <w:rtl/>
          </w:rPr>
          <w:t>ת"פ (מחוזי באר שבע) 4338-04-13</w:t>
        </w:r>
      </w:hyperlink>
      <w:r>
        <w:rPr>
          <w:rFonts w:hint="cs"/>
          <w:rtl/>
        </w:rPr>
        <w:t xml:space="preserve"> </w:t>
      </w:r>
      <w:r w:rsidRPr="007F1C7C">
        <w:rPr>
          <w:rFonts w:ascii="Miriam" w:hAnsi="Miriam" w:cs="Miriam"/>
          <w:rtl/>
        </w:rPr>
        <w:t>מדינת ישראל נ' אביעוז</w:t>
      </w:r>
      <w:r>
        <w:rPr>
          <w:rFonts w:hint="cs"/>
          <w:rtl/>
        </w:rPr>
        <w:t xml:space="preserve"> (11/12/16) הושת על נאשם שהורשע, לאחר שמיעת ראיות, בעבירה של תגרה ובעבירות של נשיאת והובלת נשק </w:t>
      </w:r>
      <w:r>
        <w:rPr>
          <w:rtl/>
        </w:rPr>
        <w:t>–</w:t>
      </w:r>
      <w:r>
        <w:rPr>
          <w:rFonts w:hint="cs"/>
          <w:rtl/>
        </w:rPr>
        <w:t xml:space="preserve"> עונש של 14 חודשי מאסר בפועל, בצירוף ענישה נלווית. במקרה הנ"ל דובר בנאשם שנשא במכנסיו מאחור אקדח מסוג ברטה, טעון במחסנית מלאה בכדורים ודרוך בכדור בבית הבליעה, ובכיס מכנסיו של אותו נאשם נמצאה מחסנית נוספת מלאה בכדורים. </w:t>
      </w:r>
    </w:p>
    <w:p w14:paraId="75ACC79F" w14:textId="77777777" w:rsidR="009F00AD" w:rsidRDefault="009F00AD" w:rsidP="009F00AD">
      <w:pPr>
        <w:pStyle w:val="aa"/>
        <w:numPr>
          <w:ilvl w:val="0"/>
          <w:numId w:val="1"/>
        </w:numPr>
        <w:spacing w:line="360" w:lineRule="auto"/>
        <w:jc w:val="both"/>
      </w:pPr>
      <w:r>
        <w:rPr>
          <w:rFonts w:hint="cs"/>
          <w:rtl/>
        </w:rPr>
        <w:t>ב</w:t>
      </w:r>
      <w:hyperlink r:id="rId33" w:history="1">
        <w:r w:rsidR="0033683F" w:rsidRPr="0033683F">
          <w:rPr>
            <w:color w:val="0000FF"/>
            <w:u w:val="single"/>
            <w:rtl/>
          </w:rPr>
          <w:t>ת"פ (מחוזי מרכז-לוד) 67195-03-16</w:t>
        </w:r>
      </w:hyperlink>
      <w:r>
        <w:rPr>
          <w:rFonts w:hint="cs"/>
          <w:rtl/>
        </w:rPr>
        <w:t xml:space="preserve"> </w:t>
      </w:r>
      <w:r w:rsidRPr="007F1C7C">
        <w:rPr>
          <w:rFonts w:ascii="Miriam" w:hAnsi="Miriam" w:cs="Miriam"/>
          <w:rtl/>
        </w:rPr>
        <w:t>מדינת ישראל נ' אזברגה</w:t>
      </w:r>
      <w:r>
        <w:rPr>
          <w:rFonts w:hint="cs"/>
          <w:rtl/>
        </w:rPr>
        <w:t xml:space="preserve"> (13/12/16), הורשע נאשם על פי הודאתו בביצוע עבירות של נשיאת והובלת נשק. אותו נאשם נשא ברכב בו נהג אקדח ובסמוך אליו מחסנית מלאה בכדורים. בית המשפט קבע מתחם עונש הנע בין 16 ל-36 חודשי מאסר בפועל. דובר בנאשם שהיה בשנות ה-20, ללא עבר פלילי.  שירות המבחן בא לגביו בהמלצה שיקומית ולגזירת עונש של מאסר בפועל בעבודות שירות. בית המשפט החליט לחרוג ממתחם העונש ההולם משיקולים שיקום והשית על אותו נאשם עונש שעיקרו 12 חודשי מאסר בפועל. </w:t>
      </w:r>
    </w:p>
    <w:p w14:paraId="007305CB" w14:textId="77777777" w:rsidR="009F00AD" w:rsidRDefault="009F00AD" w:rsidP="009F00AD">
      <w:pPr>
        <w:pStyle w:val="aa"/>
        <w:rPr>
          <w:rtl/>
        </w:rPr>
      </w:pPr>
    </w:p>
    <w:p w14:paraId="57B1E6EE" w14:textId="77777777" w:rsidR="009F00AD" w:rsidRDefault="009F00AD" w:rsidP="009F00AD">
      <w:pPr>
        <w:pStyle w:val="aa"/>
        <w:numPr>
          <w:ilvl w:val="0"/>
          <w:numId w:val="1"/>
        </w:numPr>
        <w:spacing w:line="360" w:lineRule="auto"/>
        <w:jc w:val="both"/>
      </w:pPr>
      <w:r>
        <w:rPr>
          <w:rFonts w:hint="cs"/>
          <w:rtl/>
        </w:rPr>
        <w:t>ב</w:t>
      </w:r>
      <w:hyperlink r:id="rId34" w:history="1">
        <w:r w:rsidR="0033683F" w:rsidRPr="0033683F">
          <w:rPr>
            <w:color w:val="0000FF"/>
            <w:u w:val="single"/>
            <w:rtl/>
          </w:rPr>
          <w:t>ת"פ 31034-06-17</w:t>
        </w:r>
      </w:hyperlink>
      <w:r>
        <w:rPr>
          <w:rFonts w:hint="cs"/>
          <w:rtl/>
        </w:rPr>
        <w:t xml:space="preserve"> (מחוזי חיפה) </w:t>
      </w:r>
      <w:r w:rsidRPr="00080CFE">
        <w:rPr>
          <w:rFonts w:ascii="Miriam" w:hAnsi="Miriam" w:cs="Miriam"/>
          <w:rtl/>
        </w:rPr>
        <w:t>מדינת ישראל נ' מסרי</w:t>
      </w:r>
      <w:r>
        <w:rPr>
          <w:rFonts w:hint="cs"/>
          <w:rtl/>
        </w:rPr>
        <w:t xml:space="preserve"> (17/4/18), אליו הפנתה המאשימה, עסקינן בנאשם בעל עבר נקי, שהורשע מכוח הודאתו בביצוע עבירה של נשיאת נשק מסוג תת-מקלע מאולתר ובתוכו מחסנית ובה כדור אחד, באזור מגורים, ועליו הושת עונש של 18 חודשי מאסר בפועל, לצד רכיבי  ענישה של מאסר מותנה וקנס בסך 3,000 ₪. בית המשפט קבע בתיק הנ"ל מתחם עונש הולם הנע בין 14-36 חודשי מאסר בפועל. </w:t>
      </w:r>
    </w:p>
    <w:p w14:paraId="5EF51C6A" w14:textId="77777777" w:rsidR="009F00AD" w:rsidRDefault="009F00AD" w:rsidP="009F00AD">
      <w:pPr>
        <w:pStyle w:val="aa"/>
        <w:spacing w:line="360" w:lineRule="auto"/>
        <w:jc w:val="both"/>
      </w:pPr>
    </w:p>
    <w:p w14:paraId="7C4FFFA5" w14:textId="77777777" w:rsidR="009F00AD" w:rsidRDefault="009F00AD" w:rsidP="009F00AD">
      <w:pPr>
        <w:spacing w:line="360" w:lineRule="auto"/>
        <w:jc w:val="both"/>
        <w:rPr>
          <w:rtl/>
        </w:rPr>
      </w:pPr>
      <w:r>
        <w:rPr>
          <w:rFonts w:hint="cs"/>
          <w:rtl/>
        </w:rPr>
        <w:t>19.</w:t>
      </w:r>
      <w:r>
        <w:rPr>
          <w:rFonts w:hint="cs"/>
          <w:rtl/>
        </w:rPr>
        <w:tab/>
        <w:t>לאחר  ששקלתי את הערך החברתי שנפגע כתוצאה מביצוע העבירה, את נסיבות ביצועה ואת מדיניות הענישה הנהוגה, לרבות הפסיקה אליה הפנה כל אחד מהצדדים, אני בדעה כי מתחם העונש ההולם בתיק זה נע בין עונש של 14 חודשי מאסר בפועל לבין עונש של 36  חודשי מאסר בפועל. כאן אציין כי נוכח התנהלותו של הנאשם בפני שרות המבחן והעדר המוטיבציה שלו להשתלב בהליך טיפולי, הרי שאין מקום לסטות בעניינו ממתחם העונש ההולם מטעמים הנעוצים בשיקומו מה גם ששרות המבחן נמנע ממתן המלצה טיפולית.</w:t>
      </w:r>
    </w:p>
    <w:p w14:paraId="240F67C9" w14:textId="77777777" w:rsidR="009F00AD" w:rsidRDefault="009F00AD" w:rsidP="009F00AD">
      <w:pPr>
        <w:spacing w:line="360" w:lineRule="auto"/>
        <w:jc w:val="both"/>
        <w:rPr>
          <w:rtl/>
        </w:rPr>
      </w:pPr>
    </w:p>
    <w:p w14:paraId="7E0D53D2" w14:textId="77777777" w:rsidR="009F00AD" w:rsidRDefault="009F00AD" w:rsidP="009F00AD">
      <w:pPr>
        <w:spacing w:line="360" w:lineRule="auto"/>
        <w:jc w:val="both"/>
        <w:rPr>
          <w:rtl/>
        </w:rPr>
      </w:pPr>
      <w:r>
        <w:rPr>
          <w:rFonts w:hint="cs"/>
          <w:rtl/>
        </w:rPr>
        <w:t>20.</w:t>
      </w:r>
      <w:r>
        <w:rPr>
          <w:rFonts w:hint="cs"/>
          <w:rtl/>
        </w:rPr>
        <w:tab/>
        <w:t xml:space="preserve">במסגרת הנסיבות שאינן קשורות בביצוע העבירה אציין את הודאת הנאשם בהזדמנות הראשונה בעובדות כתב האישום המתוקן, הודאה אשר חסכה הן מזמנו היקר של בית המשפט והן ובעיקר את העדת עדי התביעה, לרבות הקטין שותפו של הנאשם. כאן אציין כי לא נהירה לי טענת הסנגור לעניין האפליה  של המדינה בין הנאשם ובין הקטין. ב"כ המאשימה מסרה הסבר מניח את הדעת לגבי שחרורו של הקטין ממעצר בציינה כי הקטין שוחרר על </w:t>
      </w:r>
      <w:r>
        <w:rPr>
          <w:rtl/>
        </w:rPr>
        <w:t>–</w:t>
      </w:r>
      <w:r>
        <w:rPr>
          <w:rFonts w:hint="cs"/>
          <w:rtl/>
        </w:rPr>
        <w:t>ידי בית משפט כבר בשלב שלפני הגשת כתב האישום. בכל מקרה, ברי כי אין דינו של נאשם בגיר, אף אם הוא בגיר-צעיר, כדינו של קטין.</w:t>
      </w:r>
    </w:p>
    <w:p w14:paraId="60559C45" w14:textId="77777777" w:rsidR="009F00AD" w:rsidRDefault="009F00AD" w:rsidP="009F00AD">
      <w:pPr>
        <w:spacing w:line="360" w:lineRule="auto"/>
        <w:jc w:val="both"/>
        <w:rPr>
          <w:rtl/>
        </w:rPr>
      </w:pPr>
    </w:p>
    <w:p w14:paraId="4F58DC01" w14:textId="77777777" w:rsidR="009F00AD" w:rsidRDefault="009F00AD" w:rsidP="009F00AD">
      <w:pPr>
        <w:spacing w:line="360" w:lineRule="auto"/>
        <w:jc w:val="both"/>
        <w:rPr>
          <w:rtl/>
        </w:rPr>
      </w:pPr>
      <w:r>
        <w:rPr>
          <w:rFonts w:hint="cs"/>
          <w:rtl/>
        </w:rPr>
        <w:t>21.</w:t>
      </w:r>
      <w:r>
        <w:rPr>
          <w:rFonts w:hint="cs"/>
          <w:rtl/>
        </w:rPr>
        <w:tab/>
        <w:t>עוד אציין, לקולה, את עברו הנקי ללא רבב של הנאשם שהתנהל באורח נורמטיבי עד למועד ביצוע העבירה. בנקודה זו אוסיף את התרשמות שירות המבחן מכך שההליך הפלילי מהווה עבור הנאשם גורם מרתיע וכן אציין את הערכת השירות המבחן כי קיים סיכון נמוך להישנות התנהגות אלימה בעתיד על-ידי הנאשם ברמת חומרה נמוכה. הנאשם נטל אחריות למעשיו בפני שירות המבחן אף כי הפחית מחומרתם תוך מזעור המעשים ונטייה להסתרה. כמו כן, אזקוף לטובת הנאשם את גילו הצעיר תוך מתן הדעת, כאמור,  להתרשמות שירות המבחן ממאפייני אישיותו הילדותיים. עוד אציין לקולה את היות משפחת הנאשם משפחה תומכת ונורמטיבית.</w:t>
      </w:r>
    </w:p>
    <w:p w14:paraId="1EFD0382" w14:textId="77777777" w:rsidR="009F00AD" w:rsidRDefault="009F00AD" w:rsidP="009F00AD">
      <w:pPr>
        <w:spacing w:line="360" w:lineRule="auto"/>
        <w:jc w:val="both"/>
        <w:rPr>
          <w:rtl/>
        </w:rPr>
      </w:pPr>
    </w:p>
    <w:p w14:paraId="6B7C5057" w14:textId="77777777" w:rsidR="009F00AD" w:rsidRDefault="009F00AD" w:rsidP="009F00AD">
      <w:pPr>
        <w:spacing w:line="360" w:lineRule="auto"/>
        <w:jc w:val="both"/>
        <w:rPr>
          <w:rtl/>
        </w:rPr>
      </w:pPr>
      <w:r>
        <w:rPr>
          <w:rFonts w:hint="cs"/>
          <w:rtl/>
        </w:rPr>
        <w:t>22.</w:t>
      </w:r>
      <w:r>
        <w:rPr>
          <w:rFonts w:hint="cs"/>
          <w:rtl/>
        </w:rPr>
        <w:tab/>
        <w:t xml:space="preserve"> שקלול מכלול הטעמים שאינם קשורים בביצוע העבירה, לרבות היות הנאשם נתון במעצר באיזוק אלקטרוני במשך תקופה ממושכת של יותר משנה, מצדיק, לדידי, את קביעת עונשו של הנאשם ברף התחתון של מתחם העונש ההולם הנ"ל וזאת לצד רכיב ענישה של מאסר מותנה. אני מבכרת שלא להשית על הנאשם קנס כספי בהינתן  שליחתו למאסר של ממש לתקופה משמעותית ונוכח גילו הצעיר, כמו גם העובדה שאין עסקינן במניע כלכלי שעמד בבסיס ביצוע העבירה.</w:t>
      </w:r>
    </w:p>
    <w:p w14:paraId="1B2309B3" w14:textId="77777777" w:rsidR="009F00AD" w:rsidRDefault="009F00AD" w:rsidP="009F00AD">
      <w:pPr>
        <w:spacing w:line="360" w:lineRule="auto"/>
        <w:jc w:val="both"/>
        <w:rPr>
          <w:rtl/>
        </w:rPr>
      </w:pPr>
    </w:p>
    <w:p w14:paraId="2A37E7AE" w14:textId="77777777" w:rsidR="009F00AD" w:rsidRDefault="009F00AD" w:rsidP="009F00AD">
      <w:pPr>
        <w:spacing w:line="360" w:lineRule="auto"/>
        <w:jc w:val="both"/>
        <w:rPr>
          <w:rtl/>
        </w:rPr>
      </w:pPr>
      <w:r>
        <w:rPr>
          <w:rFonts w:hint="cs"/>
          <w:rtl/>
        </w:rPr>
        <w:t>23.</w:t>
      </w:r>
      <w:r>
        <w:rPr>
          <w:rFonts w:hint="cs"/>
          <w:rtl/>
        </w:rPr>
        <w:tab/>
        <w:t>בסיכומו של דבר, אני דנה את הנאשם כדלקמן:</w:t>
      </w:r>
    </w:p>
    <w:p w14:paraId="3DBFB4E9" w14:textId="77777777" w:rsidR="009F00AD" w:rsidRDefault="009F00AD" w:rsidP="009F00AD">
      <w:pPr>
        <w:spacing w:line="360" w:lineRule="auto"/>
        <w:jc w:val="both"/>
        <w:rPr>
          <w:rtl/>
        </w:rPr>
      </w:pPr>
    </w:p>
    <w:p w14:paraId="7E8C190B" w14:textId="77777777" w:rsidR="009F00AD" w:rsidRDefault="009F00AD" w:rsidP="009F00AD">
      <w:pPr>
        <w:pStyle w:val="aa"/>
        <w:numPr>
          <w:ilvl w:val="1"/>
          <w:numId w:val="2"/>
        </w:numPr>
        <w:spacing w:line="360" w:lineRule="auto"/>
        <w:jc w:val="both"/>
      </w:pPr>
      <w:r>
        <w:rPr>
          <w:rFonts w:hint="cs"/>
          <w:rtl/>
        </w:rPr>
        <w:t>למאסר בפועל לתקופה של 14 חודשים, בניכוי ימי מעצרו- מיום 6/4/19 ועד ליום 27/5/19.</w:t>
      </w:r>
    </w:p>
    <w:p w14:paraId="5FA9C95C" w14:textId="77777777" w:rsidR="009F00AD" w:rsidRDefault="009F00AD" w:rsidP="009F00AD">
      <w:pPr>
        <w:pStyle w:val="aa"/>
        <w:spacing w:line="360" w:lineRule="auto"/>
        <w:ind w:left="1068"/>
        <w:jc w:val="both"/>
      </w:pPr>
    </w:p>
    <w:p w14:paraId="0F9EACC3" w14:textId="77777777" w:rsidR="009F00AD" w:rsidRDefault="009F00AD" w:rsidP="009F00AD">
      <w:pPr>
        <w:pStyle w:val="aa"/>
        <w:numPr>
          <w:ilvl w:val="1"/>
          <w:numId w:val="2"/>
        </w:numPr>
        <w:spacing w:line="360" w:lineRule="auto"/>
        <w:jc w:val="both"/>
      </w:pPr>
      <w:r>
        <w:rPr>
          <w:rtl/>
        </w:rPr>
        <w:t xml:space="preserve">אני דנה את הנאשם למאסר על תנאי לתקופה של 12 חודשים למשך 3 שנים, והתנאי הוא לבל יבצע הנאשם עבירה מסוג פשע לפי </w:t>
      </w:r>
      <w:hyperlink r:id="rId35" w:history="1">
        <w:r w:rsidR="00470E4D" w:rsidRPr="00470E4D">
          <w:rPr>
            <w:rStyle w:val="Hyperlink"/>
            <w:rtl/>
          </w:rPr>
          <w:t>סעיף 144</w:t>
        </w:r>
      </w:hyperlink>
      <w:r>
        <w:rPr>
          <w:rtl/>
        </w:rPr>
        <w:t xml:space="preserve"> ל</w:t>
      </w:r>
      <w:hyperlink r:id="rId36" w:history="1">
        <w:r w:rsidR="0033683F" w:rsidRPr="0033683F">
          <w:rPr>
            <w:color w:val="0000FF"/>
            <w:u w:val="single"/>
            <w:rtl/>
          </w:rPr>
          <w:t>חוק העונשין</w:t>
        </w:r>
      </w:hyperlink>
      <w:r>
        <w:rPr>
          <w:rtl/>
        </w:rPr>
        <w:t xml:space="preserve"> התשל"ז-1977. </w:t>
      </w:r>
    </w:p>
    <w:p w14:paraId="55565C40" w14:textId="77777777" w:rsidR="009F00AD" w:rsidRDefault="009F00AD" w:rsidP="009F00AD">
      <w:pPr>
        <w:pStyle w:val="aa"/>
        <w:spacing w:line="360" w:lineRule="auto"/>
        <w:ind w:left="1210"/>
        <w:jc w:val="both"/>
      </w:pPr>
    </w:p>
    <w:p w14:paraId="6D1DF1EB" w14:textId="77777777" w:rsidR="009F00AD" w:rsidRDefault="009F00AD" w:rsidP="009F00AD">
      <w:pPr>
        <w:pStyle w:val="aa"/>
        <w:numPr>
          <w:ilvl w:val="1"/>
          <w:numId w:val="2"/>
        </w:numPr>
        <w:spacing w:line="360" w:lineRule="auto"/>
        <w:jc w:val="both"/>
      </w:pPr>
      <w:r>
        <w:rPr>
          <w:rtl/>
        </w:rPr>
        <w:t xml:space="preserve"> אני דנה את הנאשם למאסר על תנאי לתקופה של 6 חודשים למשך 3 שנים, והתנאי הוא לבל יבצע הנאשם עבירה מסוג עוון לפי </w:t>
      </w:r>
      <w:hyperlink r:id="rId37" w:history="1">
        <w:r w:rsidR="00470E4D" w:rsidRPr="00470E4D">
          <w:rPr>
            <w:rStyle w:val="Hyperlink"/>
            <w:rtl/>
          </w:rPr>
          <w:t>סעיף 144</w:t>
        </w:r>
      </w:hyperlink>
      <w:r>
        <w:rPr>
          <w:rtl/>
        </w:rPr>
        <w:t xml:space="preserve"> ל</w:t>
      </w:r>
      <w:hyperlink r:id="rId38" w:history="1">
        <w:r w:rsidR="0033683F" w:rsidRPr="0033683F">
          <w:rPr>
            <w:color w:val="0000FF"/>
            <w:u w:val="single"/>
            <w:rtl/>
          </w:rPr>
          <w:t>חוק העונשין</w:t>
        </w:r>
      </w:hyperlink>
      <w:r>
        <w:rPr>
          <w:rtl/>
        </w:rPr>
        <w:t xml:space="preserve"> התשל"ז</w:t>
      </w:r>
      <w:r>
        <w:rPr>
          <w:rFonts w:hint="cs"/>
          <w:rtl/>
        </w:rPr>
        <w:t xml:space="preserve">-1977 ו/או עבירה של הפרעה לשוטר במילוי תפקידו כדין, לפי </w:t>
      </w:r>
      <w:hyperlink r:id="rId39" w:history="1">
        <w:r w:rsidR="00470E4D" w:rsidRPr="00470E4D">
          <w:rPr>
            <w:rStyle w:val="Hyperlink"/>
            <w:rFonts w:hint="eastAsia"/>
            <w:rtl/>
          </w:rPr>
          <w:t>סעיף</w:t>
        </w:r>
        <w:r w:rsidR="00470E4D" w:rsidRPr="00470E4D">
          <w:rPr>
            <w:rStyle w:val="Hyperlink"/>
            <w:rtl/>
          </w:rPr>
          <w:t xml:space="preserve"> 275</w:t>
        </w:r>
      </w:hyperlink>
      <w:r>
        <w:rPr>
          <w:rFonts w:hint="cs"/>
          <w:rtl/>
        </w:rPr>
        <w:t xml:space="preserve"> לחוק הנ"ל.</w:t>
      </w:r>
    </w:p>
    <w:p w14:paraId="30D6A913" w14:textId="77777777" w:rsidR="009F00AD" w:rsidRPr="00A321DA" w:rsidRDefault="009F00AD" w:rsidP="009F00AD">
      <w:pPr>
        <w:spacing w:line="360" w:lineRule="auto"/>
        <w:ind w:firstLine="720"/>
        <w:jc w:val="both"/>
        <w:rPr>
          <w:rFonts w:ascii="David" w:hAnsi="David"/>
          <w:rtl/>
        </w:rPr>
      </w:pPr>
    </w:p>
    <w:p w14:paraId="36211C8A" w14:textId="77777777" w:rsidR="009F00AD" w:rsidRPr="0017293C" w:rsidRDefault="009F00AD" w:rsidP="009F00AD">
      <w:pPr>
        <w:spacing w:line="360" w:lineRule="auto"/>
        <w:jc w:val="both"/>
        <w:rPr>
          <w:rFonts w:ascii="David" w:hAnsi="David"/>
          <w:b/>
          <w:bCs/>
          <w:u w:val="single"/>
          <w:rtl/>
        </w:rPr>
      </w:pPr>
      <w:r w:rsidRPr="0017293C">
        <w:rPr>
          <w:rFonts w:ascii="David" w:hAnsi="David" w:hint="cs"/>
          <w:b/>
          <w:bCs/>
          <w:u w:val="single"/>
          <w:rtl/>
        </w:rPr>
        <w:t>המזכירות תמציא העתק מגזר הדין לשירות המבחן.</w:t>
      </w:r>
    </w:p>
    <w:p w14:paraId="2F509D6B" w14:textId="77777777" w:rsidR="009F00AD" w:rsidRDefault="009F00AD" w:rsidP="009F00AD">
      <w:pPr>
        <w:spacing w:line="360" w:lineRule="auto"/>
        <w:jc w:val="both"/>
        <w:rPr>
          <w:rFonts w:ascii="David" w:hAnsi="David"/>
          <w:rtl/>
        </w:rPr>
      </w:pPr>
    </w:p>
    <w:p w14:paraId="42B3F00E" w14:textId="77777777" w:rsidR="009F00AD" w:rsidRPr="0017293C" w:rsidRDefault="009F00AD" w:rsidP="009F00AD">
      <w:pPr>
        <w:spacing w:line="360" w:lineRule="auto"/>
        <w:jc w:val="both"/>
        <w:rPr>
          <w:rFonts w:ascii="David" w:hAnsi="David"/>
          <w:b/>
          <w:bCs/>
          <w:rtl/>
        </w:rPr>
      </w:pPr>
      <w:r w:rsidRPr="0017293C">
        <w:rPr>
          <w:rFonts w:ascii="David" w:hAnsi="David" w:hint="cs"/>
          <w:b/>
          <w:bCs/>
          <w:rtl/>
        </w:rPr>
        <w:t>זכות ערעור לבית המשפט העליון תוך 45 יום.</w:t>
      </w:r>
    </w:p>
    <w:p w14:paraId="0C0D2F4B" w14:textId="77777777" w:rsidR="009F00AD" w:rsidRPr="006A1554" w:rsidRDefault="009F00AD" w:rsidP="009F00AD">
      <w:pPr>
        <w:spacing w:line="360" w:lineRule="auto"/>
        <w:jc w:val="both"/>
        <w:rPr>
          <w:rFonts w:ascii="David" w:hAnsi="David"/>
          <w:rtl/>
        </w:rPr>
      </w:pPr>
    </w:p>
    <w:p w14:paraId="70DBFA6E" w14:textId="77777777" w:rsidR="009F00AD" w:rsidRDefault="0033683F" w:rsidP="009F00AD">
      <w:pPr>
        <w:spacing w:line="360" w:lineRule="auto"/>
        <w:jc w:val="both"/>
        <w:rPr>
          <w:rFonts w:ascii="Arial" w:hAnsi="Arial"/>
        </w:rPr>
      </w:pPr>
      <w:bookmarkStart w:id="7" w:name="Nitan"/>
      <w:r w:rsidRPr="0033683F">
        <w:rPr>
          <w:rFonts w:ascii="Arial" w:hAnsi="Arial"/>
          <w:color w:val="FFFFFF"/>
          <w:sz w:val="2"/>
          <w:szCs w:val="2"/>
          <w:rtl/>
        </w:rPr>
        <w:t>5129371</w:t>
      </w:r>
      <w:r>
        <w:rPr>
          <w:rFonts w:ascii="Arial" w:hAnsi="Arial"/>
          <w:rtl/>
        </w:rPr>
        <w:t xml:space="preserve">ניתן היום,  ג' תמוז תש"פ, 25 ביוני 2020, במעמד ב"כ המאשימה, עו"ד אבי אור-זך,  ב"כ הנאשם </w:t>
      </w:r>
      <w:bookmarkEnd w:id="7"/>
      <w:r w:rsidR="009F00AD">
        <w:rPr>
          <w:rFonts w:ascii="Arial" w:hAnsi="Arial" w:hint="cs"/>
          <w:rtl/>
        </w:rPr>
        <w:t>עו"ד מסארווה, וכן הנאשם בעצמו.</w:t>
      </w:r>
    </w:p>
    <w:p w14:paraId="422331EA" w14:textId="77777777" w:rsidR="009F00AD" w:rsidRPr="0033683F" w:rsidRDefault="0033683F" w:rsidP="009F00AD">
      <w:pPr>
        <w:jc w:val="both"/>
        <w:rPr>
          <w:rFonts w:cs="FrankRuehl"/>
          <w:color w:val="FFFFFF"/>
          <w:sz w:val="2"/>
          <w:szCs w:val="2"/>
          <w:rtl/>
        </w:rPr>
      </w:pPr>
      <w:r w:rsidRPr="0033683F">
        <w:rPr>
          <w:rFonts w:cs="FrankRuehl"/>
          <w:color w:val="FFFFFF"/>
          <w:sz w:val="2"/>
          <w:szCs w:val="2"/>
          <w:rtl/>
        </w:rPr>
        <w:t>54678313</w:t>
      </w:r>
    </w:p>
    <w:p w14:paraId="5B3EC3D6" w14:textId="77777777" w:rsidR="009F00AD" w:rsidRDefault="009F00AD" w:rsidP="0033683F">
      <w:pPr>
        <w:jc w:val="both"/>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11EBBCD1" w14:textId="77777777" w:rsidR="009F00AD" w:rsidRDefault="009F00AD" w:rsidP="009F00AD">
      <w:pPr>
        <w:jc w:val="both"/>
        <w:rPr>
          <w:rFonts w:ascii="Arial" w:hAnsi="Arial" w:cs="FrankRuehl"/>
          <w:sz w:val="28"/>
          <w:szCs w:val="28"/>
          <w:rtl/>
        </w:rPr>
      </w:pPr>
    </w:p>
    <w:p w14:paraId="1BB749C3" w14:textId="77777777" w:rsidR="009F00AD" w:rsidRDefault="009F00AD" w:rsidP="009F00AD">
      <w:pPr>
        <w:jc w:val="both"/>
        <w:rPr>
          <w:rFonts w:cs="FrankRuehl"/>
          <w:sz w:val="28"/>
          <w:szCs w:val="28"/>
          <w:rtl/>
        </w:rPr>
      </w:pPr>
    </w:p>
    <w:p w14:paraId="61957B48" w14:textId="77777777" w:rsidR="009F00AD" w:rsidRPr="00470E4D" w:rsidRDefault="00470E4D" w:rsidP="009F00AD">
      <w:pPr>
        <w:pStyle w:val="a4"/>
        <w:jc w:val="both"/>
        <w:rPr>
          <w:color w:val="FFFFFF"/>
          <w:sz w:val="2"/>
          <w:szCs w:val="2"/>
          <w:rtl/>
        </w:rPr>
      </w:pPr>
      <w:r w:rsidRPr="00470E4D">
        <w:rPr>
          <w:color w:val="FFFFFF"/>
          <w:sz w:val="2"/>
          <w:szCs w:val="2"/>
          <w:rtl/>
        </w:rPr>
        <w:t>5129371</w:t>
      </w:r>
    </w:p>
    <w:p w14:paraId="3EA750E6" w14:textId="77777777" w:rsidR="007B3344" w:rsidRPr="00470E4D" w:rsidRDefault="00470E4D" w:rsidP="0033683F">
      <w:pPr>
        <w:keepNext/>
        <w:rPr>
          <w:rFonts w:ascii="David" w:hAnsi="David"/>
          <w:color w:val="FFFFFF"/>
          <w:sz w:val="2"/>
          <w:szCs w:val="2"/>
          <w:rtl/>
        </w:rPr>
      </w:pPr>
      <w:r w:rsidRPr="00470E4D">
        <w:rPr>
          <w:rFonts w:ascii="David" w:hAnsi="David"/>
          <w:color w:val="FFFFFF"/>
          <w:sz w:val="2"/>
          <w:szCs w:val="2"/>
          <w:rtl/>
        </w:rPr>
        <w:t>54678313</w:t>
      </w:r>
    </w:p>
    <w:p w14:paraId="33D755EE" w14:textId="77777777" w:rsidR="0033683F" w:rsidRDefault="0033683F" w:rsidP="0033683F">
      <w:pPr>
        <w:rPr>
          <w:rtl/>
        </w:rPr>
      </w:pPr>
    </w:p>
    <w:p w14:paraId="67086526" w14:textId="77777777" w:rsidR="0033683F" w:rsidRDefault="0033683F" w:rsidP="0033683F">
      <w:pPr>
        <w:jc w:val="center"/>
        <w:rPr>
          <w:color w:val="0000FF"/>
          <w:u w:val="single"/>
        </w:rPr>
      </w:pPr>
      <w:hyperlink r:id="rId40" w:history="1">
        <w:r>
          <w:rPr>
            <w:color w:val="0000FF"/>
            <w:u w:val="single"/>
            <w:rtl/>
          </w:rPr>
          <w:t>בעניין עריכה ושינויים במסמכי פסיקה, חקיקה ועוד באתר נבו – הקש כאן</w:t>
        </w:r>
      </w:hyperlink>
    </w:p>
    <w:p w14:paraId="481D4CE7" w14:textId="77777777" w:rsidR="00470E4D" w:rsidRPr="00470E4D" w:rsidRDefault="00470E4D" w:rsidP="00470E4D">
      <w:pPr>
        <w:keepNext/>
        <w:rPr>
          <w:rFonts w:ascii="David" w:hAnsi="David"/>
          <w:color w:val="000000"/>
          <w:sz w:val="22"/>
          <w:szCs w:val="22"/>
          <w:rtl/>
        </w:rPr>
      </w:pPr>
    </w:p>
    <w:p w14:paraId="271C1B8D" w14:textId="77777777" w:rsidR="00470E4D" w:rsidRPr="00470E4D" w:rsidRDefault="00470E4D" w:rsidP="00470E4D">
      <w:pPr>
        <w:keepNext/>
        <w:rPr>
          <w:rFonts w:ascii="David" w:hAnsi="David"/>
          <w:color w:val="000000"/>
          <w:sz w:val="22"/>
          <w:szCs w:val="22"/>
          <w:rtl/>
        </w:rPr>
      </w:pPr>
      <w:r w:rsidRPr="00470E4D">
        <w:rPr>
          <w:rFonts w:ascii="David" w:hAnsi="David"/>
          <w:color w:val="000000"/>
          <w:sz w:val="22"/>
          <w:szCs w:val="22"/>
          <w:rtl/>
        </w:rPr>
        <w:t>רונית בש 54678313-/</w:t>
      </w:r>
      <w:r w:rsidR="00CC051F">
        <w:rPr>
          <w:rFonts w:ascii="David" w:hAnsi="David" w:hint="cs"/>
          <w:color w:val="000000"/>
          <w:sz w:val="22"/>
          <w:szCs w:val="22"/>
          <w:rtl/>
        </w:rPr>
        <w:t xml:space="preserve">             </w:t>
      </w:r>
    </w:p>
    <w:p w14:paraId="7C59BDB2" w14:textId="77777777" w:rsidR="0033683F" w:rsidRPr="0033683F" w:rsidRDefault="00470E4D" w:rsidP="00470E4D">
      <w:pPr>
        <w:rPr>
          <w:color w:val="0000FF"/>
          <w:u w:val="single"/>
        </w:rPr>
      </w:pPr>
      <w:r w:rsidRPr="00470E4D">
        <w:rPr>
          <w:color w:val="000000"/>
          <w:u w:val="single"/>
          <w:rtl/>
        </w:rPr>
        <w:t>נוסח מסמך זה כפוף לשינויי ניסוח ועריכה</w:t>
      </w:r>
    </w:p>
    <w:sectPr w:rsidR="0033683F" w:rsidRPr="0033683F" w:rsidSect="00470E4D">
      <w:headerReference w:type="even" r:id="rId41"/>
      <w:headerReference w:type="default" r:id="rId42"/>
      <w:footerReference w:type="even" r:id="rId43"/>
      <w:footerReference w:type="default" r:id="rId4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5C1B1" w14:textId="77777777" w:rsidR="00E92DB0" w:rsidRDefault="00E92DB0" w:rsidP="003271EE">
      <w:r>
        <w:separator/>
      </w:r>
    </w:p>
  </w:endnote>
  <w:endnote w:type="continuationSeparator" w:id="0">
    <w:p w14:paraId="5BC4FC00" w14:textId="77777777" w:rsidR="00E92DB0" w:rsidRDefault="00E92DB0" w:rsidP="003271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32422" w14:textId="77777777" w:rsidR="00470E4D" w:rsidRDefault="00470E4D" w:rsidP="00470E4D">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26DE033" w14:textId="77777777" w:rsidR="00B75F0C" w:rsidRPr="00470E4D" w:rsidRDefault="00470E4D" w:rsidP="00470E4D">
    <w:pPr>
      <w:pStyle w:val="a6"/>
      <w:pBdr>
        <w:top w:val="single" w:sz="4" w:space="1" w:color="auto"/>
        <w:between w:val="single" w:sz="4" w:space="0" w:color="auto"/>
      </w:pBdr>
      <w:spacing w:after="60"/>
      <w:jc w:val="center"/>
      <w:rPr>
        <w:rFonts w:ascii="FrankRuehl" w:hAnsi="FrankRuehl" w:cs="FrankRuehl"/>
        <w:color w:val="000000"/>
      </w:rPr>
    </w:pPr>
    <w:r w:rsidRPr="00470E4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4DFC7" w14:textId="77777777" w:rsidR="00470E4D" w:rsidRDefault="00470E4D" w:rsidP="00470E4D">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73171">
      <w:rPr>
        <w:rFonts w:ascii="FrankRuehl" w:hAnsi="FrankRuehl" w:cs="FrankRuehl"/>
        <w:noProof/>
        <w:rtl/>
      </w:rPr>
      <w:t>1</w:t>
    </w:r>
    <w:r>
      <w:rPr>
        <w:rFonts w:ascii="FrankRuehl" w:hAnsi="FrankRuehl" w:cs="FrankRuehl"/>
        <w:rtl/>
      </w:rPr>
      <w:fldChar w:fldCharType="end"/>
    </w:r>
  </w:p>
  <w:p w14:paraId="4569CBC1" w14:textId="77777777" w:rsidR="00B75F0C" w:rsidRPr="00470E4D" w:rsidRDefault="00470E4D" w:rsidP="00470E4D">
    <w:pPr>
      <w:pStyle w:val="a6"/>
      <w:pBdr>
        <w:top w:val="single" w:sz="4" w:space="1" w:color="auto"/>
        <w:between w:val="single" w:sz="4" w:space="0" w:color="auto"/>
      </w:pBdr>
      <w:spacing w:after="60"/>
      <w:jc w:val="center"/>
      <w:rPr>
        <w:rFonts w:ascii="FrankRuehl" w:hAnsi="FrankRuehl" w:cs="FrankRuehl"/>
        <w:color w:val="000000"/>
      </w:rPr>
    </w:pPr>
    <w:r w:rsidRPr="00470E4D">
      <w:rPr>
        <w:rFonts w:ascii="FrankRuehl" w:hAnsi="FrankRuehl" w:cs="FrankRuehl"/>
        <w:color w:val="000000"/>
      </w:rPr>
      <w:pict w14:anchorId="0D3C4E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FC38D" w14:textId="77777777" w:rsidR="00E92DB0" w:rsidRDefault="00E92DB0" w:rsidP="003271EE">
      <w:r>
        <w:separator/>
      </w:r>
    </w:p>
  </w:footnote>
  <w:footnote w:type="continuationSeparator" w:id="0">
    <w:p w14:paraId="388A4FC4" w14:textId="77777777" w:rsidR="00E92DB0" w:rsidRDefault="00E92DB0" w:rsidP="003271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8E32F" w14:textId="77777777" w:rsidR="0033683F" w:rsidRPr="00470E4D" w:rsidRDefault="00470E4D" w:rsidP="00470E4D">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27294-04-19</w:t>
    </w:r>
    <w:r>
      <w:rPr>
        <w:rFonts w:ascii="David" w:hAnsi="David"/>
        <w:color w:val="000000"/>
        <w:sz w:val="22"/>
        <w:szCs w:val="22"/>
        <w:rtl/>
      </w:rPr>
      <w:tab/>
      <w:t xml:space="preserve"> מדינת ישראל נ' נור עוויסאת</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7D39E" w14:textId="77777777" w:rsidR="0033683F" w:rsidRPr="00470E4D" w:rsidRDefault="00470E4D" w:rsidP="00470E4D">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27294-04-19</w:t>
    </w:r>
    <w:r>
      <w:rPr>
        <w:rFonts w:ascii="David" w:hAnsi="David"/>
        <w:color w:val="000000"/>
        <w:sz w:val="22"/>
        <w:szCs w:val="22"/>
        <w:rtl/>
      </w:rPr>
      <w:tab/>
      <w:t xml:space="preserve"> מדינת ישראל נ' נור עוויסאת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65832"/>
    <w:multiLevelType w:val="hybridMultilevel"/>
    <w:tmpl w:val="1E529C96"/>
    <w:lvl w:ilvl="0" w:tplc="29AE7A9C">
      <w:start w:val="7"/>
      <w:numFmt w:val="bullet"/>
      <w:lvlText w:val=""/>
      <w:lvlJc w:val="left"/>
      <w:pPr>
        <w:ind w:left="720" w:hanging="360"/>
      </w:pPr>
      <w:rPr>
        <w:rFonts w:ascii="Symbol" w:eastAsia="Times New Roman"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C5E6DF5"/>
    <w:multiLevelType w:val="hybridMultilevel"/>
    <w:tmpl w:val="763EAC68"/>
    <w:lvl w:ilvl="0" w:tplc="51CA0740">
      <w:start w:val="1"/>
      <w:numFmt w:val="decimal"/>
      <w:pStyle w:val="a"/>
      <w:lvlText w:val="%1."/>
      <w:lvlJc w:val="left"/>
      <w:pPr>
        <w:tabs>
          <w:tab w:val="num" w:pos="720"/>
        </w:tabs>
        <w:ind w:left="720" w:hanging="720"/>
      </w:pPr>
      <w:rPr>
        <w:rFonts w:cs="Times New Roman"/>
      </w:rPr>
    </w:lvl>
    <w:lvl w:ilvl="1" w:tplc="04090001">
      <w:start w:val="1"/>
      <w:numFmt w:val="bullet"/>
      <w:lvlText w:val=""/>
      <w:lvlJc w:val="left"/>
      <w:pPr>
        <w:tabs>
          <w:tab w:val="num" w:pos="1068"/>
        </w:tabs>
        <w:ind w:left="1068" w:hanging="360"/>
      </w:pPr>
      <w:rPr>
        <w:rFonts w:ascii="Symbol" w:hAnsi="Symbol" w:hint="default"/>
        <w:b w:val="0"/>
        <w:bCs w:val="0"/>
      </w:rPr>
    </w:lvl>
    <w:lvl w:ilvl="2" w:tplc="C3B0CB38">
      <w:start w:val="1"/>
      <w:numFmt w:val="decimal"/>
      <w:lvlText w:val="(%3)"/>
      <w:lvlJc w:val="left"/>
      <w:pPr>
        <w:tabs>
          <w:tab w:val="num" w:pos="2340"/>
        </w:tabs>
        <w:ind w:left="234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16cid:durableId="1746412479">
    <w:abstractNumId w:val="0"/>
  </w:num>
  <w:num w:numId="2" w16cid:durableId="5667667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F00AD"/>
    <w:rsid w:val="001B5A3B"/>
    <w:rsid w:val="003271EE"/>
    <w:rsid w:val="0033683F"/>
    <w:rsid w:val="00470E4D"/>
    <w:rsid w:val="00773171"/>
    <w:rsid w:val="007B3344"/>
    <w:rsid w:val="00836697"/>
    <w:rsid w:val="009F00AD"/>
    <w:rsid w:val="00AC494B"/>
    <w:rsid w:val="00B75F0C"/>
    <w:rsid w:val="00C73AAE"/>
    <w:rsid w:val="00CC051F"/>
    <w:rsid w:val="00E92DB0"/>
    <w:rsid w:val="00EE06B9"/>
    <w:rsid w:val="00EE7D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724BD1C"/>
  <w15:chartTrackingRefBased/>
  <w15:docId w15:val="{35F30E11-F283-4929-BE04-A3279607E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9F00AD"/>
    <w:pPr>
      <w:bidi/>
    </w:pPr>
    <w:rPr>
      <w:rFonts w:ascii="Times New Roman" w:eastAsia="Times New Roman" w:hAnsi="Times New Roman" w:cs="David"/>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9F00AD"/>
    <w:pPr>
      <w:tabs>
        <w:tab w:val="center" w:pos="4153"/>
        <w:tab w:val="right" w:pos="8306"/>
      </w:tabs>
    </w:pPr>
  </w:style>
  <w:style w:type="character" w:customStyle="1" w:styleId="a5">
    <w:name w:val="כותרת עליונה תו"/>
    <w:link w:val="a4"/>
    <w:rsid w:val="009F00AD"/>
    <w:rPr>
      <w:rFonts w:ascii="Times New Roman" w:eastAsia="Times New Roman" w:hAnsi="Times New Roman" w:cs="David"/>
      <w:sz w:val="24"/>
      <w:szCs w:val="24"/>
    </w:rPr>
  </w:style>
  <w:style w:type="paragraph" w:styleId="a6">
    <w:name w:val="footer"/>
    <w:basedOn w:val="a0"/>
    <w:link w:val="a7"/>
    <w:rsid w:val="009F00AD"/>
    <w:pPr>
      <w:tabs>
        <w:tab w:val="center" w:pos="4153"/>
        <w:tab w:val="right" w:pos="8306"/>
      </w:tabs>
    </w:pPr>
  </w:style>
  <w:style w:type="character" w:customStyle="1" w:styleId="a7">
    <w:name w:val="כותרת תחתונה תו"/>
    <w:link w:val="a6"/>
    <w:rsid w:val="009F00AD"/>
    <w:rPr>
      <w:rFonts w:ascii="Times New Roman" w:eastAsia="Times New Roman" w:hAnsi="Times New Roman" w:cs="David"/>
      <w:sz w:val="24"/>
      <w:szCs w:val="24"/>
    </w:rPr>
  </w:style>
  <w:style w:type="table" w:styleId="a8">
    <w:name w:val="Table Grid"/>
    <w:basedOn w:val="a2"/>
    <w:rsid w:val="009F00A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9F00AD"/>
  </w:style>
  <w:style w:type="paragraph" w:styleId="aa">
    <w:name w:val="List Paragraph"/>
    <w:basedOn w:val="a0"/>
    <w:qFormat/>
    <w:rsid w:val="009F00AD"/>
    <w:pPr>
      <w:ind w:left="720"/>
      <w:contextualSpacing/>
    </w:pPr>
  </w:style>
  <w:style w:type="character" w:styleId="Hyperlink">
    <w:name w:val="Hyperlink"/>
    <w:rsid w:val="009F00AD"/>
    <w:rPr>
      <w:color w:val="0000FF"/>
      <w:u w:val="single"/>
    </w:rPr>
  </w:style>
  <w:style w:type="paragraph" w:customStyle="1" w:styleId="a">
    <w:name w:val="ממוספר"/>
    <w:basedOn w:val="a0"/>
    <w:rsid w:val="009F00AD"/>
    <w:pPr>
      <w:numPr>
        <w:numId w:val="2"/>
      </w:numPr>
      <w:spacing w:after="120" w:line="360" w:lineRule="auto"/>
    </w:pPr>
    <w:rPr>
      <w:rFonts w:ascii="David" w:hAnsi="David"/>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 TargetMode="External"/><Relationship Id="rId18" Type="http://schemas.openxmlformats.org/officeDocument/2006/relationships/hyperlink" Target="http://www.nevo.co.il/law/70301/275" TargetMode="External"/><Relationship Id="rId26" Type="http://schemas.openxmlformats.org/officeDocument/2006/relationships/hyperlink" Target="http://www.nevo.co.il/law/70301" TargetMode="External"/><Relationship Id="rId39" Type="http://schemas.openxmlformats.org/officeDocument/2006/relationships/hyperlink" Target="http://www.nevo.co.il/law/70301/275"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22733878" TargetMode="External"/><Relationship Id="rId42" Type="http://schemas.openxmlformats.org/officeDocument/2006/relationships/header" Target="head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29" TargetMode="External"/><Relationship Id="rId29" Type="http://schemas.openxmlformats.org/officeDocument/2006/relationships/hyperlink" Target="http://www.nevo.co.il/case/784069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i"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6864329" TargetMode="External"/><Relationship Id="rId37" Type="http://schemas.openxmlformats.org/officeDocument/2006/relationships/hyperlink" Target="http://www.nevo.co.il/law/70301/144" TargetMode="External"/><Relationship Id="rId40" Type="http://schemas.openxmlformats.org/officeDocument/2006/relationships/hyperlink" Target="http://www.nevo.co.il/advertisements/nevo-100.doc"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144.b" TargetMode="External"/><Relationship Id="rId23" Type="http://schemas.openxmlformats.org/officeDocument/2006/relationships/hyperlink" Target="http://www.nevo.co.il/law/70301/40c" TargetMode="External"/><Relationship Id="rId28" Type="http://schemas.openxmlformats.org/officeDocument/2006/relationships/hyperlink" Target="http://www.nevo.co.il/case/25612982" TargetMode="External"/><Relationship Id="rId36" Type="http://schemas.openxmlformats.org/officeDocument/2006/relationships/hyperlink" Target="http://www.nevo.co.il/law/70301" TargetMode="External"/><Relationship Id="rId10" Type="http://schemas.openxmlformats.org/officeDocument/2006/relationships/hyperlink" Target="http://www.nevo.co.il/law/70301/40c"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13042005"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40b" TargetMode="External"/><Relationship Id="rId14" Type="http://schemas.openxmlformats.org/officeDocument/2006/relationships/hyperlink" Target="http://www.nevo.co.il/law/70301/275" TargetMode="External"/><Relationship Id="rId22" Type="http://schemas.openxmlformats.org/officeDocument/2006/relationships/hyperlink" Target="http://www.nevo.co.il/case/6243627" TargetMode="External"/><Relationship Id="rId27" Type="http://schemas.openxmlformats.org/officeDocument/2006/relationships/hyperlink" Target="http://www.nevo.co.il/case/5601503" TargetMode="External"/><Relationship Id="rId30" Type="http://schemas.openxmlformats.org/officeDocument/2006/relationships/hyperlink" Target="http://www.nevo.co.il/case/11289545" TargetMode="External"/><Relationship Id="rId35" Type="http://schemas.openxmlformats.org/officeDocument/2006/relationships/hyperlink" Target="http://www.nevo.co.il/law/70301/144" TargetMode="External"/><Relationship Id="rId43" Type="http://schemas.openxmlformats.org/officeDocument/2006/relationships/footer" Target="footer1.xml"/><Relationship Id="rId8" Type="http://schemas.openxmlformats.org/officeDocument/2006/relationships/hyperlink" Target="http://www.nevo.co.il/law/70301/29" TargetMode="External"/><Relationship Id="rId3" Type="http://schemas.openxmlformats.org/officeDocument/2006/relationships/settings" Target="settings.xml"/><Relationship Id="rId12" Type="http://schemas.openxmlformats.org/officeDocument/2006/relationships/hyperlink" Target="http://www.nevo.co.il/law/70301/144" TargetMode="External"/><Relationship Id="rId17" Type="http://schemas.openxmlformats.org/officeDocument/2006/relationships/hyperlink" Target="http://www.nevo.co.il/law/70301" TargetMode="External"/><Relationship Id="rId25" Type="http://schemas.openxmlformats.org/officeDocument/2006/relationships/hyperlink" Target="http://www.nevo.co.il/law/70301/40i" TargetMode="External"/><Relationship Id="rId33" Type="http://schemas.openxmlformats.org/officeDocument/2006/relationships/hyperlink" Target="http://www.nevo.co.il/case/21070634" TargetMode="External"/><Relationship Id="rId38" Type="http://schemas.openxmlformats.org/officeDocument/2006/relationships/hyperlink" Target="http://www.nevo.co.il/law/70301" TargetMode="External"/><Relationship Id="rId46" Type="http://schemas.openxmlformats.org/officeDocument/2006/relationships/theme" Target="theme/theme1.xml"/><Relationship Id="rId20" Type="http://schemas.openxmlformats.org/officeDocument/2006/relationships/hyperlink" Target="http://www.nevo.co.il/law/70301/40b" TargetMode="External"/><Relationship Id="rId4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2884</Words>
  <Characters>14423</Characters>
  <Application>Microsoft Office Word</Application>
  <DocSecurity>0</DocSecurity>
  <Lines>120</Lines>
  <Paragraphs>34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17273</CharactersWithSpaces>
  <SharedDoc>false</SharedDoc>
  <HLinks>
    <vt:vector size="204" baseType="variant">
      <vt:variant>
        <vt:i4>393283</vt:i4>
      </vt:variant>
      <vt:variant>
        <vt:i4>99</vt:i4>
      </vt:variant>
      <vt:variant>
        <vt:i4>0</vt:i4>
      </vt:variant>
      <vt:variant>
        <vt:i4>5</vt:i4>
      </vt:variant>
      <vt:variant>
        <vt:lpwstr>http://www.nevo.co.il/advertisements/nevo-100.doc</vt:lpwstr>
      </vt:variant>
      <vt:variant>
        <vt:lpwstr/>
      </vt:variant>
      <vt:variant>
        <vt:i4>6422631</vt:i4>
      </vt:variant>
      <vt:variant>
        <vt:i4>96</vt:i4>
      </vt:variant>
      <vt:variant>
        <vt:i4>0</vt:i4>
      </vt:variant>
      <vt:variant>
        <vt:i4>5</vt:i4>
      </vt:variant>
      <vt:variant>
        <vt:lpwstr>http://www.nevo.co.il/law/70301/275</vt:lpwstr>
      </vt:variant>
      <vt:variant>
        <vt:lpwstr/>
      </vt:variant>
      <vt:variant>
        <vt:i4>7995492</vt:i4>
      </vt:variant>
      <vt:variant>
        <vt:i4>93</vt:i4>
      </vt:variant>
      <vt:variant>
        <vt:i4>0</vt:i4>
      </vt:variant>
      <vt:variant>
        <vt:i4>5</vt:i4>
      </vt:variant>
      <vt:variant>
        <vt:lpwstr>http://www.nevo.co.il/law/70301</vt:lpwstr>
      </vt:variant>
      <vt:variant>
        <vt:lpwstr/>
      </vt:variant>
      <vt:variant>
        <vt:i4>6357092</vt:i4>
      </vt:variant>
      <vt:variant>
        <vt:i4>90</vt:i4>
      </vt:variant>
      <vt:variant>
        <vt:i4>0</vt:i4>
      </vt:variant>
      <vt:variant>
        <vt:i4>5</vt:i4>
      </vt:variant>
      <vt:variant>
        <vt:lpwstr>http://www.nevo.co.il/law/70301/144</vt:lpwstr>
      </vt:variant>
      <vt:variant>
        <vt:lpwstr/>
      </vt:variant>
      <vt:variant>
        <vt:i4>7995492</vt:i4>
      </vt:variant>
      <vt:variant>
        <vt:i4>87</vt:i4>
      </vt:variant>
      <vt:variant>
        <vt:i4>0</vt:i4>
      </vt:variant>
      <vt:variant>
        <vt:i4>5</vt:i4>
      </vt:variant>
      <vt:variant>
        <vt:lpwstr>http://www.nevo.co.il/law/70301</vt:lpwstr>
      </vt:variant>
      <vt:variant>
        <vt:lpwstr/>
      </vt:variant>
      <vt:variant>
        <vt:i4>6357092</vt:i4>
      </vt:variant>
      <vt:variant>
        <vt:i4>84</vt:i4>
      </vt:variant>
      <vt:variant>
        <vt:i4>0</vt:i4>
      </vt:variant>
      <vt:variant>
        <vt:i4>5</vt:i4>
      </vt:variant>
      <vt:variant>
        <vt:lpwstr>http://www.nevo.co.il/law/70301/144</vt:lpwstr>
      </vt:variant>
      <vt:variant>
        <vt:lpwstr/>
      </vt:variant>
      <vt:variant>
        <vt:i4>3211389</vt:i4>
      </vt:variant>
      <vt:variant>
        <vt:i4>81</vt:i4>
      </vt:variant>
      <vt:variant>
        <vt:i4>0</vt:i4>
      </vt:variant>
      <vt:variant>
        <vt:i4>5</vt:i4>
      </vt:variant>
      <vt:variant>
        <vt:lpwstr>http://www.nevo.co.il/case/22733878</vt:lpwstr>
      </vt:variant>
      <vt:variant>
        <vt:lpwstr/>
      </vt:variant>
      <vt:variant>
        <vt:i4>3211380</vt:i4>
      </vt:variant>
      <vt:variant>
        <vt:i4>78</vt:i4>
      </vt:variant>
      <vt:variant>
        <vt:i4>0</vt:i4>
      </vt:variant>
      <vt:variant>
        <vt:i4>5</vt:i4>
      </vt:variant>
      <vt:variant>
        <vt:lpwstr>http://www.nevo.co.il/case/21070634</vt:lpwstr>
      </vt:variant>
      <vt:variant>
        <vt:lpwstr/>
      </vt:variant>
      <vt:variant>
        <vt:i4>3801210</vt:i4>
      </vt:variant>
      <vt:variant>
        <vt:i4>75</vt:i4>
      </vt:variant>
      <vt:variant>
        <vt:i4>0</vt:i4>
      </vt:variant>
      <vt:variant>
        <vt:i4>5</vt:i4>
      </vt:variant>
      <vt:variant>
        <vt:lpwstr>http://www.nevo.co.il/case/6864329</vt:lpwstr>
      </vt:variant>
      <vt:variant>
        <vt:lpwstr/>
      </vt:variant>
      <vt:variant>
        <vt:i4>3342451</vt:i4>
      </vt:variant>
      <vt:variant>
        <vt:i4>72</vt:i4>
      </vt:variant>
      <vt:variant>
        <vt:i4>0</vt:i4>
      </vt:variant>
      <vt:variant>
        <vt:i4>5</vt:i4>
      </vt:variant>
      <vt:variant>
        <vt:lpwstr>http://www.nevo.co.il/case/13042005</vt:lpwstr>
      </vt:variant>
      <vt:variant>
        <vt:lpwstr/>
      </vt:variant>
      <vt:variant>
        <vt:i4>4063352</vt:i4>
      </vt:variant>
      <vt:variant>
        <vt:i4>69</vt:i4>
      </vt:variant>
      <vt:variant>
        <vt:i4>0</vt:i4>
      </vt:variant>
      <vt:variant>
        <vt:i4>5</vt:i4>
      </vt:variant>
      <vt:variant>
        <vt:lpwstr>http://www.nevo.co.il/case/11289545</vt:lpwstr>
      </vt:variant>
      <vt:variant>
        <vt:lpwstr/>
      </vt:variant>
      <vt:variant>
        <vt:i4>3932277</vt:i4>
      </vt:variant>
      <vt:variant>
        <vt:i4>66</vt:i4>
      </vt:variant>
      <vt:variant>
        <vt:i4>0</vt:i4>
      </vt:variant>
      <vt:variant>
        <vt:i4>5</vt:i4>
      </vt:variant>
      <vt:variant>
        <vt:lpwstr>http://www.nevo.co.il/case/7840699</vt:lpwstr>
      </vt:variant>
      <vt:variant>
        <vt:lpwstr/>
      </vt:variant>
      <vt:variant>
        <vt:i4>4063353</vt:i4>
      </vt:variant>
      <vt:variant>
        <vt:i4>63</vt:i4>
      </vt:variant>
      <vt:variant>
        <vt:i4>0</vt:i4>
      </vt:variant>
      <vt:variant>
        <vt:i4>5</vt:i4>
      </vt:variant>
      <vt:variant>
        <vt:lpwstr>http://www.nevo.co.il/case/25612982</vt:lpwstr>
      </vt:variant>
      <vt:variant>
        <vt:lpwstr/>
      </vt:variant>
      <vt:variant>
        <vt:i4>3342451</vt:i4>
      </vt:variant>
      <vt:variant>
        <vt:i4>60</vt:i4>
      </vt:variant>
      <vt:variant>
        <vt:i4>0</vt:i4>
      </vt:variant>
      <vt:variant>
        <vt:i4>5</vt:i4>
      </vt:variant>
      <vt:variant>
        <vt:lpwstr>http://www.nevo.co.il/case/5601503</vt:lpwstr>
      </vt:variant>
      <vt:variant>
        <vt:lpwstr/>
      </vt:variant>
      <vt:variant>
        <vt:i4>7995492</vt:i4>
      </vt:variant>
      <vt:variant>
        <vt:i4>57</vt:i4>
      </vt:variant>
      <vt:variant>
        <vt:i4>0</vt:i4>
      </vt:variant>
      <vt:variant>
        <vt:i4>5</vt:i4>
      </vt:variant>
      <vt:variant>
        <vt:lpwstr>http://www.nevo.co.il/law/70301</vt:lpwstr>
      </vt:variant>
      <vt:variant>
        <vt:lpwstr/>
      </vt:variant>
      <vt:variant>
        <vt:i4>6619233</vt:i4>
      </vt:variant>
      <vt:variant>
        <vt:i4>54</vt:i4>
      </vt:variant>
      <vt:variant>
        <vt:i4>0</vt:i4>
      </vt:variant>
      <vt:variant>
        <vt:i4>5</vt:i4>
      </vt:variant>
      <vt:variant>
        <vt:lpwstr>http://www.nevo.co.il/law/70301/40i</vt:lpwstr>
      </vt:variant>
      <vt:variant>
        <vt:lpwstr/>
      </vt:variant>
      <vt:variant>
        <vt:i4>7995492</vt:i4>
      </vt:variant>
      <vt:variant>
        <vt:i4>51</vt:i4>
      </vt:variant>
      <vt:variant>
        <vt:i4>0</vt:i4>
      </vt:variant>
      <vt:variant>
        <vt:i4>5</vt:i4>
      </vt:variant>
      <vt:variant>
        <vt:lpwstr>http://www.nevo.co.il/law/70301</vt:lpwstr>
      </vt:variant>
      <vt:variant>
        <vt:lpwstr/>
      </vt:variant>
      <vt:variant>
        <vt:i4>6619233</vt:i4>
      </vt:variant>
      <vt:variant>
        <vt:i4>48</vt:i4>
      </vt:variant>
      <vt:variant>
        <vt:i4>0</vt:i4>
      </vt:variant>
      <vt:variant>
        <vt:i4>5</vt:i4>
      </vt:variant>
      <vt:variant>
        <vt:lpwstr>http://www.nevo.co.il/law/70301/40c</vt:lpwstr>
      </vt:variant>
      <vt:variant>
        <vt:lpwstr/>
      </vt:variant>
      <vt:variant>
        <vt:i4>3342455</vt:i4>
      </vt:variant>
      <vt:variant>
        <vt:i4>45</vt:i4>
      </vt:variant>
      <vt:variant>
        <vt:i4>0</vt:i4>
      </vt:variant>
      <vt:variant>
        <vt:i4>5</vt:i4>
      </vt:variant>
      <vt:variant>
        <vt:lpwstr>http://www.nevo.co.il/case/6243627</vt:lpwstr>
      </vt:variant>
      <vt:variant>
        <vt:lpwstr/>
      </vt:variant>
      <vt:variant>
        <vt:i4>7995492</vt:i4>
      </vt:variant>
      <vt:variant>
        <vt:i4>42</vt:i4>
      </vt:variant>
      <vt:variant>
        <vt:i4>0</vt:i4>
      </vt:variant>
      <vt:variant>
        <vt:i4>5</vt:i4>
      </vt:variant>
      <vt:variant>
        <vt:lpwstr>http://www.nevo.co.il/law/70301</vt:lpwstr>
      </vt:variant>
      <vt:variant>
        <vt:lpwstr/>
      </vt:variant>
      <vt:variant>
        <vt:i4>6619233</vt:i4>
      </vt:variant>
      <vt:variant>
        <vt:i4>39</vt:i4>
      </vt:variant>
      <vt:variant>
        <vt:i4>0</vt:i4>
      </vt:variant>
      <vt:variant>
        <vt:i4>5</vt:i4>
      </vt:variant>
      <vt:variant>
        <vt:lpwstr>http://www.nevo.co.il/law/70301/40b</vt:lpwstr>
      </vt:variant>
      <vt:variant>
        <vt:lpwstr/>
      </vt:variant>
      <vt:variant>
        <vt:i4>7995492</vt:i4>
      </vt:variant>
      <vt:variant>
        <vt:i4>36</vt:i4>
      </vt:variant>
      <vt:variant>
        <vt:i4>0</vt:i4>
      </vt:variant>
      <vt:variant>
        <vt:i4>5</vt:i4>
      </vt:variant>
      <vt:variant>
        <vt:lpwstr>http://www.nevo.co.il/law/70301</vt:lpwstr>
      </vt:variant>
      <vt:variant>
        <vt:lpwstr/>
      </vt:variant>
      <vt:variant>
        <vt:i4>6422631</vt:i4>
      </vt:variant>
      <vt:variant>
        <vt:i4>33</vt:i4>
      </vt:variant>
      <vt:variant>
        <vt:i4>0</vt:i4>
      </vt:variant>
      <vt:variant>
        <vt:i4>5</vt:i4>
      </vt:variant>
      <vt:variant>
        <vt:lpwstr>http://www.nevo.co.il/law/70301/275</vt:lpwstr>
      </vt:variant>
      <vt:variant>
        <vt:lpwstr/>
      </vt:variant>
      <vt:variant>
        <vt:i4>7995492</vt:i4>
      </vt:variant>
      <vt:variant>
        <vt:i4>30</vt:i4>
      </vt:variant>
      <vt:variant>
        <vt:i4>0</vt:i4>
      </vt:variant>
      <vt:variant>
        <vt:i4>5</vt:i4>
      </vt:variant>
      <vt:variant>
        <vt:lpwstr>http://www.nevo.co.il/law/70301</vt:lpwstr>
      </vt:variant>
      <vt:variant>
        <vt:lpwstr/>
      </vt:variant>
      <vt:variant>
        <vt:i4>7077991</vt:i4>
      </vt:variant>
      <vt:variant>
        <vt:i4>27</vt:i4>
      </vt:variant>
      <vt:variant>
        <vt:i4>0</vt:i4>
      </vt:variant>
      <vt:variant>
        <vt:i4>5</vt:i4>
      </vt:variant>
      <vt:variant>
        <vt:lpwstr>http://www.nevo.co.il/law/70301/29</vt:lpwstr>
      </vt:variant>
      <vt:variant>
        <vt:lpwstr/>
      </vt:variant>
      <vt:variant>
        <vt:i4>5177424</vt:i4>
      </vt:variant>
      <vt:variant>
        <vt:i4>24</vt:i4>
      </vt:variant>
      <vt:variant>
        <vt:i4>0</vt:i4>
      </vt:variant>
      <vt:variant>
        <vt:i4>5</vt:i4>
      </vt:variant>
      <vt:variant>
        <vt:lpwstr>http://www.nevo.co.il/law/70301/144.b</vt:lpwstr>
      </vt:variant>
      <vt:variant>
        <vt:lpwstr/>
      </vt:variant>
      <vt:variant>
        <vt:i4>6422631</vt:i4>
      </vt:variant>
      <vt:variant>
        <vt:i4>21</vt:i4>
      </vt:variant>
      <vt:variant>
        <vt:i4>0</vt:i4>
      </vt:variant>
      <vt:variant>
        <vt:i4>5</vt:i4>
      </vt:variant>
      <vt:variant>
        <vt:lpwstr>http://www.nevo.co.il/law/70301/275</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6357092</vt:i4>
      </vt:variant>
      <vt:variant>
        <vt:i4>15</vt:i4>
      </vt:variant>
      <vt:variant>
        <vt:i4>0</vt:i4>
      </vt:variant>
      <vt:variant>
        <vt:i4>5</vt:i4>
      </vt:variant>
      <vt:variant>
        <vt:lpwstr>http://www.nevo.co.il/law/70301/144</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6619233</vt:i4>
      </vt:variant>
      <vt:variant>
        <vt:i4>9</vt:i4>
      </vt:variant>
      <vt:variant>
        <vt:i4>0</vt:i4>
      </vt:variant>
      <vt:variant>
        <vt:i4>5</vt:i4>
      </vt:variant>
      <vt:variant>
        <vt:lpwstr>http://www.nevo.co.il/law/70301/40c</vt:lpwstr>
      </vt:variant>
      <vt:variant>
        <vt:lpwstr/>
      </vt:variant>
      <vt:variant>
        <vt:i4>6619233</vt:i4>
      </vt:variant>
      <vt:variant>
        <vt:i4>6</vt:i4>
      </vt:variant>
      <vt:variant>
        <vt:i4>0</vt:i4>
      </vt:variant>
      <vt:variant>
        <vt:i4>5</vt:i4>
      </vt:variant>
      <vt:variant>
        <vt:lpwstr>http://www.nevo.co.il/law/70301/40b</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2023-12-07T12:22:00Z</dcterms:created>
  <dcterms:modified xsi:type="dcterms:W3CDTF">2023-12-07T12:22:00Z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27294</vt:lpwstr>
  </property>
  <property fmtid="{D5CDD505-2E9C-101B-9397-08002B2CF9AE}" pid="6" name="NEWPARTB">
    <vt:lpwstr>04</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נור עוויסאת</vt:lpwstr>
  </property>
  <property fmtid="{D5CDD505-2E9C-101B-9397-08002B2CF9AE}" pid="10" name="JUDGE">
    <vt:lpwstr>רונית בש</vt:lpwstr>
  </property>
  <property fmtid="{D5CDD505-2E9C-101B-9397-08002B2CF9AE}" pid="11" name="CITY">
    <vt:lpwstr>חי'</vt:lpwstr>
  </property>
  <property fmtid="{D5CDD505-2E9C-101B-9397-08002B2CF9AE}" pid="12" name="DATE">
    <vt:lpwstr>20200625</vt:lpwstr>
  </property>
  <property fmtid="{D5CDD505-2E9C-101B-9397-08002B2CF9AE}" pid="13" name="TYPE_N_DATE">
    <vt:lpwstr>39020200625</vt:lpwstr>
  </property>
  <property fmtid="{D5CDD505-2E9C-101B-9397-08002B2CF9AE}" pid="14" name="WORDNUMPAGES">
    <vt:lpwstr>9</vt:lpwstr>
  </property>
  <property fmtid="{D5CDD505-2E9C-101B-9397-08002B2CF9AE}" pid="15" name="TYPE_ABS_DATE">
    <vt:lpwstr>390020200625</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6243627;5601503;25612982;7840699;11289545;13042005;6864329;21070634;22733878</vt:lpwstr>
  </property>
  <property fmtid="{D5CDD505-2E9C-101B-9397-08002B2CF9AE}" pid="36" name="LAWLISTTMP1">
    <vt:lpwstr>70301/144.b;029;275:2;040b;040c;040i;144:2</vt:lpwstr>
  </property>
</Properties>
</file>