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667"/>
        <w:gridCol w:w="2838"/>
      </w:tblGrid>
      <w:tr w:rsidR="004A7CFA" w:rsidRPr="00392A0E" w14:paraId="74ADC60B" w14:textId="77777777" w:rsidTr="00A03B20">
        <w:trPr>
          <w:trHeight w:hRule="exact" w:val="418"/>
          <w:jc w:val="center"/>
        </w:trPr>
        <w:tc>
          <w:tcPr>
            <w:tcW w:w="8505" w:type="dxa"/>
            <w:gridSpan w:val="2"/>
          </w:tcPr>
          <w:p w14:paraId="6BC80D29" w14:textId="77777777" w:rsidR="004A7CFA" w:rsidRPr="00392A0E" w:rsidRDefault="004A7CFA" w:rsidP="00A03B20">
            <w:pPr>
              <w:pStyle w:val="a3"/>
              <w:jc w:val="center"/>
              <w:rPr>
                <w:rFonts w:ascii="Tahoma" w:hAnsi="Tahoma" w:cs="Tahoma"/>
                <w:color w:val="000080"/>
                <w:rtl/>
              </w:rPr>
            </w:pPr>
            <w:bookmarkStart w:id="0" w:name="LastJudge"/>
            <w:r w:rsidRPr="00392A0E">
              <w:rPr>
                <w:rFonts w:ascii="Tahoma" w:hAnsi="Tahoma" w:cs="Tahoma"/>
                <w:b/>
                <w:bCs/>
                <w:color w:val="000080"/>
                <w:rtl/>
              </w:rPr>
              <w:t>בית המשפט המחוזי בירושלים</w:t>
            </w:r>
          </w:p>
        </w:tc>
      </w:tr>
      <w:tr w:rsidR="004A7CFA" w:rsidRPr="00392A0E" w14:paraId="2373ACF5" w14:textId="77777777" w:rsidTr="00A03B20">
        <w:trPr>
          <w:trHeight w:val="337"/>
          <w:jc w:val="center"/>
        </w:trPr>
        <w:tc>
          <w:tcPr>
            <w:tcW w:w="5667" w:type="dxa"/>
          </w:tcPr>
          <w:p w14:paraId="4993806B" w14:textId="77777777" w:rsidR="004A7CFA" w:rsidRPr="00392A0E" w:rsidRDefault="004A7CFA" w:rsidP="00A03B20">
            <w:pPr>
              <w:rPr>
                <w:rFonts w:cs="FrankRuehl"/>
                <w:sz w:val="28"/>
                <w:szCs w:val="28"/>
                <w:rtl/>
              </w:rPr>
            </w:pPr>
            <w:r w:rsidRPr="00392A0E">
              <w:rPr>
                <w:rFonts w:cs="FrankRuehl"/>
                <w:sz w:val="28"/>
                <w:szCs w:val="28"/>
                <w:rtl/>
              </w:rPr>
              <w:t>ת"פ</w:t>
            </w:r>
            <w:r w:rsidRPr="00392A0E">
              <w:rPr>
                <w:rFonts w:cs="FrankRuehl" w:hint="cs"/>
                <w:sz w:val="28"/>
                <w:szCs w:val="28"/>
                <w:rtl/>
              </w:rPr>
              <w:t xml:space="preserve"> </w:t>
            </w:r>
            <w:r w:rsidRPr="00392A0E">
              <w:rPr>
                <w:rFonts w:cs="FrankRuehl"/>
                <w:sz w:val="28"/>
                <w:szCs w:val="28"/>
                <w:rtl/>
              </w:rPr>
              <w:t>40898-11-19</w:t>
            </w:r>
            <w:r w:rsidRPr="00392A0E">
              <w:rPr>
                <w:rFonts w:cs="FrankRuehl" w:hint="cs"/>
                <w:sz w:val="28"/>
                <w:szCs w:val="28"/>
                <w:rtl/>
              </w:rPr>
              <w:t xml:space="preserve"> </w:t>
            </w:r>
            <w:r w:rsidRPr="00392A0E">
              <w:rPr>
                <w:rFonts w:cs="FrankRuehl"/>
                <w:sz w:val="28"/>
                <w:szCs w:val="28"/>
                <w:rtl/>
              </w:rPr>
              <w:t>מדינת ישראל נ' מג'אהד</w:t>
            </w:r>
          </w:p>
          <w:p w14:paraId="3AB25C6B" w14:textId="77777777" w:rsidR="004A7CFA" w:rsidRPr="00392A0E" w:rsidRDefault="004A7CFA" w:rsidP="00A03B20">
            <w:pPr>
              <w:pStyle w:val="a3"/>
              <w:rPr>
                <w:rFonts w:cs="FrankRuehl"/>
                <w:sz w:val="28"/>
                <w:szCs w:val="28"/>
                <w:rtl/>
              </w:rPr>
            </w:pPr>
          </w:p>
        </w:tc>
        <w:tc>
          <w:tcPr>
            <w:tcW w:w="2838" w:type="dxa"/>
          </w:tcPr>
          <w:p w14:paraId="67903CA6" w14:textId="77777777" w:rsidR="004A7CFA" w:rsidRPr="00392A0E" w:rsidRDefault="004A7CFA" w:rsidP="00A03B20">
            <w:pPr>
              <w:pStyle w:val="a3"/>
              <w:jc w:val="right"/>
              <w:rPr>
                <w:rFonts w:cs="FrankRuehl"/>
                <w:sz w:val="28"/>
                <w:szCs w:val="28"/>
                <w:rtl/>
              </w:rPr>
            </w:pPr>
          </w:p>
        </w:tc>
      </w:tr>
    </w:tbl>
    <w:p w14:paraId="27BF0820" w14:textId="77777777" w:rsidR="004A7CFA" w:rsidRPr="00392A0E" w:rsidRDefault="004A7CFA" w:rsidP="004A7CFA">
      <w:pPr>
        <w:pStyle w:val="a3"/>
        <w:rPr>
          <w:sz w:val="2"/>
          <w:szCs w:val="2"/>
          <w:rtl/>
        </w:rPr>
      </w:pPr>
    </w:p>
    <w:p w14:paraId="66A77449" w14:textId="77777777" w:rsidR="004A7CFA" w:rsidRPr="00392A0E" w:rsidRDefault="004A7CFA" w:rsidP="004A7CFA">
      <w:pPr>
        <w:rPr>
          <w:rtl/>
        </w:rPr>
      </w:pPr>
    </w:p>
    <w:p w14:paraId="41250B5B" w14:textId="77777777" w:rsidR="004A7CFA" w:rsidRPr="00392A0E" w:rsidRDefault="004A7CFA" w:rsidP="004A7C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9"/>
        <w:gridCol w:w="3398"/>
      </w:tblGrid>
      <w:tr w:rsidR="004A7CFA" w:rsidRPr="00392A0E" w14:paraId="1CB754F9" w14:textId="77777777" w:rsidTr="004A7CFA">
        <w:trPr>
          <w:trHeight w:val="295"/>
          <w:jc w:val="center"/>
        </w:trPr>
        <w:tc>
          <w:tcPr>
            <w:tcW w:w="923" w:type="dxa"/>
            <w:tcBorders>
              <w:top w:val="nil"/>
              <w:left w:val="nil"/>
              <w:bottom w:val="nil"/>
              <w:right w:val="nil"/>
            </w:tcBorders>
            <w:shd w:val="clear" w:color="auto" w:fill="auto"/>
          </w:tcPr>
          <w:p w14:paraId="45317F0B" w14:textId="77777777" w:rsidR="004A7CFA" w:rsidRPr="00392A0E" w:rsidRDefault="004A7CFA" w:rsidP="004A7CFA">
            <w:pPr>
              <w:jc w:val="both"/>
              <w:rPr>
                <w:rFonts w:ascii="David" w:hAnsi="David"/>
                <w:b/>
                <w:bCs/>
                <w:sz w:val="26"/>
                <w:szCs w:val="26"/>
              </w:rPr>
            </w:pPr>
            <w:r w:rsidRPr="00392A0E">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16E3B2CC" w14:textId="77777777" w:rsidR="004A7CFA" w:rsidRPr="00392A0E" w:rsidRDefault="004A7CFA" w:rsidP="00A03B20">
            <w:pPr>
              <w:rPr>
                <w:rFonts w:ascii="David" w:hAnsi="David"/>
                <w:b/>
                <w:bCs/>
                <w:sz w:val="26"/>
                <w:szCs w:val="26"/>
                <w:rtl/>
              </w:rPr>
            </w:pPr>
            <w:r w:rsidRPr="00392A0E">
              <w:rPr>
                <w:rFonts w:ascii="David" w:hAnsi="David"/>
                <w:b/>
                <w:bCs/>
                <w:sz w:val="26"/>
                <w:szCs w:val="26"/>
                <w:rtl/>
              </w:rPr>
              <w:t>כבוד השופטת  חנה מרים לומפ</w:t>
            </w:r>
          </w:p>
          <w:p w14:paraId="384F01DE" w14:textId="77777777" w:rsidR="004A7CFA" w:rsidRPr="00392A0E" w:rsidRDefault="004A7CFA" w:rsidP="00A03B20">
            <w:pPr>
              <w:rPr>
                <w:rFonts w:ascii="David" w:hAnsi="David"/>
                <w:b/>
                <w:bCs/>
                <w:sz w:val="26"/>
                <w:szCs w:val="26"/>
                <w:rtl/>
              </w:rPr>
            </w:pPr>
          </w:p>
          <w:p w14:paraId="4A077F9C" w14:textId="77777777" w:rsidR="004A7CFA" w:rsidRPr="00392A0E" w:rsidRDefault="004A7CFA" w:rsidP="004A7CFA">
            <w:pPr>
              <w:jc w:val="both"/>
              <w:rPr>
                <w:rFonts w:ascii="David" w:hAnsi="David"/>
                <w:b/>
                <w:bCs/>
                <w:sz w:val="26"/>
                <w:szCs w:val="26"/>
              </w:rPr>
            </w:pPr>
          </w:p>
        </w:tc>
      </w:tr>
      <w:tr w:rsidR="004A7CFA" w:rsidRPr="00392A0E" w14:paraId="7C13DC35" w14:textId="77777777" w:rsidTr="004A7CFA">
        <w:trPr>
          <w:trHeight w:val="355"/>
          <w:jc w:val="center"/>
        </w:trPr>
        <w:tc>
          <w:tcPr>
            <w:tcW w:w="923" w:type="dxa"/>
            <w:tcBorders>
              <w:top w:val="nil"/>
              <w:left w:val="nil"/>
              <w:bottom w:val="nil"/>
              <w:right w:val="nil"/>
            </w:tcBorders>
            <w:shd w:val="clear" w:color="auto" w:fill="auto"/>
          </w:tcPr>
          <w:p w14:paraId="40438B01" w14:textId="77777777" w:rsidR="004A7CFA" w:rsidRPr="00392A0E" w:rsidRDefault="004A7CFA" w:rsidP="004A7CFA">
            <w:pPr>
              <w:jc w:val="both"/>
              <w:rPr>
                <w:rFonts w:ascii="David" w:hAnsi="David"/>
                <w:b/>
                <w:bCs/>
                <w:sz w:val="26"/>
                <w:szCs w:val="26"/>
              </w:rPr>
            </w:pPr>
            <w:bookmarkStart w:id="1" w:name="FirstAppellant"/>
            <w:bookmarkStart w:id="2" w:name="FirstLawyer"/>
            <w:r w:rsidRPr="00392A0E">
              <w:rPr>
                <w:rFonts w:ascii="David" w:hAnsi="David"/>
                <w:b/>
                <w:bCs/>
                <w:sz w:val="26"/>
                <w:szCs w:val="26"/>
                <w:rtl/>
              </w:rPr>
              <w:t>בעניין:</w:t>
            </w:r>
          </w:p>
        </w:tc>
        <w:tc>
          <w:tcPr>
            <w:tcW w:w="4499" w:type="dxa"/>
            <w:tcBorders>
              <w:top w:val="nil"/>
              <w:left w:val="nil"/>
              <w:bottom w:val="nil"/>
              <w:right w:val="nil"/>
            </w:tcBorders>
            <w:shd w:val="clear" w:color="auto" w:fill="auto"/>
          </w:tcPr>
          <w:p w14:paraId="7A388831" w14:textId="77777777" w:rsidR="004A7CFA" w:rsidRPr="00392A0E" w:rsidRDefault="004A7CFA" w:rsidP="00A03B20">
            <w:pPr>
              <w:rPr>
                <w:rFonts w:ascii="David" w:hAnsi="David"/>
                <w:b/>
                <w:bCs/>
                <w:sz w:val="26"/>
                <w:szCs w:val="26"/>
                <w:rtl/>
              </w:rPr>
            </w:pPr>
            <w:r w:rsidRPr="00392A0E">
              <w:rPr>
                <w:rFonts w:ascii="David" w:hAnsi="David"/>
                <w:b/>
                <w:bCs/>
                <w:sz w:val="26"/>
                <w:szCs w:val="26"/>
                <w:rtl/>
              </w:rPr>
              <w:t>מדינת ישראל</w:t>
            </w:r>
          </w:p>
          <w:p w14:paraId="65CDB00B" w14:textId="77777777" w:rsidR="004A7CFA" w:rsidRPr="00392A0E" w:rsidRDefault="004A7CFA" w:rsidP="00A03B20">
            <w:pPr>
              <w:rPr>
                <w:rFonts w:ascii="David" w:hAnsi="David"/>
                <w:sz w:val="26"/>
                <w:szCs w:val="26"/>
                <w:rtl/>
              </w:rPr>
            </w:pPr>
            <w:r w:rsidRPr="00392A0E">
              <w:rPr>
                <w:rFonts w:ascii="David" w:hAnsi="David" w:hint="cs"/>
                <w:sz w:val="26"/>
                <w:szCs w:val="26"/>
                <w:rtl/>
              </w:rPr>
              <w:t>על ידי ב"כ עו"ד</w:t>
            </w:r>
            <w:r w:rsidRPr="00392A0E">
              <w:rPr>
                <w:rFonts w:ascii="David" w:hAnsi="David" w:hint="cs"/>
                <w:b/>
                <w:bCs/>
                <w:sz w:val="26"/>
                <w:szCs w:val="26"/>
                <w:rtl/>
              </w:rPr>
              <w:t xml:space="preserve"> </w:t>
            </w:r>
            <w:r w:rsidRPr="00392A0E">
              <w:rPr>
                <w:rFonts w:ascii="David" w:hAnsi="David" w:hint="cs"/>
                <w:sz w:val="26"/>
                <w:szCs w:val="26"/>
                <w:rtl/>
              </w:rPr>
              <w:t>יפעת פנחסי</w:t>
            </w:r>
          </w:p>
          <w:p w14:paraId="1EE773BC" w14:textId="77777777" w:rsidR="004A7CFA" w:rsidRPr="00392A0E" w:rsidRDefault="004A7CFA" w:rsidP="00A03B20">
            <w:pPr>
              <w:rPr>
                <w:rFonts w:ascii="David" w:hAnsi="David"/>
                <w:sz w:val="26"/>
                <w:szCs w:val="26"/>
              </w:rPr>
            </w:pPr>
            <w:r w:rsidRPr="00392A0E">
              <w:rPr>
                <w:rFonts w:ascii="David" w:hAnsi="David" w:hint="cs"/>
                <w:sz w:val="26"/>
                <w:szCs w:val="26"/>
                <w:rtl/>
              </w:rPr>
              <w:t>באמצעות פרקליטות מחוז ירושלים (פלילי)</w:t>
            </w:r>
          </w:p>
        </w:tc>
        <w:tc>
          <w:tcPr>
            <w:tcW w:w="3398" w:type="dxa"/>
            <w:tcBorders>
              <w:top w:val="nil"/>
              <w:left w:val="nil"/>
              <w:bottom w:val="nil"/>
              <w:right w:val="nil"/>
            </w:tcBorders>
            <w:shd w:val="clear" w:color="auto" w:fill="auto"/>
          </w:tcPr>
          <w:p w14:paraId="304FAFB1" w14:textId="77777777" w:rsidR="004A7CFA" w:rsidRPr="00392A0E" w:rsidRDefault="004A7CFA" w:rsidP="004A7CFA">
            <w:pPr>
              <w:jc w:val="both"/>
              <w:rPr>
                <w:rFonts w:ascii="David" w:hAnsi="David"/>
                <w:b/>
                <w:bCs/>
                <w:sz w:val="26"/>
                <w:szCs w:val="26"/>
              </w:rPr>
            </w:pPr>
          </w:p>
        </w:tc>
      </w:tr>
      <w:bookmarkEnd w:id="1"/>
      <w:bookmarkEnd w:id="2"/>
      <w:tr w:rsidR="004A7CFA" w:rsidRPr="00392A0E" w14:paraId="5DAFDC2D" w14:textId="77777777" w:rsidTr="004A7CFA">
        <w:trPr>
          <w:trHeight w:val="355"/>
          <w:jc w:val="center"/>
        </w:trPr>
        <w:tc>
          <w:tcPr>
            <w:tcW w:w="923" w:type="dxa"/>
            <w:tcBorders>
              <w:top w:val="nil"/>
              <w:left w:val="nil"/>
              <w:bottom w:val="nil"/>
              <w:right w:val="nil"/>
            </w:tcBorders>
            <w:shd w:val="clear" w:color="auto" w:fill="auto"/>
          </w:tcPr>
          <w:p w14:paraId="20F3E553" w14:textId="77777777" w:rsidR="004A7CFA" w:rsidRPr="00392A0E" w:rsidRDefault="004A7CFA" w:rsidP="004A7CFA">
            <w:pPr>
              <w:jc w:val="both"/>
              <w:rPr>
                <w:rFonts w:ascii="David" w:hAnsi="David"/>
                <w:b/>
                <w:bCs/>
                <w:sz w:val="26"/>
                <w:szCs w:val="26"/>
                <w:rtl/>
              </w:rPr>
            </w:pPr>
          </w:p>
        </w:tc>
        <w:tc>
          <w:tcPr>
            <w:tcW w:w="4499" w:type="dxa"/>
            <w:tcBorders>
              <w:top w:val="nil"/>
              <w:left w:val="nil"/>
              <w:bottom w:val="nil"/>
              <w:right w:val="nil"/>
            </w:tcBorders>
            <w:shd w:val="clear" w:color="auto" w:fill="auto"/>
          </w:tcPr>
          <w:p w14:paraId="47B17599" w14:textId="77777777" w:rsidR="004A7CFA" w:rsidRPr="00392A0E" w:rsidRDefault="004A7CFA" w:rsidP="004A7CFA">
            <w:pPr>
              <w:jc w:val="both"/>
              <w:rPr>
                <w:rFonts w:ascii="David" w:hAnsi="David"/>
                <w:b/>
                <w:bCs/>
                <w:sz w:val="26"/>
                <w:szCs w:val="26"/>
                <w:rtl/>
              </w:rPr>
            </w:pPr>
          </w:p>
        </w:tc>
        <w:tc>
          <w:tcPr>
            <w:tcW w:w="3398" w:type="dxa"/>
            <w:tcBorders>
              <w:top w:val="nil"/>
              <w:left w:val="nil"/>
              <w:bottom w:val="nil"/>
              <w:right w:val="nil"/>
            </w:tcBorders>
            <w:shd w:val="clear" w:color="auto" w:fill="auto"/>
          </w:tcPr>
          <w:p w14:paraId="7DF93D41" w14:textId="77777777" w:rsidR="004A7CFA" w:rsidRPr="00392A0E" w:rsidRDefault="004A7CFA" w:rsidP="004A7CFA">
            <w:pPr>
              <w:jc w:val="right"/>
              <w:rPr>
                <w:rFonts w:ascii="David" w:hAnsi="David"/>
                <w:b/>
                <w:bCs/>
                <w:sz w:val="26"/>
                <w:szCs w:val="26"/>
                <w:rtl/>
              </w:rPr>
            </w:pPr>
            <w:r w:rsidRPr="00392A0E">
              <w:rPr>
                <w:rFonts w:ascii="David" w:hAnsi="David"/>
                <w:b/>
                <w:bCs/>
                <w:sz w:val="26"/>
                <w:szCs w:val="26"/>
                <w:rtl/>
              </w:rPr>
              <w:t>המאשימה</w:t>
            </w:r>
          </w:p>
        </w:tc>
      </w:tr>
      <w:tr w:rsidR="004A7CFA" w:rsidRPr="00392A0E" w14:paraId="17ABDB26" w14:textId="77777777" w:rsidTr="004A7CFA">
        <w:trPr>
          <w:trHeight w:val="355"/>
          <w:jc w:val="center"/>
        </w:trPr>
        <w:tc>
          <w:tcPr>
            <w:tcW w:w="923" w:type="dxa"/>
            <w:tcBorders>
              <w:top w:val="nil"/>
              <w:left w:val="nil"/>
              <w:bottom w:val="nil"/>
              <w:right w:val="nil"/>
            </w:tcBorders>
            <w:shd w:val="clear" w:color="auto" w:fill="auto"/>
          </w:tcPr>
          <w:p w14:paraId="3E9E840A" w14:textId="77777777" w:rsidR="004A7CFA" w:rsidRPr="00392A0E" w:rsidRDefault="004A7CFA" w:rsidP="004A7CF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23C375E" w14:textId="77777777" w:rsidR="004A7CFA" w:rsidRPr="00392A0E" w:rsidRDefault="004A7CFA" w:rsidP="004A7CFA">
            <w:pPr>
              <w:jc w:val="center"/>
              <w:rPr>
                <w:rFonts w:ascii="David" w:hAnsi="David"/>
                <w:b/>
                <w:bCs/>
                <w:sz w:val="26"/>
                <w:szCs w:val="26"/>
                <w:rtl/>
              </w:rPr>
            </w:pPr>
          </w:p>
          <w:p w14:paraId="3B24F2C8" w14:textId="77777777" w:rsidR="004A7CFA" w:rsidRPr="00392A0E" w:rsidRDefault="004A7CFA" w:rsidP="004A7CFA">
            <w:pPr>
              <w:jc w:val="center"/>
              <w:rPr>
                <w:rFonts w:ascii="David" w:hAnsi="David"/>
                <w:b/>
                <w:bCs/>
                <w:sz w:val="26"/>
                <w:szCs w:val="26"/>
                <w:rtl/>
              </w:rPr>
            </w:pPr>
            <w:r w:rsidRPr="00392A0E">
              <w:rPr>
                <w:rFonts w:ascii="David" w:hAnsi="David"/>
                <w:b/>
                <w:bCs/>
                <w:sz w:val="26"/>
                <w:szCs w:val="26"/>
                <w:rtl/>
              </w:rPr>
              <w:t>נגד</w:t>
            </w:r>
          </w:p>
          <w:p w14:paraId="1382B023" w14:textId="77777777" w:rsidR="004A7CFA" w:rsidRPr="00392A0E" w:rsidRDefault="004A7CFA" w:rsidP="004A7CFA">
            <w:pPr>
              <w:jc w:val="both"/>
              <w:rPr>
                <w:rFonts w:ascii="David" w:hAnsi="David"/>
                <w:b/>
                <w:bCs/>
                <w:sz w:val="26"/>
                <w:szCs w:val="26"/>
              </w:rPr>
            </w:pPr>
          </w:p>
        </w:tc>
      </w:tr>
      <w:tr w:rsidR="004A7CFA" w:rsidRPr="00392A0E" w14:paraId="1A59C72A" w14:textId="77777777" w:rsidTr="004A7CFA">
        <w:trPr>
          <w:trHeight w:val="355"/>
          <w:jc w:val="center"/>
        </w:trPr>
        <w:tc>
          <w:tcPr>
            <w:tcW w:w="923" w:type="dxa"/>
            <w:tcBorders>
              <w:top w:val="nil"/>
              <w:left w:val="nil"/>
              <w:bottom w:val="nil"/>
              <w:right w:val="nil"/>
            </w:tcBorders>
            <w:shd w:val="clear" w:color="auto" w:fill="auto"/>
          </w:tcPr>
          <w:p w14:paraId="37030FA1" w14:textId="77777777" w:rsidR="004A7CFA" w:rsidRPr="00392A0E" w:rsidRDefault="004A7CFA" w:rsidP="00A03B20">
            <w:pPr>
              <w:rPr>
                <w:rFonts w:ascii="David" w:hAnsi="David"/>
                <w:b/>
                <w:bCs/>
                <w:sz w:val="26"/>
                <w:szCs w:val="26"/>
                <w:rtl/>
              </w:rPr>
            </w:pPr>
          </w:p>
        </w:tc>
        <w:tc>
          <w:tcPr>
            <w:tcW w:w="4499" w:type="dxa"/>
            <w:tcBorders>
              <w:top w:val="nil"/>
              <w:left w:val="nil"/>
              <w:bottom w:val="nil"/>
              <w:right w:val="nil"/>
            </w:tcBorders>
            <w:shd w:val="clear" w:color="auto" w:fill="auto"/>
          </w:tcPr>
          <w:p w14:paraId="0B7B70A1" w14:textId="77777777" w:rsidR="004A7CFA" w:rsidRPr="00392A0E" w:rsidRDefault="004A7CFA" w:rsidP="00A03B20">
            <w:pPr>
              <w:rPr>
                <w:rFonts w:ascii="David" w:hAnsi="David"/>
                <w:b/>
                <w:bCs/>
                <w:sz w:val="26"/>
                <w:szCs w:val="26"/>
                <w:rtl/>
              </w:rPr>
            </w:pPr>
            <w:r w:rsidRPr="00392A0E">
              <w:rPr>
                <w:rFonts w:ascii="David" w:hAnsi="David"/>
                <w:b/>
                <w:bCs/>
                <w:sz w:val="26"/>
                <w:szCs w:val="26"/>
                <w:rtl/>
              </w:rPr>
              <w:t xml:space="preserve">מוחמד מג'אהד </w:t>
            </w:r>
          </w:p>
          <w:p w14:paraId="199C7B80" w14:textId="77777777" w:rsidR="004A7CFA" w:rsidRPr="00392A0E" w:rsidRDefault="004A7CFA" w:rsidP="00A03B20">
            <w:pPr>
              <w:rPr>
                <w:rFonts w:ascii="David" w:hAnsi="David"/>
                <w:sz w:val="26"/>
                <w:szCs w:val="26"/>
                <w:rtl/>
              </w:rPr>
            </w:pPr>
            <w:r w:rsidRPr="00392A0E">
              <w:rPr>
                <w:rFonts w:ascii="David" w:hAnsi="David" w:hint="cs"/>
                <w:sz w:val="26"/>
                <w:szCs w:val="26"/>
                <w:rtl/>
              </w:rPr>
              <w:t>על ידי ב"כ עו"ד יוסי זילברברג</w:t>
            </w:r>
          </w:p>
        </w:tc>
        <w:tc>
          <w:tcPr>
            <w:tcW w:w="3398" w:type="dxa"/>
            <w:tcBorders>
              <w:top w:val="nil"/>
              <w:left w:val="nil"/>
              <w:bottom w:val="nil"/>
              <w:right w:val="nil"/>
            </w:tcBorders>
            <w:shd w:val="clear" w:color="auto" w:fill="auto"/>
          </w:tcPr>
          <w:p w14:paraId="233A9B05" w14:textId="77777777" w:rsidR="004A7CFA" w:rsidRPr="00392A0E" w:rsidRDefault="004A7CFA" w:rsidP="004A7CFA">
            <w:pPr>
              <w:jc w:val="right"/>
              <w:rPr>
                <w:rFonts w:ascii="David" w:hAnsi="David"/>
                <w:b/>
                <w:bCs/>
                <w:sz w:val="26"/>
                <w:szCs w:val="26"/>
              </w:rPr>
            </w:pPr>
          </w:p>
        </w:tc>
      </w:tr>
      <w:tr w:rsidR="004A7CFA" w:rsidRPr="00392A0E" w14:paraId="667ED560" w14:textId="77777777" w:rsidTr="004A7CFA">
        <w:trPr>
          <w:trHeight w:val="355"/>
          <w:jc w:val="center"/>
        </w:trPr>
        <w:tc>
          <w:tcPr>
            <w:tcW w:w="923" w:type="dxa"/>
            <w:tcBorders>
              <w:top w:val="nil"/>
              <w:left w:val="nil"/>
              <w:bottom w:val="nil"/>
              <w:right w:val="nil"/>
            </w:tcBorders>
            <w:shd w:val="clear" w:color="auto" w:fill="auto"/>
          </w:tcPr>
          <w:p w14:paraId="013A6084" w14:textId="77777777" w:rsidR="004A7CFA" w:rsidRPr="00392A0E" w:rsidRDefault="004A7CFA" w:rsidP="004A7CFA">
            <w:pPr>
              <w:jc w:val="both"/>
              <w:rPr>
                <w:rFonts w:ascii="David" w:hAnsi="David"/>
                <w:b/>
                <w:bCs/>
                <w:sz w:val="26"/>
                <w:szCs w:val="26"/>
                <w:rtl/>
              </w:rPr>
            </w:pPr>
          </w:p>
        </w:tc>
        <w:tc>
          <w:tcPr>
            <w:tcW w:w="4499" w:type="dxa"/>
            <w:tcBorders>
              <w:top w:val="nil"/>
              <w:left w:val="nil"/>
              <w:bottom w:val="nil"/>
              <w:right w:val="nil"/>
            </w:tcBorders>
            <w:shd w:val="clear" w:color="auto" w:fill="auto"/>
          </w:tcPr>
          <w:p w14:paraId="37955BA8" w14:textId="77777777" w:rsidR="004A7CFA" w:rsidRPr="00392A0E" w:rsidRDefault="004A7CFA" w:rsidP="004A7CFA">
            <w:pPr>
              <w:jc w:val="both"/>
              <w:rPr>
                <w:rFonts w:ascii="David" w:hAnsi="David"/>
                <w:b/>
                <w:bCs/>
                <w:sz w:val="26"/>
                <w:szCs w:val="26"/>
                <w:rtl/>
              </w:rPr>
            </w:pPr>
          </w:p>
        </w:tc>
        <w:tc>
          <w:tcPr>
            <w:tcW w:w="3398" w:type="dxa"/>
            <w:tcBorders>
              <w:top w:val="nil"/>
              <w:left w:val="nil"/>
              <w:bottom w:val="nil"/>
              <w:right w:val="nil"/>
            </w:tcBorders>
            <w:shd w:val="clear" w:color="auto" w:fill="auto"/>
          </w:tcPr>
          <w:p w14:paraId="77E9FC3E" w14:textId="77777777" w:rsidR="004A7CFA" w:rsidRPr="00392A0E" w:rsidRDefault="004A7CFA" w:rsidP="004A7CFA">
            <w:pPr>
              <w:jc w:val="right"/>
              <w:rPr>
                <w:rFonts w:ascii="David" w:hAnsi="David"/>
                <w:b/>
                <w:bCs/>
                <w:sz w:val="26"/>
                <w:szCs w:val="26"/>
              </w:rPr>
            </w:pPr>
            <w:r w:rsidRPr="00392A0E">
              <w:rPr>
                <w:rFonts w:ascii="David" w:hAnsi="David"/>
                <w:b/>
                <w:bCs/>
                <w:sz w:val="26"/>
                <w:szCs w:val="26"/>
                <w:rtl/>
              </w:rPr>
              <w:t>הנאשם</w:t>
            </w:r>
          </w:p>
        </w:tc>
      </w:tr>
    </w:tbl>
    <w:p w14:paraId="2ACCB1A6" w14:textId="77777777" w:rsidR="00AA74C8" w:rsidRDefault="00AA74C8" w:rsidP="00392A0E">
      <w:pPr>
        <w:rPr>
          <w:rFonts w:ascii="David" w:hAnsi="David"/>
          <w:sz w:val="26"/>
          <w:szCs w:val="26"/>
          <w:rtl/>
        </w:rPr>
      </w:pPr>
    </w:p>
    <w:p w14:paraId="09C7E4C1" w14:textId="77777777" w:rsidR="00AA74C8" w:rsidRPr="00AA74C8" w:rsidRDefault="00AA74C8" w:rsidP="00AA74C8">
      <w:pPr>
        <w:spacing w:after="120" w:line="240" w:lineRule="exact"/>
        <w:ind w:left="283" w:hanging="283"/>
        <w:jc w:val="both"/>
        <w:rPr>
          <w:rFonts w:ascii="FrankRuehl" w:hAnsi="FrankRuehl" w:cs="FrankRuehl"/>
          <w:rtl/>
        </w:rPr>
      </w:pPr>
    </w:p>
    <w:p w14:paraId="549F8379" w14:textId="77777777" w:rsidR="00FB3E20" w:rsidRDefault="00FB3E20" w:rsidP="00FB3E20">
      <w:pPr>
        <w:rPr>
          <w:rFonts w:ascii="David" w:hAnsi="David"/>
          <w:sz w:val="26"/>
          <w:szCs w:val="26"/>
          <w:rtl/>
        </w:rPr>
      </w:pPr>
      <w:bookmarkStart w:id="3" w:name="LawTable"/>
      <w:bookmarkEnd w:id="3"/>
    </w:p>
    <w:p w14:paraId="06839E1D" w14:textId="77777777" w:rsidR="00FB3E20" w:rsidRPr="00FB3E20" w:rsidRDefault="00FB3E20" w:rsidP="00FB3E20">
      <w:pPr>
        <w:spacing w:before="120" w:after="120" w:line="240" w:lineRule="exact"/>
        <w:ind w:left="283" w:hanging="283"/>
        <w:jc w:val="both"/>
        <w:rPr>
          <w:rFonts w:ascii="FrankRuehl" w:hAnsi="FrankRuehl" w:cs="FrankRuehl"/>
          <w:rtl/>
        </w:rPr>
      </w:pPr>
    </w:p>
    <w:p w14:paraId="02557A42" w14:textId="77777777" w:rsidR="00FB3E20" w:rsidRPr="00FB3E20" w:rsidRDefault="00FB3E20" w:rsidP="00FB3E20">
      <w:pPr>
        <w:spacing w:before="120" w:after="120" w:line="240" w:lineRule="exact"/>
        <w:ind w:left="283" w:hanging="283"/>
        <w:jc w:val="both"/>
        <w:rPr>
          <w:rFonts w:ascii="FrankRuehl" w:hAnsi="FrankRuehl" w:cs="FrankRuehl"/>
          <w:rtl/>
        </w:rPr>
      </w:pPr>
    </w:p>
    <w:p w14:paraId="243FE08A" w14:textId="77777777" w:rsidR="00FB3E20" w:rsidRPr="00FB3E20" w:rsidRDefault="00FB3E20" w:rsidP="00FB3E20">
      <w:pPr>
        <w:spacing w:before="120" w:after="120" w:line="240" w:lineRule="exact"/>
        <w:ind w:left="283" w:hanging="283"/>
        <w:jc w:val="both"/>
        <w:rPr>
          <w:rFonts w:ascii="FrankRuehl" w:hAnsi="FrankRuehl" w:cs="FrankRuehl"/>
          <w:rtl/>
        </w:rPr>
      </w:pPr>
      <w:r w:rsidRPr="00FB3E20">
        <w:rPr>
          <w:rFonts w:ascii="FrankRuehl" w:hAnsi="FrankRuehl" w:cs="FrankRuehl"/>
          <w:rtl/>
        </w:rPr>
        <w:t xml:space="preserve">חקיקה שאוזכרה: </w:t>
      </w:r>
    </w:p>
    <w:p w14:paraId="4195C834" w14:textId="77777777" w:rsidR="00FB3E20" w:rsidRPr="00FB3E20" w:rsidRDefault="00FB3E20" w:rsidP="00FB3E20">
      <w:pPr>
        <w:spacing w:before="120" w:after="120" w:line="240" w:lineRule="exact"/>
        <w:ind w:left="283" w:hanging="283"/>
        <w:jc w:val="both"/>
        <w:rPr>
          <w:rFonts w:ascii="FrankRuehl" w:hAnsi="FrankRuehl" w:cs="FrankRuehl"/>
          <w:rtl/>
        </w:rPr>
      </w:pPr>
      <w:hyperlink r:id="rId7" w:history="1">
        <w:r w:rsidRPr="00FB3E20">
          <w:rPr>
            <w:rFonts w:ascii="FrankRuehl" w:hAnsi="FrankRuehl" w:cs="FrankRuehl"/>
            <w:color w:val="0000FF"/>
            <w:rtl/>
          </w:rPr>
          <w:t>חוק העונשין, תשל"ז-1977</w:t>
        </w:r>
      </w:hyperlink>
      <w:r w:rsidRPr="00FB3E20">
        <w:rPr>
          <w:rFonts w:ascii="FrankRuehl" w:hAnsi="FrankRuehl" w:cs="FrankRuehl"/>
          <w:rtl/>
        </w:rPr>
        <w:t xml:space="preserve">: סע'  </w:t>
      </w:r>
      <w:hyperlink r:id="rId8" w:history="1">
        <w:r w:rsidRPr="00FB3E20">
          <w:rPr>
            <w:rFonts w:ascii="FrankRuehl" w:hAnsi="FrankRuehl" w:cs="FrankRuehl"/>
            <w:color w:val="0000FF"/>
            <w:rtl/>
          </w:rPr>
          <w:t>40 ב'</w:t>
        </w:r>
      </w:hyperlink>
      <w:r w:rsidRPr="00FB3E20">
        <w:rPr>
          <w:rFonts w:ascii="FrankRuehl" w:hAnsi="FrankRuehl" w:cs="FrankRuehl"/>
          <w:rtl/>
        </w:rPr>
        <w:t xml:space="preserve">, </w:t>
      </w:r>
      <w:hyperlink r:id="rId9" w:history="1">
        <w:r w:rsidRPr="00FB3E20">
          <w:rPr>
            <w:rFonts w:ascii="FrankRuehl" w:hAnsi="FrankRuehl" w:cs="FrankRuehl"/>
            <w:color w:val="0000FF"/>
            <w:rtl/>
          </w:rPr>
          <w:t>40 ט'</w:t>
        </w:r>
      </w:hyperlink>
      <w:r w:rsidRPr="00FB3E20">
        <w:rPr>
          <w:rFonts w:ascii="FrankRuehl" w:hAnsi="FrankRuehl" w:cs="FrankRuehl"/>
          <w:rtl/>
        </w:rPr>
        <w:t xml:space="preserve">, </w:t>
      </w:r>
      <w:hyperlink r:id="rId10" w:history="1">
        <w:r w:rsidRPr="00FB3E20">
          <w:rPr>
            <w:rFonts w:ascii="FrankRuehl" w:hAnsi="FrankRuehl" w:cs="FrankRuehl"/>
            <w:color w:val="0000FF"/>
            <w:rtl/>
          </w:rPr>
          <w:t>144(א)</w:t>
        </w:r>
      </w:hyperlink>
      <w:r w:rsidRPr="00FB3E20">
        <w:rPr>
          <w:rFonts w:ascii="FrankRuehl" w:hAnsi="FrankRuehl" w:cs="FrankRuehl"/>
          <w:rtl/>
        </w:rPr>
        <w:t xml:space="preserve">, </w:t>
      </w:r>
      <w:hyperlink r:id="rId11" w:history="1">
        <w:r w:rsidRPr="00FB3E20">
          <w:rPr>
            <w:rFonts w:ascii="FrankRuehl" w:hAnsi="FrankRuehl" w:cs="FrankRuehl"/>
            <w:color w:val="0000FF"/>
            <w:rtl/>
          </w:rPr>
          <w:t>40 יא'</w:t>
        </w:r>
      </w:hyperlink>
    </w:p>
    <w:p w14:paraId="2A2E5AF8" w14:textId="77777777" w:rsidR="00FB3E20" w:rsidRPr="00FB3E20" w:rsidRDefault="00FB3E20" w:rsidP="00FB3E20">
      <w:pPr>
        <w:spacing w:before="120" w:after="120" w:line="240" w:lineRule="exact"/>
        <w:ind w:left="283" w:hanging="283"/>
        <w:jc w:val="both"/>
        <w:rPr>
          <w:rFonts w:ascii="FrankRuehl" w:hAnsi="FrankRuehl" w:cs="FrankRuehl"/>
          <w:rtl/>
        </w:rPr>
      </w:pPr>
      <w:hyperlink r:id="rId12" w:history="1">
        <w:r w:rsidRPr="00FB3E20">
          <w:rPr>
            <w:rFonts w:ascii="FrankRuehl" w:hAnsi="FrankRuehl" w:cs="FrankRuehl"/>
            <w:color w:val="0000FF"/>
            <w:rtl/>
          </w:rPr>
          <w:t>פקודת הסמים המסוכנים [נוסח חדש], תשל"ג-1973</w:t>
        </w:r>
      </w:hyperlink>
    </w:p>
    <w:p w14:paraId="4F649B08" w14:textId="77777777" w:rsidR="00FB3E20" w:rsidRPr="00FB3E20" w:rsidRDefault="00FB3E20" w:rsidP="00FB3E20">
      <w:pPr>
        <w:rPr>
          <w:rFonts w:ascii="David" w:hAnsi="David"/>
          <w:sz w:val="26"/>
          <w:szCs w:val="26"/>
          <w:rtl/>
        </w:rPr>
      </w:pPr>
      <w:bookmarkStart w:id="4" w:name="LawTable_End"/>
      <w:bookmarkEnd w:id="4"/>
    </w:p>
    <w:p w14:paraId="619C71EC" w14:textId="77777777" w:rsidR="004A7CFA" w:rsidRPr="00392A0E" w:rsidRDefault="004A7CFA" w:rsidP="004A7CFA">
      <w:pPr>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7CFA" w14:paraId="4891FA59" w14:textId="77777777" w:rsidTr="004A7CFA">
        <w:trPr>
          <w:trHeight w:val="355"/>
          <w:jc w:val="center"/>
        </w:trPr>
        <w:tc>
          <w:tcPr>
            <w:tcW w:w="8820" w:type="dxa"/>
            <w:tcBorders>
              <w:top w:val="nil"/>
              <w:left w:val="nil"/>
              <w:bottom w:val="nil"/>
              <w:right w:val="nil"/>
            </w:tcBorders>
            <w:shd w:val="clear" w:color="auto" w:fill="auto"/>
          </w:tcPr>
          <w:p w14:paraId="49CB59C7" w14:textId="77777777" w:rsidR="00392A0E" w:rsidRPr="00392A0E" w:rsidRDefault="00392A0E" w:rsidP="00392A0E">
            <w:pPr>
              <w:jc w:val="center"/>
              <w:rPr>
                <w:rFonts w:ascii="David" w:hAnsi="David"/>
                <w:b/>
                <w:bCs/>
                <w:sz w:val="28"/>
                <w:szCs w:val="28"/>
                <w:u w:val="single"/>
                <w:rtl/>
              </w:rPr>
            </w:pPr>
            <w:bookmarkStart w:id="5" w:name="PsakDin" w:colFirst="0" w:colLast="0"/>
            <w:bookmarkEnd w:id="0"/>
            <w:r w:rsidRPr="00392A0E">
              <w:rPr>
                <w:rFonts w:ascii="David" w:hAnsi="David"/>
                <w:b/>
                <w:bCs/>
                <w:sz w:val="28"/>
                <w:szCs w:val="28"/>
                <w:u w:val="single"/>
                <w:rtl/>
              </w:rPr>
              <w:t>גזר דין</w:t>
            </w:r>
          </w:p>
          <w:p w14:paraId="1940087A" w14:textId="77777777" w:rsidR="004A7CFA" w:rsidRPr="00392A0E" w:rsidRDefault="004A7CFA" w:rsidP="00392A0E">
            <w:pPr>
              <w:jc w:val="center"/>
              <w:rPr>
                <w:rFonts w:ascii="David" w:hAnsi="David"/>
                <w:bCs/>
                <w:sz w:val="28"/>
                <w:szCs w:val="28"/>
                <w:u w:val="single"/>
                <w:rtl/>
              </w:rPr>
            </w:pPr>
          </w:p>
        </w:tc>
      </w:tr>
      <w:bookmarkEnd w:id="5"/>
    </w:tbl>
    <w:p w14:paraId="233E13DB" w14:textId="77777777" w:rsidR="004A7CFA" w:rsidRPr="00B05847" w:rsidRDefault="004A7CFA" w:rsidP="004A7CFA">
      <w:pPr>
        <w:rPr>
          <w:rFonts w:ascii="Arial" w:hAnsi="Arial"/>
          <w:rtl/>
        </w:rPr>
      </w:pPr>
    </w:p>
    <w:p w14:paraId="1F8C8523" w14:textId="77777777" w:rsidR="004A7CFA" w:rsidRDefault="004A7CFA" w:rsidP="004A7CFA">
      <w:pPr>
        <w:spacing w:line="360" w:lineRule="auto"/>
        <w:jc w:val="both"/>
        <w:rPr>
          <w:sz w:val="12"/>
          <w:szCs w:val="12"/>
          <w:rtl/>
        </w:rPr>
      </w:pPr>
    </w:p>
    <w:p w14:paraId="6CDC5B9D" w14:textId="77777777" w:rsidR="004A7CFA" w:rsidRDefault="004A7CFA" w:rsidP="004A7CFA">
      <w:pPr>
        <w:rPr>
          <w:b/>
          <w:bCs/>
          <w:u w:val="single"/>
          <w:rtl/>
        </w:rPr>
      </w:pPr>
      <w:r>
        <w:rPr>
          <w:rFonts w:hint="cs"/>
          <w:b/>
          <w:bCs/>
          <w:u w:val="single"/>
          <w:rtl/>
        </w:rPr>
        <w:t>רקע</w:t>
      </w:r>
    </w:p>
    <w:p w14:paraId="5CB39650" w14:textId="77777777" w:rsidR="004A7CFA" w:rsidRDefault="004A7CFA" w:rsidP="004A7CFA">
      <w:pPr>
        <w:rPr>
          <w:b/>
          <w:bCs/>
          <w:u w:val="single"/>
          <w:rtl/>
        </w:rPr>
      </w:pPr>
    </w:p>
    <w:p w14:paraId="709A53B3" w14:textId="77777777" w:rsidR="004A7CFA" w:rsidRDefault="004A7CFA" w:rsidP="004A7CFA">
      <w:pPr>
        <w:numPr>
          <w:ilvl w:val="0"/>
          <w:numId w:val="1"/>
        </w:numPr>
        <w:spacing w:before="120" w:after="120" w:line="360" w:lineRule="auto"/>
        <w:ind w:left="357" w:hanging="357"/>
        <w:contextualSpacing/>
        <w:jc w:val="both"/>
      </w:pPr>
      <w:bookmarkStart w:id="6" w:name="ABSTRACT_START"/>
      <w:bookmarkEnd w:id="6"/>
      <w:r>
        <w:rPr>
          <w:rFonts w:hint="cs"/>
          <w:rtl/>
        </w:rPr>
        <w:t xml:space="preserve">הנאשם הורשע, על-פי הודאתו בעקבות הסדר טיעון בכתב אישום מתוקן בעבירה של החזקת נשק (אביזרי נשק), לפי </w:t>
      </w:r>
      <w:hyperlink r:id="rId13" w:history="1">
        <w:r w:rsidR="00AA74C8" w:rsidRPr="00AA74C8">
          <w:rPr>
            <w:rStyle w:val="Hyperlink"/>
            <w:rFonts w:hint="eastAsia"/>
            <w:rtl/>
          </w:rPr>
          <w:t>סעיף</w:t>
        </w:r>
        <w:r w:rsidR="00AA74C8" w:rsidRPr="00AA74C8">
          <w:rPr>
            <w:rStyle w:val="Hyperlink"/>
            <w:rtl/>
          </w:rPr>
          <w:t xml:space="preserve"> 144(א)</w:t>
        </w:r>
      </w:hyperlink>
      <w:r>
        <w:rPr>
          <w:rFonts w:hint="cs"/>
          <w:rtl/>
        </w:rPr>
        <w:t xml:space="preserve"> ל</w:t>
      </w:r>
      <w:hyperlink r:id="rId14" w:history="1">
        <w:r w:rsidR="00392A0E" w:rsidRPr="00392A0E">
          <w:rPr>
            <w:color w:val="0000FF"/>
            <w:u w:val="single"/>
            <w:rtl/>
          </w:rPr>
          <w:t>חוק העונשין</w:t>
        </w:r>
      </w:hyperlink>
      <w:r>
        <w:rPr>
          <w:rFonts w:hint="cs"/>
          <w:rtl/>
        </w:rPr>
        <w:t xml:space="preserve"> התשל"ז – 1977, (להלן: "החוק"). בגדרי הסדר הטיעון הצדדים לא הגיעו להסכמה לעניין העונש, אך הוסכם כי הטיעונים לעונש יידחו עד לאחר קבלת תסקיר שירות מבחן בעניינו של הנאשם.</w:t>
      </w:r>
    </w:p>
    <w:p w14:paraId="6B89F5A8" w14:textId="77777777" w:rsidR="004A7CFA" w:rsidRPr="006F04E9" w:rsidRDefault="004A7CFA" w:rsidP="004A7CFA">
      <w:pPr>
        <w:spacing w:before="120" w:after="120" w:line="360" w:lineRule="auto"/>
        <w:ind w:left="357"/>
        <w:contextualSpacing/>
        <w:jc w:val="both"/>
        <w:rPr>
          <w:sz w:val="12"/>
          <w:szCs w:val="12"/>
          <w:rtl/>
        </w:rPr>
      </w:pPr>
    </w:p>
    <w:p w14:paraId="26A22325" w14:textId="77777777" w:rsidR="004A7CFA" w:rsidRPr="001779D2" w:rsidRDefault="004A7CFA" w:rsidP="004A7CFA">
      <w:pPr>
        <w:numPr>
          <w:ilvl w:val="0"/>
          <w:numId w:val="1"/>
        </w:numPr>
        <w:spacing w:before="120" w:after="120" w:line="360" w:lineRule="auto"/>
        <w:ind w:left="357" w:hanging="357"/>
        <w:contextualSpacing/>
        <w:jc w:val="both"/>
        <w:rPr>
          <w:b/>
          <w:bCs/>
          <w:u w:val="single"/>
        </w:rPr>
      </w:pPr>
      <w:bookmarkStart w:id="7" w:name="ABSTRACT_END"/>
      <w:bookmarkEnd w:id="7"/>
      <w:r>
        <w:rPr>
          <w:rFonts w:hint="cs"/>
          <w:rtl/>
        </w:rPr>
        <w:t xml:space="preserve">על פי עובדות כתב האישום המתוקן, ביום 29.10.19 בשעה 15:15 הגיע הנאשם לרחוב פלטין 5 בראשון לציון, אסף חבילת דואר מתחנת דלק "מנטה" במקום ובה עשרה נוקרים המתאימים לרובה סער </w:t>
      </w:r>
      <w:r>
        <w:t>M-16</w:t>
      </w:r>
      <w:r>
        <w:rPr>
          <w:rFonts w:hint="cs"/>
          <w:rtl/>
        </w:rPr>
        <w:t xml:space="preserve">. הנאשם החזיק ברשותו את החבילה, כשהוא מודע לתכולתה. </w:t>
      </w:r>
    </w:p>
    <w:p w14:paraId="352B18AF" w14:textId="77777777" w:rsidR="004A7CFA" w:rsidRPr="001779D2" w:rsidRDefault="004A7CFA" w:rsidP="004A7CFA">
      <w:pPr>
        <w:spacing w:before="120" w:after="120" w:line="360" w:lineRule="auto"/>
        <w:ind w:left="357"/>
        <w:contextualSpacing/>
        <w:jc w:val="both"/>
        <w:rPr>
          <w:b/>
          <w:bCs/>
          <w:u w:val="single"/>
          <w:rtl/>
        </w:rPr>
      </w:pPr>
    </w:p>
    <w:p w14:paraId="515ECE09" w14:textId="77777777" w:rsidR="004A7CFA" w:rsidRDefault="004A7CFA" w:rsidP="004A7CFA">
      <w:pPr>
        <w:rPr>
          <w:b/>
          <w:bCs/>
          <w:u w:val="single"/>
          <w:rtl/>
        </w:rPr>
      </w:pPr>
      <w:r>
        <w:rPr>
          <w:rFonts w:hint="cs"/>
          <w:b/>
          <w:bCs/>
          <w:u w:val="single"/>
          <w:rtl/>
        </w:rPr>
        <w:t>תסקיר שירות המבחן</w:t>
      </w:r>
    </w:p>
    <w:p w14:paraId="3D130EA7" w14:textId="77777777" w:rsidR="004A7CFA" w:rsidRDefault="004A7CFA" w:rsidP="004A7CFA">
      <w:pPr>
        <w:numPr>
          <w:ilvl w:val="0"/>
          <w:numId w:val="1"/>
        </w:numPr>
        <w:spacing w:before="120" w:after="120" w:line="360" w:lineRule="auto"/>
        <w:ind w:left="357" w:hanging="357"/>
        <w:contextualSpacing/>
        <w:jc w:val="both"/>
        <w:rPr>
          <w:rFonts w:eastAsia="David"/>
        </w:rPr>
      </w:pPr>
      <w:r>
        <w:rPr>
          <w:rFonts w:hint="cs"/>
          <w:rtl/>
        </w:rPr>
        <w:t>מתסקיר שירות המבחן עולה, כי הנאשם בן 27 נשוי ואב לשני ילדים המתגורר בכפר עקב בירושלים. משפחת מוצאו מונה זוג הורים ושישה ילדים. הוריו בשנות ה-60 לחייהם. אביו עבד כחייט בעסק משפחתי ואמו עקרת בית. הנאשם תיאר יחסים תקינים עם בני משפחתו.</w:t>
      </w:r>
      <w:r w:rsidRPr="00AA5C5F">
        <w:rPr>
          <w:rFonts w:hint="cs"/>
          <w:rtl/>
        </w:rPr>
        <w:t xml:space="preserve"> </w:t>
      </w:r>
      <w:r>
        <w:rPr>
          <w:rFonts w:hint="cs"/>
          <w:rtl/>
        </w:rPr>
        <w:t xml:space="preserve">הנאשם מסר, כי שני הוריו סובלים ממחלות שונות. עוד מסר, כי הוריו אנשים חיוביים ונורמטיביים, אשר הביעו כעס נוכח מעורבותו בפלילים. </w:t>
      </w:r>
    </w:p>
    <w:p w14:paraId="1F25FF47" w14:textId="77777777" w:rsidR="004A7CFA" w:rsidRPr="00B02932" w:rsidRDefault="004A7CFA" w:rsidP="004A7CFA">
      <w:pPr>
        <w:spacing w:before="120" w:after="120" w:line="360" w:lineRule="auto"/>
        <w:ind w:left="357"/>
        <w:contextualSpacing/>
        <w:jc w:val="both"/>
        <w:rPr>
          <w:rFonts w:eastAsia="David"/>
          <w:sz w:val="12"/>
          <w:szCs w:val="12"/>
        </w:rPr>
      </w:pPr>
    </w:p>
    <w:p w14:paraId="0FBEFBC5" w14:textId="77777777" w:rsidR="004A7CFA" w:rsidRDefault="004A7CFA" w:rsidP="004A7CFA">
      <w:pPr>
        <w:numPr>
          <w:ilvl w:val="0"/>
          <w:numId w:val="1"/>
        </w:numPr>
        <w:spacing w:before="120" w:after="120" w:line="360" w:lineRule="auto"/>
        <w:ind w:left="357" w:hanging="357"/>
        <w:contextualSpacing/>
        <w:jc w:val="both"/>
      </w:pPr>
      <w:r>
        <w:rPr>
          <w:rFonts w:hint="cs"/>
          <w:rtl/>
        </w:rPr>
        <w:t>הנאשם למד בבית הספר עד גיל 16 ולאחר מכן הפסיק לאור מצוקה כלכלית במשפחת מוצאו, וכן על רקע קשיים לימודיים וציונים נמוכים. מבחינה חברתית תיאר, כי לאורך השנים התקשה להשתלב חברתית. כאמור, בגיל 16 עזב את בית הספר, למשך מספר חודשים היה ללא מסגרת ובהמשך החל לעבוד בחנות בגדים באזור מגוריו במשך כשנה. לאחר כשנה החל לעבוד במוסך עם אחיו, למד את יסודות המקצוע במשך מספר חודשים ולאחריהם החל לעבוד במוסך "אביגדור" בראשון לציון במשך שש שנים עד למעצרו. בעקבות הרשעתו בתיק, הופסקה עבודתו במסגרת זו.</w:t>
      </w:r>
    </w:p>
    <w:p w14:paraId="2CCD7827" w14:textId="77777777" w:rsidR="004A7CFA" w:rsidRPr="00AE482B" w:rsidRDefault="004A7CFA" w:rsidP="004A7CFA">
      <w:pPr>
        <w:spacing w:before="120" w:after="120" w:line="360" w:lineRule="auto"/>
        <w:ind w:left="357"/>
        <w:contextualSpacing/>
        <w:jc w:val="both"/>
        <w:rPr>
          <w:sz w:val="12"/>
          <w:szCs w:val="12"/>
          <w:rtl/>
        </w:rPr>
      </w:pPr>
    </w:p>
    <w:p w14:paraId="618743DC" w14:textId="77777777" w:rsidR="004A7CFA" w:rsidRDefault="004A7CFA" w:rsidP="004A7CFA">
      <w:pPr>
        <w:numPr>
          <w:ilvl w:val="0"/>
          <w:numId w:val="1"/>
        </w:numPr>
        <w:spacing w:before="120" w:after="120" w:line="360" w:lineRule="auto"/>
        <w:ind w:left="357" w:hanging="357"/>
        <w:contextualSpacing/>
        <w:jc w:val="both"/>
      </w:pPr>
      <w:r>
        <w:rPr>
          <w:rFonts w:hint="cs"/>
          <w:rtl/>
        </w:rPr>
        <w:t>אשר לביצוע העבירה, הנאשם נטל אחריות חלקית על ביצועה, תיאר התנהלותו מתוך החשיבות שמייחס לערבות ומחויבות משפחתית ומתוך היענות לבקשת סיוע של בן דודו, אך הכחיש כי היה מודע לתוכן החבילה שלקח. הוא הביע חרטה על ביצועה וחשש גדול מהמחירים שעשוי לשלם בגינה. שירות המבחן התרשם, כי על רקע עמדותיו ביחס לקשרים משפחתיים ובינאישיים הוא נענה ללחצים והתקשה לשקול השלכות מעשה.</w:t>
      </w:r>
    </w:p>
    <w:p w14:paraId="1D434B01" w14:textId="77777777" w:rsidR="004A7CFA" w:rsidRPr="00AE482B" w:rsidRDefault="004A7CFA" w:rsidP="004A7CFA">
      <w:pPr>
        <w:spacing w:before="120" w:after="120" w:line="360" w:lineRule="auto"/>
        <w:ind w:left="357"/>
        <w:contextualSpacing/>
        <w:jc w:val="both"/>
        <w:rPr>
          <w:sz w:val="12"/>
          <w:szCs w:val="12"/>
          <w:rtl/>
        </w:rPr>
      </w:pPr>
    </w:p>
    <w:p w14:paraId="39A13769"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אשר להערכת הסיכון לעבריינות והסיכוי לשיקום, מחד, מדובר באדם אשר גדל במסגרת משפחתית נורמטיבית, אשר הצליחה להוות עבורו גורם מכוון ומחנך. כמו כן לאורך השנים הוא גילה יכולת לתפקוד תקין, מחויבות למשפחתו ולתפקידו כבעל משפחה, וכן הוא תפקד באופן יציב מבחינה תעסוקתית. הנאשם נעדר עבר פלילי ושירות המבחן התרשם מרצונו לתפקוד תקין, ומכך שההליך הפלילי מהווה עבורו גורם מרתיע, כל אלה מהווים גורמי סיכוי לשיקום. מאידך, שירות המבחן התרשם מפער בין תפקודו התקין בדרך כלל וקיום אורח חיים נורמטיבי לבין אופי העבירה שביצע. הנאשם התקשה להעמיק בהתבוננות ובחינה עצמית של התנהלותו והמניעים לה, ייתכן מתוך הגנתיות וחשש מהמחירים הכרוכים בהליך הפלילי. במצבים בהם חש מחויבות וסולידריות משפחתית הוא התקשה לזהות מצבי סיכון בסביבתו ועשוי לפעול באופן אימפולסיבי מבלי לשקול תוצאות התנהלותו, כל אלה מהווים גורמי סיכון להישנות העבירה. </w:t>
      </w:r>
    </w:p>
    <w:p w14:paraId="78D78D02" w14:textId="77777777" w:rsidR="004A7CFA" w:rsidRPr="001217A6" w:rsidRDefault="004A7CFA" w:rsidP="004A7CFA">
      <w:pPr>
        <w:spacing w:before="120" w:after="120" w:line="360" w:lineRule="auto"/>
        <w:ind w:left="357"/>
        <w:contextualSpacing/>
        <w:jc w:val="both"/>
        <w:rPr>
          <w:sz w:val="12"/>
          <w:szCs w:val="12"/>
          <w:rtl/>
        </w:rPr>
      </w:pPr>
    </w:p>
    <w:p w14:paraId="00498C14"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בהמלצתו, שירות המבחן התחשב מחד גיסא, בחומרת העבירה, בגורמי הסיכון, בקשייו בהתבוננות עצמית והבנת המניעים העומדים ברקע למעשיו. ומאידך גיסא, את החלקים המתפקדים והנורמטיביים בזהותו, והעובדה כי עומד לדין לראשונה ואינו בעל דפוסים </w:t>
      </w:r>
      <w:r>
        <w:rPr>
          <w:rFonts w:hint="cs"/>
          <w:rtl/>
        </w:rPr>
        <w:lastRenderedPageBreak/>
        <w:t xml:space="preserve">עבריינים מושרשים. סופו של דבר, שירות המבחן המליץ על ענישה של מאסר אשר ירוצה בעבודות שירות, אשר ימחיש את חומרת העבירה ויהווה גורם מחדד גבולות, ומנגד יאפשר את המשך תפקודו בסביבת חייו. </w:t>
      </w:r>
    </w:p>
    <w:p w14:paraId="208F829B" w14:textId="77777777" w:rsidR="004A7CFA" w:rsidRPr="001217A6" w:rsidRDefault="004A7CFA" w:rsidP="004A7CFA">
      <w:pPr>
        <w:spacing w:before="120" w:after="120" w:line="360" w:lineRule="auto"/>
        <w:ind w:left="357"/>
        <w:contextualSpacing/>
        <w:jc w:val="both"/>
        <w:rPr>
          <w:b/>
          <w:bCs/>
          <w:u w:val="single"/>
          <w:rtl/>
        </w:rPr>
      </w:pPr>
    </w:p>
    <w:p w14:paraId="3C9235A6" w14:textId="77777777" w:rsidR="004A7CFA" w:rsidRPr="001217A6" w:rsidRDefault="004A7CFA" w:rsidP="004A7CFA">
      <w:pPr>
        <w:spacing w:before="120" w:after="120" w:line="360" w:lineRule="auto"/>
        <w:contextualSpacing/>
        <w:jc w:val="both"/>
        <w:rPr>
          <w:b/>
          <w:bCs/>
          <w:u w:val="single"/>
          <w:rtl/>
        </w:rPr>
      </w:pPr>
      <w:r w:rsidRPr="001217A6">
        <w:rPr>
          <w:rFonts w:hint="cs"/>
          <w:b/>
          <w:bCs/>
          <w:u w:val="single"/>
          <w:rtl/>
        </w:rPr>
        <w:t>טיעוני הצדדים לעונש</w:t>
      </w:r>
    </w:p>
    <w:p w14:paraId="5020F227"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rtl/>
        </w:rPr>
        <w:t>ב"כ המאשימה טענה</w:t>
      </w:r>
      <w:r>
        <w:rPr>
          <w:rFonts w:ascii="David" w:hAnsi="David" w:hint="cs"/>
          <w:rtl/>
        </w:rPr>
        <w:t>,</w:t>
      </w:r>
      <w:r>
        <w:rPr>
          <w:rFonts w:ascii="David" w:hAnsi="David"/>
          <w:rtl/>
        </w:rPr>
        <w:t xml:space="preserve"> כי אין להקל ראש במקרים של שיתוף פעולה עם הפצה ושימוש בנשק בלתי חוקי</w:t>
      </w:r>
      <w:r>
        <w:rPr>
          <w:rFonts w:ascii="David" w:hAnsi="David" w:hint="cs"/>
          <w:rtl/>
        </w:rPr>
        <w:t>,</w:t>
      </w:r>
      <w:r>
        <w:rPr>
          <w:rFonts w:ascii="David" w:hAnsi="David"/>
          <w:rtl/>
        </w:rPr>
        <w:t xml:space="preserve"> וכי מדובר בתופעה מדאיגה שיש להילחם בה מלחמת חורמה</w:t>
      </w:r>
      <w:r>
        <w:rPr>
          <w:rFonts w:ascii="David" w:hAnsi="David" w:hint="cs"/>
          <w:rtl/>
        </w:rPr>
        <w:t xml:space="preserve">. עוד הוסיפה, </w:t>
      </w:r>
      <w:r>
        <w:rPr>
          <w:rFonts w:ascii="David" w:hAnsi="David"/>
          <w:rtl/>
        </w:rPr>
        <w:t xml:space="preserve">כי מי שנוטל חלק בכל שרשרת ייצור נשק, ייבוא נשק, החזקת נשק, נשיאת נשק, </w:t>
      </w:r>
      <w:r>
        <w:rPr>
          <w:rFonts w:ascii="David" w:hAnsi="David" w:hint="cs"/>
          <w:rtl/>
        </w:rPr>
        <w:t>טמון במעשיו</w:t>
      </w:r>
      <w:r>
        <w:rPr>
          <w:rFonts w:ascii="David" w:hAnsi="David"/>
          <w:rtl/>
        </w:rPr>
        <w:t xml:space="preserve"> פוטנציאל סיכון הרסני לפגיעה בשלום הציבור וביטחונו</w:t>
      </w:r>
      <w:r>
        <w:rPr>
          <w:rFonts w:ascii="David" w:hAnsi="David" w:hint="cs"/>
          <w:rtl/>
        </w:rPr>
        <w:t>,</w:t>
      </w:r>
      <w:r>
        <w:rPr>
          <w:rFonts w:ascii="David" w:hAnsi="David"/>
          <w:rtl/>
        </w:rPr>
        <w:t xml:space="preserve"> וכי י</w:t>
      </w:r>
      <w:r>
        <w:rPr>
          <w:rFonts w:ascii="David" w:hAnsi="David" w:hint="cs"/>
          <w:rtl/>
        </w:rPr>
        <w:t>שנה סכנה</w:t>
      </w:r>
      <w:r>
        <w:rPr>
          <w:rFonts w:ascii="David" w:hAnsi="David"/>
          <w:rtl/>
        </w:rPr>
        <w:t xml:space="preserve"> </w:t>
      </w:r>
      <w:r>
        <w:rPr>
          <w:rFonts w:ascii="David" w:hAnsi="David" w:hint="cs"/>
          <w:rtl/>
        </w:rPr>
        <w:t>ש</w:t>
      </w:r>
      <w:r>
        <w:rPr>
          <w:rFonts w:ascii="David" w:hAnsi="David"/>
          <w:rtl/>
        </w:rPr>
        <w:t xml:space="preserve">הנשק יתגלגל לידיים ללא פיקוח ויכול אף להגיע לגורמים עוינים. </w:t>
      </w:r>
    </w:p>
    <w:p w14:paraId="1AF69BA3" w14:textId="77777777" w:rsidR="004A7CFA" w:rsidRPr="00CF5FAE" w:rsidRDefault="004A7CFA" w:rsidP="004A7CFA">
      <w:pPr>
        <w:spacing w:before="120" w:after="120" w:line="360" w:lineRule="auto"/>
        <w:ind w:left="357"/>
        <w:contextualSpacing/>
        <w:jc w:val="both"/>
        <w:rPr>
          <w:rFonts w:ascii="David" w:hAnsi="David"/>
          <w:sz w:val="12"/>
          <w:szCs w:val="12"/>
        </w:rPr>
      </w:pPr>
    </w:p>
    <w:p w14:paraId="01BD6B0D" w14:textId="77777777" w:rsidR="004A7CFA" w:rsidRDefault="004A7CFA" w:rsidP="004A7CFA">
      <w:pPr>
        <w:numPr>
          <w:ilvl w:val="0"/>
          <w:numId w:val="1"/>
        </w:numPr>
        <w:spacing w:before="120" w:after="120" w:line="360" w:lineRule="auto"/>
        <w:ind w:left="357" w:hanging="357"/>
        <w:contextualSpacing/>
        <w:jc w:val="both"/>
        <w:rPr>
          <w:rFonts w:ascii="David" w:hAnsi="David"/>
          <w:rtl/>
        </w:rPr>
      </w:pPr>
      <w:r>
        <w:rPr>
          <w:rFonts w:ascii="David" w:hAnsi="David"/>
          <w:rtl/>
        </w:rPr>
        <w:t>ב"כ המאשימה הפנתה לפסיקה המתייחסת להחמרה בענישה</w:t>
      </w:r>
      <w:r>
        <w:rPr>
          <w:rFonts w:ascii="David" w:hAnsi="David" w:hint="cs"/>
          <w:rtl/>
        </w:rPr>
        <w:t>,</w:t>
      </w:r>
      <w:r>
        <w:rPr>
          <w:rFonts w:ascii="David" w:hAnsi="David"/>
          <w:rtl/>
        </w:rPr>
        <w:t xml:space="preserve"> ועמדה על הצורך להחמיר בענישה בעבירות נשק בכלל  והחזקת נשק בפרט. </w:t>
      </w:r>
    </w:p>
    <w:p w14:paraId="5AC072FD" w14:textId="77777777" w:rsidR="004A7CFA" w:rsidRPr="004A7CFA" w:rsidRDefault="004A7CFA" w:rsidP="004A7CFA">
      <w:pPr>
        <w:numPr>
          <w:ilvl w:val="0"/>
          <w:numId w:val="1"/>
        </w:numPr>
        <w:spacing w:before="120" w:after="120" w:line="360" w:lineRule="auto"/>
        <w:ind w:left="357" w:hanging="357"/>
        <w:contextualSpacing/>
        <w:jc w:val="both"/>
        <w:rPr>
          <w:rFonts w:ascii="Calibri" w:hAnsi="Calibri" w:cs="Arial"/>
          <w:sz w:val="12"/>
          <w:szCs w:val="12"/>
        </w:rPr>
      </w:pPr>
      <w:r>
        <w:rPr>
          <w:rFonts w:hint="cs"/>
          <w:rtl/>
        </w:rPr>
        <w:t xml:space="preserve">אשר לנסיבות ביצוע העבירה הדגישה, </w:t>
      </w:r>
      <w:r>
        <w:rPr>
          <w:rtl/>
        </w:rPr>
        <w:t>כי החבילה הוזמנה והגיע לתחנת דלק כשהנאשם ניגש לאסוף אותה כשהוא יודע שיש שם חלקי נשק, מבלי שהיה לו רישיון או רישוי לכך</w:t>
      </w:r>
      <w:r>
        <w:rPr>
          <w:rFonts w:hint="cs"/>
          <w:rtl/>
        </w:rPr>
        <w:t>,</w:t>
      </w:r>
      <w:r>
        <w:rPr>
          <w:rtl/>
        </w:rPr>
        <w:t xml:space="preserve"> וכי מדובר בעשרה נוקרים ולא </w:t>
      </w:r>
      <w:r>
        <w:rPr>
          <w:rFonts w:hint="cs"/>
          <w:rtl/>
        </w:rPr>
        <w:t>ב</w:t>
      </w:r>
      <w:r>
        <w:rPr>
          <w:rtl/>
        </w:rPr>
        <w:t>אחד</w:t>
      </w:r>
      <w:r>
        <w:rPr>
          <w:rFonts w:hint="cs"/>
          <w:rtl/>
        </w:rPr>
        <w:t>. על כן עתרה למתחם עונש הולם הנע בין עשרה חודשי מאסר ועד 20 חודשי מאסר בפועל.</w:t>
      </w:r>
      <w:r>
        <w:rPr>
          <w:rtl/>
        </w:rPr>
        <w:t xml:space="preserve"> </w:t>
      </w:r>
    </w:p>
    <w:p w14:paraId="240846A1" w14:textId="77777777" w:rsidR="004A7CFA" w:rsidRPr="004A7CFA" w:rsidRDefault="004A7CFA" w:rsidP="004A7CFA">
      <w:pPr>
        <w:spacing w:before="120" w:after="120" w:line="360" w:lineRule="auto"/>
        <w:ind w:left="357"/>
        <w:contextualSpacing/>
        <w:jc w:val="both"/>
        <w:rPr>
          <w:rFonts w:ascii="Calibri" w:hAnsi="Calibri" w:cs="Arial"/>
          <w:sz w:val="12"/>
          <w:szCs w:val="12"/>
        </w:rPr>
      </w:pPr>
    </w:p>
    <w:p w14:paraId="6C8A5C7C"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hint="cs"/>
          <w:rtl/>
        </w:rPr>
        <w:t xml:space="preserve">אשר לעונש המתאים, טענה </w:t>
      </w:r>
      <w:r>
        <w:rPr>
          <w:rFonts w:ascii="David" w:hAnsi="David"/>
          <w:rtl/>
        </w:rPr>
        <w:t xml:space="preserve">ב"כ המאשימה שיש להתחשב </w:t>
      </w:r>
      <w:r>
        <w:rPr>
          <w:rFonts w:ascii="David" w:hAnsi="David" w:hint="cs"/>
          <w:rtl/>
        </w:rPr>
        <w:t>בכך שה</w:t>
      </w:r>
      <w:r>
        <w:rPr>
          <w:rFonts w:ascii="David" w:hAnsi="David"/>
          <w:rtl/>
        </w:rPr>
        <w:t xml:space="preserve">נאשם </w:t>
      </w:r>
      <w:r>
        <w:rPr>
          <w:rFonts w:ascii="David" w:hAnsi="David" w:hint="cs"/>
          <w:rtl/>
        </w:rPr>
        <w:t>נעדר</w:t>
      </w:r>
      <w:r>
        <w:rPr>
          <w:rFonts w:ascii="David" w:hAnsi="David"/>
          <w:rtl/>
        </w:rPr>
        <w:t xml:space="preserve"> עבר פלילי</w:t>
      </w:r>
      <w:r>
        <w:rPr>
          <w:rFonts w:hint="cs"/>
          <w:rtl/>
        </w:rPr>
        <w:t>, אשר לקח אחריות למעשיו, הודה ו</w:t>
      </w:r>
      <w:r>
        <w:rPr>
          <w:rtl/>
        </w:rPr>
        <w:t xml:space="preserve">חסך זמן שיפוטי </w:t>
      </w:r>
      <w:r>
        <w:rPr>
          <w:rFonts w:hint="cs"/>
          <w:rtl/>
        </w:rPr>
        <w:t xml:space="preserve">ושהה במעצר מיום 29.10.19 ועד יום 21.1.2020.  </w:t>
      </w:r>
      <w:r w:rsidRPr="00B56858">
        <w:rPr>
          <w:rFonts w:ascii="David" w:hAnsi="David" w:hint="cs"/>
          <w:rtl/>
        </w:rPr>
        <w:t xml:space="preserve">ב"כ המאשימה הדגישה את גורמי הסיכון בעניינו, כפי שעולים מתסקיר שירות המבחן וכן את המניעים שהובילו לביצוע העבירה. </w:t>
      </w:r>
      <w:r>
        <w:rPr>
          <w:rFonts w:ascii="David" w:hAnsi="David" w:hint="cs"/>
          <w:rtl/>
        </w:rPr>
        <w:t xml:space="preserve">בסופו של דבר עתרה המאשימה לעונש בתחתית מתחם העונש ההולם וביקשה להטיל עליו 10 חודשי מאסר בפועל ומאסר על-תנאי בניכוי ימי מעצרו. </w:t>
      </w:r>
    </w:p>
    <w:p w14:paraId="130B04A0" w14:textId="77777777" w:rsidR="004A7CFA" w:rsidRPr="000A253B" w:rsidRDefault="004A7CFA" w:rsidP="004A7CFA">
      <w:pPr>
        <w:spacing w:before="120" w:after="120" w:line="360" w:lineRule="auto"/>
        <w:ind w:left="357"/>
        <w:contextualSpacing/>
        <w:jc w:val="both"/>
        <w:rPr>
          <w:rFonts w:ascii="David" w:hAnsi="David"/>
          <w:sz w:val="14"/>
          <w:szCs w:val="14"/>
        </w:rPr>
      </w:pPr>
    </w:p>
    <w:p w14:paraId="28BD201B"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hint="cs"/>
          <w:rtl/>
        </w:rPr>
        <w:t xml:space="preserve">ב"כ הנאשם ביקש מבית המשפט להסתפק בימי מעצרו של הנאשם ובענישה מותנית, שכן מדובר במי שהיה עצור לחקירה ממושכת במשך כשלושה חודשים, ובעקבות הסדר הטיעון כתב האישום תוקן באופן משמעותי. הנאשם לקח אחריות למעשיו, חסך זמן שיפוטי והוא ניהל אורח חיים נורמטיבי טרם מעצרו. בהמשך שהה בתנאים מגבילים לתקופה ארוכה וזוהי הסתבכותו היחידה בפלילים. </w:t>
      </w:r>
    </w:p>
    <w:p w14:paraId="7A856533" w14:textId="77777777" w:rsidR="004A7CFA" w:rsidRPr="000A253B" w:rsidRDefault="004A7CFA" w:rsidP="004A7CFA">
      <w:pPr>
        <w:spacing w:before="120" w:after="120" w:line="360" w:lineRule="auto"/>
        <w:ind w:left="357"/>
        <w:contextualSpacing/>
        <w:jc w:val="both"/>
        <w:rPr>
          <w:rFonts w:ascii="David" w:hAnsi="David"/>
          <w:sz w:val="12"/>
          <w:szCs w:val="12"/>
        </w:rPr>
      </w:pPr>
    </w:p>
    <w:p w14:paraId="6A885AF9" w14:textId="77777777" w:rsidR="004A7CFA" w:rsidRPr="00B56858" w:rsidRDefault="004A7CFA" w:rsidP="004A7CFA">
      <w:pPr>
        <w:numPr>
          <w:ilvl w:val="0"/>
          <w:numId w:val="1"/>
        </w:numPr>
        <w:spacing w:before="120" w:after="120" w:line="360" w:lineRule="auto"/>
        <w:ind w:left="357" w:hanging="357"/>
        <w:contextualSpacing/>
        <w:jc w:val="both"/>
        <w:rPr>
          <w:rFonts w:ascii="David" w:hAnsi="David"/>
          <w:rtl/>
        </w:rPr>
      </w:pPr>
      <w:r>
        <w:rPr>
          <w:rFonts w:ascii="David" w:hAnsi="David" w:hint="cs"/>
          <w:rtl/>
        </w:rPr>
        <w:t xml:space="preserve">הנאשם בדברו האחרון לקח אחריות למעשיו, מסר כי עשה טעות, הוא נשוי ואב לילדים ומעוניין להמשיך לעבוד כמוסכניק, ואף מצא מקום עבודה שיוכל להשתלב בו לאחר שיוסרו התנאים המגבילים. </w:t>
      </w:r>
    </w:p>
    <w:p w14:paraId="0C16EFA2" w14:textId="77777777" w:rsidR="004A7CFA" w:rsidRPr="00B56858" w:rsidRDefault="004A7CFA" w:rsidP="004A7CFA">
      <w:pPr>
        <w:rPr>
          <w:rFonts w:ascii="David" w:hAnsi="David"/>
          <w:rtl/>
        </w:rPr>
      </w:pPr>
      <w:r w:rsidRPr="00B56858">
        <w:rPr>
          <w:rFonts w:ascii="David" w:hAnsi="David"/>
          <w:rtl/>
        </w:rPr>
        <w:t xml:space="preserve"> </w:t>
      </w:r>
    </w:p>
    <w:p w14:paraId="66F3BFEA" w14:textId="77777777" w:rsidR="004A7CFA" w:rsidRDefault="004A7CFA" w:rsidP="004A7CFA">
      <w:pPr>
        <w:spacing w:line="360" w:lineRule="auto"/>
        <w:jc w:val="both"/>
        <w:rPr>
          <w:b/>
          <w:bCs/>
          <w:u w:val="single"/>
          <w:rtl/>
        </w:rPr>
      </w:pPr>
    </w:p>
    <w:p w14:paraId="30165857" w14:textId="77777777" w:rsidR="004A7CFA" w:rsidRDefault="004A7CFA" w:rsidP="004A7CFA">
      <w:pPr>
        <w:spacing w:line="360" w:lineRule="auto"/>
        <w:jc w:val="both"/>
        <w:rPr>
          <w:rtl/>
        </w:rPr>
      </w:pPr>
      <w:r>
        <w:rPr>
          <w:rFonts w:hint="cs"/>
          <w:b/>
          <w:bCs/>
          <w:u w:val="single"/>
          <w:rtl/>
        </w:rPr>
        <w:t>מתחם העונש ההולם</w:t>
      </w:r>
    </w:p>
    <w:p w14:paraId="6447BD65" w14:textId="77777777" w:rsidR="004A7CFA" w:rsidRDefault="004A7CFA" w:rsidP="004A7CFA">
      <w:pPr>
        <w:numPr>
          <w:ilvl w:val="0"/>
          <w:numId w:val="1"/>
        </w:numPr>
        <w:spacing w:before="120" w:after="120" w:line="360" w:lineRule="auto"/>
        <w:ind w:left="357" w:hanging="357"/>
        <w:contextualSpacing/>
        <w:jc w:val="both"/>
        <w:rPr>
          <w:rFonts w:ascii="Calibri" w:hAnsi="Calibri"/>
        </w:rPr>
      </w:pPr>
      <w:r>
        <w:rPr>
          <w:rFonts w:ascii="Arial" w:hAnsi="Arial" w:hint="cs"/>
          <w:rtl/>
        </w:rPr>
        <w:t>על</w:t>
      </w:r>
      <w:r>
        <w:rPr>
          <w:rFonts w:ascii="Calibri" w:hAnsi="Calibri" w:hint="cs"/>
          <w:rtl/>
        </w:rPr>
        <w:t xml:space="preserve"> פי סעיף </w:t>
      </w:r>
      <w:hyperlink r:id="rId15" w:history="1">
        <w:r w:rsidR="00AA74C8" w:rsidRPr="00AA74C8">
          <w:rPr>
            <w:rStyle w:val="Hyperlink"/>
            <w:rFonts w:ascii="Calibri" w:hAnsi="Calibri"/>
            <w:rtl/>
          </w:rPr>
          <w:t xml:space="preserve">40 </w:t>
        </w:r>
        <w:r w:rsidR="00AA74C8" w:rsidRPr="00AA74C8">
          <w:rPr>
            <w:rStyle w:val="Hyperlink"/>
            <w:rFonts w:ascii="Calibri" w:hAnsi="Calibri" w:hint="eastAsia"/>
            <w:rtl/>
          </w:rPr>
          <w:t>ב</w:t>
        </w:r>
        <w:r w:rsidR="00AA74C8" w:rsidRPr="00AA74C8">
          <w:rPr>
            <w:rStyle w:val="Hyperlink"/>
            <w:rFonts w:ascii="Calibri" w:hAnsi="Calibri"/>
            <w:rtl/>
          </w:rPr>
          <w:t>'</w:t>
        </w:r>
      </w:hyperlink>
      <w:r w:rsidRPr="00A953EE">
        <w:rPr>
          <w:rFonts w:ascii="Calibri" w:hAnsi="Calibri"/>
          <w:rtl/>
        </w:rPr>
        <w:t xml:space="preserve"> </w:t>
      </w:r>
      <w:r>
        <w:rPr>
          <w:rFonts w:ascii="Calibri" w:hAnsi="Calibri" w:hint="cs"/>
          <w:rtl/>
        </w:rPr>
        <w:t>ל</w:t>
      </w:r>
      <w:hyperlink r:id="rId16" w:history="1">
        <w:r w:rsidR="00392A0E" w:rsidRPr="00392A0E">
          <w:rPr>
            <w:rFonts w:ascii="Calibri" w:hAnsi="Calibri" w:hint="eastAsia"/>
            <w:color w:val="0000FF"/>
            <w:u w:val="single"/>
            <w:rtl/>
          </w:rPr>
          <w:t>חוק</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העונשין</w:t>
        </w:r>
      </w:hyperlink>
      <w:r>
        <w:rPr>
          <w:rFonts w:ascii="Calibri" w:hAnsi="Calibri" w:hint="cs"/>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2F39C9F2" w14:textId="77777777" w:rsidR="004A7CFA" w:rsidRPr="001217A6" w:rsidRDefault="004A7CFA" w:rsidP="004A7CFA">
      <w:pPr>
        <w:spacing w:before="120" w:after="120" w:line="360" w:lineRule="auto"/>
        <w:ind w:left="357"/>
        <w:contextualSpacing/>
        <w:jc w:val="both"/>
        <w:rPr>
          <w:rFonts w:ascii="Calibri" w:hAnsi="Calibri"/>
          <w:sz w:val="12"/>
          <w:szCs w:val="12"/>
        </w:rPr>
      </w:pPr>
    </w:p>
    <w:p w14:paraId="5705253A" w14:textId="77777777" w:rsidR="004A7CFA" w:rsidRDefault="004A7CFA" w:rsidP="004A7CFA">
      <w:pPr>
        <w:numPr>
          <w:ilvl w:val="0"/>
          <w:numId w:val="1"/>
        </w:numPr>
        <w:spacing w:before="120" w:after="120" w:line="360" w:lineRule="auto"/>
        <w:ind w:left="357" w:hanging="357"/>
        <w:contextualSpacing/>
        <w:jc w:val="both"/>
        <w:rPr>
          <w:rFonts w:ascii="Arial" w:eastAsia="David" w:hAnsi="Arial"/>
          <w:sz w:val="10"/>
          <w:szCs w:val="10"/>
        </w:rPr>
      </w:pPr>
      <w:r>
        <w:rPr>
          <w:rFonts w:ascii="Arial" w:hAnsi="Arial" w:hint="cs"/>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w:t>
      </w:r>
      <w:r>
        <w:rPr>
          <w:rFonts w:hint="cs"/>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p>
    <w:p w14:paraId="7B71F384" w14:textId="77777777" w:rsidR="004A7CFA" w:rsidRDefault="004A7CFA" w:rsidP="004A7CFA">
      <w:pPr>
        <w:spacing w:before="120" w:after="120" w:line="360" w:lineRule="auto"/>
        <w:ind w:left="357"/>
        <w:contextualSpacing/>
        <w:jc w:val="both"/>
        <w:rPr>
          <w:rFonts w:ascii="Arial" w:eastAsia="David" w:hAnsi="Arial"/>
          <w:sz w:val="10"/>
          <w:szCs w:val="10"/>
        </w:rPr>
      </w:pPr>
    </w:p>
    <w:p w14:paraId="5D97F9CD" w14:textId="77777777" w:rsidR="004A7CFA" w:rsidRPr="004A7CFA" w:rsidRDefault="004A7CFA" w:rsidP="004A7CFA">
      <w:pPr>
        <w:numPr>
          <w:ilvl w:val="0"/>
          <w:numId w:val="1"/>
        </w:numPr>
        <w:spacing w:before="120" w:after="120" w:line="360" w:lineRule="auto"/>
        <w:ind w:left="357" w:hanging="357"/>
        <w:contextualSpacing/>
        <w:jc w:val="both"/>
        <w:rPr>
          <w:rFonts w:ascii="Calibri" w:hAnsi="Calibri"/>
        </w:rPr>
      </w:pPr>
      <w:r w:rsidRPr="004A7CFA">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17" w:history="1">
        <w:r w:rsidR="00392A0E" w:rsidRPr="00392A0E">
          <w:rPr>
            <w:rFonts w:ascii="Calibri" w:hAnsi="Calibri" w:hint="eastAsia"/>
            <w:color w:val="0000FF"/>
            <w:u w:val="single"/>
            <w:rtl/>
          </w:rPr>
          <w:t>ע</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1323/13</w:t>
        </w:r>
      </w:hyperlink>
      <w:r w:rsidRPr="004A7CFA">
        <w:rPr>
          <w:rFonts w:ascii="Calibri" w:hAnsi="Calibri"/>
          <w:rtl/>
        </w:rPr>
        <w:t xml:space="preserve"> </w:t>
      </w:r>
      <w:r w:rsidRPr="004A7CFA">
        <w:rPr>
          <w:rFonts w:ascii="Calibri" w:hAnsi="Calibri" w:hint="cs"/>
          <w:b/>
          <w:bCs/>
          <w:rtl/>
        </w:rPr>
        <w:t>רך חסן  נגד מדינת ישראל</w:t>
      </w:r>
      <w:r w:rsidRPr="004A7CFA">
        <w:rPr>
          <w:rFonts w:ascii="Calibri" w:hAnsi="Calibri" w:hint="cs"/>
          <w:rtl/>
        </w:rPr>
        <w:t xml:space="preserve">  (ניתן ביום 5.6.13), שם קבעה כבוד השופטת ע' ארבל:</w:t>
      </w:r>
    </w:p>
    <w:p w14:paraId="2A570836" w14:textId="77777777" w:rsidR="004A7CFA" w:rsidRPr="004A7CFA" w:rsidRDefault="004A7CFA" w:rsidP="004A7CFA">
      <w:pPr>
        <w:spacing w:before="120" w:after="120" w:line="360" w:lineRule="auto"/>
        <w:ind w:left="782"/>
        <w:contextualSpacing/>
        <w:jc w:val="both"/>
        <w:rPr>
          <w:rFonts w:ascii="Calibri" w:hAnsi="Calibri"/>
          <w:sz w:val="12"/>
          <w:szCs w:val="12"/>
        </w:rPr>
      </w:pPr>
    </w:p>
    <w:p w14:paraId="67E2D82E" w14:textId="77777777" w:rsidR="004A7CFA" w:rsidRDefault="004A7CFA" w:rsidP="004A7CFA">
      <w:pPr>
        <w:spacing w:before="120" w:after="120" w:line="360" w:lineRule="auto"/>
        <w:ind w:left="720"/>
        <w:contextualSpacing/>
        <w:jc w:val="both"/>
        <w:rPr>
          <w:rFonts w:ascii="David" w:hAnsi="David"/>
          <w:b/>
          <w:bCs/>
        </w:rPr>
      </w:pPr>
      <w:r>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048C5161" w14:textId="77777777" w:rsidR="004A7CFA" w:rsidRPr="002D0738" w:rsidRDefault="004A7CFA" w:rsidP="004A7CFA">
      <w:pPr>
        <w:spacing w:before="120" w:after="120" w:line="360" w:lineRule="auto"/>
        <w:contextualSpacing/>
        <w:jc w:val="both"/>
        <w:rPr>
          <w:b/>
          <w:bCs/>
          <w:sz w:val="12"/>
          <w:szCs w:val="12"/>
          <w:rtl/>
        </w:rPr>
      </w:pPr>
    </w:p>
    <w:p w14:paraId="161AA299"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במסגרת </w:t>
      </w:r>
      <w:r>
        <w:rPr>
          <w:rFonts w:hint="cs"/>
          <w:b/>
          <w:bCs/>
          <w:rtl/>
        </w:rPr>
        <w:t xml:space="preserve">הנסיבות הקשורות בביצוע העבירה </w:t>
      </w:r>
      <w:r>
        <w:rPr>
          <w:rFonts w:hint="cs"/>
          <w:rtl/>
        </w:rPr>
        <w:t>(</w:t>
      </w:r>
      <w:r w:rsidRPr="00392A0E">
        <w:rPr>
          <w:rFonts w:hint="cs"/>
          <w:color w:val="000000"/>
          <w:rtl/>
        </w:rPr>
        <w:t xml:space="preserve">סעיף </w:t>
      </w:r>
      <w:hyperlink r:id="rId18" w:history="1">
        <w:r w:rsidR="00AA74C8" w:rsidRPr="00AA74C8">
          <w:rPr>
            <w:rStyle w:val="Hyperlink"/>
            <w:rtl/>
          </w:rPr>
          <w:t>40 ט'</w:t>
        </w:r>
      </w:hyperlink>
      <w:r w:rsidRPr="002D0738">
        <w:rPr>
          <w:rtl/>
        </w:rPr>
        <w:t xml:space="preserve"> </w:t>
      </w:r>
      <w:r w:rsidRPr="002D0738">
        <w:rPr>
          <w:rFonts w:hint="cs"/>
          <w:rtl/>
        </w:rPr>
        <w:t>ל</w:t>
      </w:r>
      <w:hyperlink r:id="rId19" w:history="1">
        <w:r w:rsidR="00392A0E" w:rsidRPr="00392A0E">
          <w:rPr>
            <w:color w:val="0000FF"/>
            <w:u w:val="single"/>
            <w:rtl/>
          </w:rPr>
          <w:t>חוק העונשין</w:t>
        </w:r>
      </w:hyperlink>
      <w:r>
        <w:rPr>
          <w:rFonts w:hint="cs"/>
          <w:rtl/>
        </w:rPr>
        <w:t xml:space="preserve">), יש לתת את הדעת לשיקולים הבאים: הנאשם אסף חבילת דואר מתחנת דלק מנטה, כאשר היו בחבילה עשרה נוקרים המתאימים לרובה סער מסוג </w:t>
      </w:r>
      <w:r>
        <w:t>M-16</w:t>
      </w:r>
      <w:r>
        <w:rPr>
          <w:rFonts w:hint="cs"/>
          <w:rtl/>
        </w:rPr>
        <w:t xml:space="preserve">. הנאשם החזיק את החבילה ברשותו והיה מודע לתכולתה של החבילה. אין מדובר בהחזקת נשק, אלא בהחזקת אביזר נשק, שזוהי עבירת עוון שהעונש המרבי הקבוע לצידה הוא עד שלוש שנות מאסר. עם זאת, מדובר באביזר נשק המאפשר ירי לטווח רחוק המיועד לפי טיבו ומהותו לפגיעה בנפש </w:t>
      </w:r>
      <w:r>
        <w:rPr>
          <w:rFonts w:ascii="Arial" w:hAnsi="Arial" w:hint="cs"/>
          <w:rtl/>
        </w:rPr>
        <w:t xml:space="preserve">או לגרימת נזק היקפי גדול לשלמות הגוף,  והוא בעל פוטנציאל קטילה של ממש, וכן מדובר במספר רב של נוקרים. </w:t>
      </w:r>
      <w:r>
        <w:rPr>
          <w:rFonts w:hint="cs"/>
          <w:rtl/>
        </w:rPr>
        <w:t>בסופו של יום לא נגרם נזק ממשי בגין העבירה בה הורשע הנאשם, כך שמידת הפגיעה בערך המוגן במקרה הנדון אינו במדרג חומרה גבוה.</w:t>
      </w:r>
    </w:p>
    <w:p w14:paraId="16DC8F71" w14:textId="77777777" w:rsidR="004A7CFA" w:rsidRPr="002D0738" w:rsidRDefault="004A7CFA" w:rsidP="004A7CFA">
      <w:pPr>
        <w:spacing w:before="120" w:after="120" w:line="360" w:lineRule="auto"/>
        <w:ind w:left="357"/>
        <w:contextualSpacing/>
        <w:jc w:val="both"/>
        <w:rPr>
          <w:sz w:val="12"/>
          <w:szCs w:val="12"/>
          <w:rtl/>
        </w:rPr>
      </w:pPr>
    </w:p>
    <w:p w14:paraId="26779CF2" w14:textId="77777777" w:rsidR="004A7CFA" w:rsidRDefault="004A7CFA" w:rsidP="004A7CFA">
      <w:pPr>
        <w:numPr>
          <w:ilvl w:val="0"/>
          <w:numId w:val="1"/>
        </w:numPr>
        <w:spacing w:before="120" w:after="120" w:line="360" w:lineRule="auto"/>
        <w:ind w:left="357" w:hanging="357"/>
        <w:contextualSpacing/>
        <w:jc w:val="both"/>
        <w:rPr>
          <w:rFonts w:eastAsia="David"/>
        </w:rPr>
      </w:pPr>
      <w:r>
        <w:rPr>
          <w:rtl/>
        </w:rPr>
        <w:t>מדיניות הענישה הנהוגה בעבירות בנשק ה</w:t>
      </w:r>
      <w:r>
        <w:rPr>
          <w:rFonts w:hint="cs"/>
          <w:rtl/>
        </w:rPr>
        <w:t>יא</w:t>
      </w:r>
      <w:r>
        <w:rPr>
          <w:rtl/>
        </w:rPr>
        <w:t xml:space="preserve"> מגוונת ותלויה </w:t>
      </w:r>
      <w:r>
        <w:rPr>
          <w:b/>
          <w:bCs/>
          <w:rtl/>
        </w:rPr>
        <w:t xml:space="preserve">בנסיבותיו </w:t>
      </w:r>
      <w:r>
        <w:rPr>
          <w:rtl/>
        </w:rPr>
        <w:t>של כל מקרה ומקרה. כך למשל –</w:t>
      </w:r>
    </w:p>
    <w:p w14:paraId="55CCC0E9" w14:textId="77777777" w:rsidR="004A7CFA" w:rsidRPr="006B201D" w:rsidRDefault="004A7CFA" w:rsidP="004A7CFA">
      <w:pPr>
        <w:numPr>
          <w:ilvl w:val="1"/>
          <w:numId w:val="1"/>
        </w:numPr>
        <w:spacing w:after="120" w:line="360" w:lineRule="auto"/>
        <w:jc w:val="both"/>
        <w:rPr>
          <w:rFonts w:ascii="David" w:hAnsi="David"/>
        </w:rPr>
      </w:pPr>
      <w:r w:rsidRPr="006B201D">
        <w:rPr>
          <w:rFonts w:ascii="David" w:hAnsi="David"/>
          <w:rtl/>
        </w:rPr>
        <w:t>ב</w:t>
      </w:r>
      <w:hyperlink r:id="rId20" w:history="1">
        <w:r w:rsidR="00392A0E" w:rsidRPr="00392A0E">
          <w:rPr>
            <w:rFonts w:ascii="David" w:hAnsi="David"/>
            <w:color w:val="0000FF"/>
            <w:u w:val="single"/>
            <w:rtl/>
          </w:rPr>
          <w:t>רע"פ 8730/18</w:t>
        </w:r>
      </w:hyperlink>
      <w:r w:rsidRPr="006B201D">
        <w:rPr>
          <w:rFonts w:ascii="David" w:hAnsi="David"/>
          <w:rtl/>
        </w:rPr>
        <w:t xml:space="preserve"> </w:t>
      </w:r>
      <w:r w:rsidRPr="006B201D">
        <w:rPr>
          <w:rFonts w:ascii="David" w:hAnsi="David"/>
          <w:b/>
          <w:bCs/>
          <w:rtl/>
        </w:rPr>
        <w:t>מרשה נ' מדינת ישראל</w:t>
      </w:r>
      <w:r w:rsidRPr="006B201D">
        <w:rPr>
          <w:rFonts w:ascii="David" w:hAnsi="David"/>
          <w:rtl/>
        </w:rPr>
        <w:t xml:space="preserve"> (פורסם בנבו, 24.1.19), מדובר על מי שהורשע בבית משפט השלום בהחזקת אקדח יחד עם מחסנית וכדורים תואמים ונגזרו עליו 6 חודשים מאסר בדרך של עבודות שרות. בית המשפט המחוזי קיבל את ערעורה של המדינה על קולת העונש וגזר עליו 8 חודשים מאסר בפועל. בקשת רשות הערעור נדחתה.</w:t>
      </w:r>
    </w:p>
    <w:p w14:paraId="2B11920C" w14:textId="77777777" w:rsidR="004A7CFA" w:rsidRDefault="004A7CFA" w:rsidP="004A7CFA">
      <w:pPr>
        <w:pStyle w:val="a9"/>
        <w:numPr>
          <w:ilvl w:val="1"/>
          <w:numId w:val="1"/>
        </w:numPr>
        <w:spacing w:before="120" w:after="120" w:line="360" w:lineRule="auto"/>
        <w:jc w:val="both"/>
        <w:rPr>
          <w:rFonts w:ascii="Arial" w:hAnsi="Arial"/>
        </w:rPr>
      </w:pPr>
      <w:r w:rsidRPr="00A31677">
        <w:rPr>
          <w:rFonts w:ascii="Arial" w:hAnsi="Arial" w:hint="cs"/>
          <w:rtl/>
        </w:rPr>
        <w:t>ב</w:t>
      </w:r>
      <w:hyperlink r:id="rId21" w:history="1">
        <w:r w:rsidR="00392A0E" w:rsidRPr="00392A0E">
          <w:rPr>
            <w:rFonts w:ascii="Arial" w:hAnsi="Arial"/>
            <w:color w:val="0000FF"/>
            <w:u w:val="single"/>
            <w:rtl/>
          </w:rPr>
          <w:t>ע"פ 6294/10</w:t>
        </w:r>
      </w:hyperlink>
      <w:r w:rsidRPr="00A31677">
        <w:rPr>
          <w:rFonts w:ascii="Arial" w:hAnsi="Arial"/>
          <w:rtl/>
        </w:rPr>
        <w:t xml:space="preserve"> </w:t>
      </w:r>
      <w:r w:rsidRPr="00A31677">
        <w:rPr>
          <w:rFonts w:ascii="Arial" w:hAnsi="Arial" w:hint="cs"/>
          <w:b/>
          <w:bCs/>
          <w:rtl/>
        </w:rPr>
        <w:t>אלקיעאן ואח' נגד מ"י</w:t>
      </w:r>
      <w:r w:rsidRPr="00A31677">
        <w:rPr>
          <w:rFonts w:ascii="Arial" w:hAnsi="Arial" w:hint="cs"/>
          <w:rtl/>
        </w:rPr>
        <w:t xml:space="preserve"> [פורסם בנבו]  (ניתן ביום 13</w:t>
      </w:r>
      <w:r>
        <w:rPr>
          <w:rFonts w:ascii="Arial" w:hAnsi="Arial" w:hint="cs"/>
          <w:rtl/>
        </w:rPr>
        <w:t>.02.2011) דחה בית המשפט העליון</w:t>
      </w:r>
      <w:r w:rsidRPr="00A31677">
        <w:rPr>
          <w:rFonts w:ascii="Arial" w:hAnsi="Arial" w:hint="cs"/>
          <w:rtl/>
        </w:rPr>
        <w:t xml:space="preserve"> את ערעורם של נאשמים שהורשעו בהחזקת אקדח טעון ומחסנית. בגין מעשים אלו נדונו המערערים ל- 10 חודשי מאסר בפועל.</w:t>
      </w:r>
    </w:p>
    <w:p w14:paraId="5C1CA34F" w14:textId="77777777" w:rsidR="004A7CFA" w:rsidRDefault="004A7CFA" w:rsidP="004A7CFA">
      <w:pPr>
        <w:numPr>
          <w:ilvl w:val="1"/>
          <w:numId w:val="1"/>
        </w:numPr>
        <w:spacing w:after="120" w:line="360" w:lineRule="auto"/>
        <w:jc w:val="both"/>
      </w:pPr>
      <w:r w:rsidRPr="00A31677">
        <w:rPr>
          <w:rtl/>
        </w:rPr>
        <w:t>ב</w:t>
      </w:r>
      <w:hyperlink r:id="rId22" w:history="1">
        <w:r w:rsidR="00392A0E" w:rsidRPr="00392A0E">
          <w:rPr>
            <w:color w:val="0000FF"/>
            <w:u w:val="single"/>
            <w:rtl/>
          </w:rPr>
          <w:t>ע"פ 5604/11</w:t>
        </w:r>
      </w:hyperlink>
      <w:r>
        <w:rPr>
          <w:rtl/>
        </w:rPr>
        <w:t xml:space="preserve"> </w:t>
      </w:r>
      <w:r>
        <w:rPr>
          <w:rFonts w:hint="cs"/>
          <w:b/>
          <w:bCs/>
          <w:rtl/>
        </w:rPr>
        <w:t>נאסר נ' מדינת ישראל</w:t>
      </w:r>
      <w:r>
        <w:rPr>
          <w:rFonts w:hint="cs"/>
          <w:rtl/>
        </w:rPr>
        <w:t xml:space="preserve"> </w:t>
      </w:r>
      <w:r>
        <w:rPr>
          <w:rFonts w:ascii="Arial" w:hAnsi="Arial"/>
          <w:rtl/>
        </w:rPr>
        <w:t xml:space="preserve">[פורסם בנבו]  </w:t>
      </w:r>
      <w:r>
        <w:rPr>
          <w:rtl/>
        </w:rPr>
        <w:t>(ניתן ביום,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51B1FC71" w14:textId="77777777" w:rsidR="004A7CFA" w:rsidRDefault="004A7CFA" w:rsidP="004A7CFA">
      <w:pPr>
        <w:numPr>
          <w:ilvl w:val="1"/>
          <w:numId w:val="1"/>
        </w:numPr>
        <w:spacing w:after="120" w:line="360" w:lineRule="auto"/>
        <w:jc w:val="both"/>
      </w:pPr>
      <w:r w:rsidRPr="00A31677">
        <w:rPr>
          <w:rtl/>
        </w:rPr>
        <w:t>ב</w:t>
      </w:r>
      <w:hyperlink r:id="rId23" w:history="1">
        <w:r w:rsidR="00392A0E" w:rsidRPr="00392A0E">
          <w:rPr>
            <w:color w:val="0000FF"/>
            <w:u w:val="single"/>
            <w:rtl/>
          </w:rPr>
          <w:t>ע"פ 7502/12</w:t>
        </w:r>
      </w:hyperlink>
      <w:r w:rsidRPr="00A31677">
        <w:rPr>
          <w:rtl/>
        </w:rPr>
        <w:t xml:space="preserve"> </w:t>
      </w:r>
      <w:r w:rsidRPr="00A31677">
        <w:rPr>
          <w:rFonts w:hint="cs"/>
          <w:b/>
          <w:bCs/>
          <w:rtl/>
        </w:rPr>
        <w:t xml:space="preserve">כוויס נ' מדינת ישראל </w:t>
      </w:r>
      <w:r w:rsidRPr="00A31677">
        <w:rPr>
          <w:rFonts w:ascii="Arial" w:hAnsi="Arial"/>
          <w:rtl/>
        </w:rPr>
        <w:t xml:space="preserve">[פורסם בנבו]  </w:t>
      </w:r>
      <w:r w:rsidRPr="00A31677">
        <w:rPr>
          <w:rtl/>
        </w:rPr>
        <w:t xml:space="preserve">(ניתן ביום, 25.6.13), נדחה ערעורו של נאשם אשר הורשע על יסוד הודאתו בביצוע עבירה של החזקת נשק. הנאשם החזיק בביתו באקדח, שתי מחסניות לאקדח ו- 15 כדורי אקדח. </w:t>
      </w:r>
      <w:r>
        <w:rPr>
          <w:rFonts w:hint="cs"/>
          <w:rtl/>
        </w:rPr>
        <w:t xml:space="preserve">הנאשם </w:t>
      </w:r>
      <w:r>
        <w:rPr>
          <w:rtl/>
        </w:rPr>
        <w:t>נ</w:t>
      </w:r>
      <w:r w:rsidRPr="00A31677">
        <w:rPr>
          <w:rtl/>
        </w:rPr>
        <w:t>דון ל-7 חודשי מאסר בפועל.</w:t>
      </w:r>
      <w:r>
        <w:rPr>
          <w:rtl/>
        </w:rPr>
        <w:t xml:space="preserve"> </w:t>
      </w:r>
    </w:p>
    <w:p w14:paraId="342E66B9" w14:textId="77777777" w:rsidR="004A7CFA" w:rsidRPr="006B201D" w:rsidRDefault="004A7CFA" w:rsidP="004A7CFA">
      <w:pPr>
        <w:rPr>
          <w:rFonts w:ascii="Calibri" w:hAnsi="Calibri" w:cs="FrankRuehl"/>
          <w:sz w:val="12"/>
          <w:szCs w:val="12"/>
        </w:rPr>
      </w:pPr>
    </w:p>
    <w:p w14:paraId="7327A1B8" w14:textId="77777777" w:rsidR="004A7CFA" w:rsidRDefault="004A7CFA" w:rsidP="004A7CFA">
      <w:pPr>
        <w:numPr>
          <w:ilvl w:val="1"/>
          <w:numId w:val="1"/>
        </w:numPr>
        <w:spacing w:after="120" w:line="360" w:lineRule="auto"/>
        <w:jc w:val="both"/>
        <w:rPr>
          <w:rFonts w:ascii="David" w:hAnsi="David"/>
          <w:u w:val="single"/>
        </w:rPr>
      </w:pPr>
      <w:r w:rsidRPr="00A31677">
        <w:rPr>
          <w:rtl/>
        </w:rPr>
        <w:t>ב</w:t>
      </w:r>
      <w:hyperlink r:id="rId24" w:history="1">
        <w:r w:rsidR="00392A0E" w:rsidRPr="00392A0E">
          <w:rPr>
            <w:color w:val="0000FF"/>
            <w:u w:val="single"/>
            <w:rtl/>
          </w:rPr>
          <w:t>ת"פ (מחוזי-חי') 553-06-14</w:t>
        </w:r>
      </w:hyperlink>
      <w:r w:rsidRPr="00A31677">
        <w:rPr>
          <w:rtl/>
        </w:rPr>
        <w:t xml:space="preserve"> </w:t>
      </w:r>
      <w:r>
        <w:rPr>
          <w:rFonts w:hint="cs"/>
          <w:b/>
          <w:bCs/>
          <w:rtl/>
        </w:rPr>
        <w:t>מדינת ישראל נ' אגבאריה</w:t>
      </w:r>
      <w:r>
        <w:rPr>
          <w:rFonts w:hint="cs"/>
          <w:rtl/>
        </w:rPr>
        <w:t xml:space="preserve"> (פורסם בנבו, 18.09.14) נדון עניינם של שני נאשמים, האחד שהחזיק ברכבו אקדח מסוג קארין ושתי מחסניות והשני החזיק, באותן נסיבות, אקדח מסוג יריחו ומחסנית. בית המשפט קבע כי מתחם העונש ההולם מתחיל מ-6 חודשי מאסר לריצוי בעבודות שירות ועד 3 שנות מאסר. על כל אחד מהנאשמים באותו מקרה הושת עונש של 6 חודשי מאסר בעבודות שירות.  </w:t>
      </w:r>
    </w:p>
    <w:p w14:paraId="5273F9DE" w14:textId="77777777" w:rsidR="004A7CFA" w:rsidRPr="00A31677" w:rsidRDefault="004A7CFA" w:rsidP="004A7CFA">
      <w:pPr>
        <w:pStyle w:val="a9"/>
        <w:rPr>
          <w:sz w:val="12"/>
          <w:szCs w:val="12"/>
          <w:u w:val="single"/>
        </w:rPr>
      </w:pPr>
    </w:p>
    <w:p w14:paraId="46459463" w14:textId="77777777" w:rsidR="004A7CFA" w:rsidRPr="00A31677" w:rsidRDefault="004A7CFA" w:rsidP="004A7CFA">
      <w:pPr>
        <w:numPr>
          <w:ilvl w:val="1"/>
          <w:numId w:val="1"/>
        </w:numPr>
        <w:spacing w:after="120" w:line="360" w:lineRule="auto"/>
        <w:jc w:val="both"/>
        <w:rPr>
          <w:rFonts w:ascii="David" w:hAnsi="David"/>
          <w:sz w:val="22"/>
          <w:rtl/>
        </w:rPr>
      </w:pPr>
      <w:r w:rsidRPr="00A31677">
        <w:rPr>
          <w:rFonts w:ascii="David" w:hAnsi="David"/>
          <w:sz w:val="22"/>
          <w:rtl/>
        </w:rPr>
        <w:t>ב</w:t>
      </w:r>
      <w:hyperlink r:id="rId25" w:history="1">
        <w:r w:rsidR="00392A0E" w:rsidRPr="00392A0E">
          <w:rPr>
            <w:rFonts w:ascii="David" w:hAnsi="David"/>
            <w:color w:val="0000FF"/>
            <w:sz w:val="22"/>
            <w:u w:val="single"/>
            <w:rtl/>
          </w:rPr>
          <w:t>ע"פ (חיפה) 4318-10-11</w:t>
        </w:r>
      </w:hyperlink>
      <w:r w:rsidRPr="00A31677">
        <w:rPr>
          <w:rFonts w:ascii="David" w:hAnsi="David"/>
          <w:sz w:val="22"/>
          <w:rtl/>
        </w:rPr>
        <w:t xml:space="preserve"> </w:t>
      </w:r>
      <w:r w:rsidRPr="00A31677">
        <w:rPr>
          <w:rFonts w:ascii="David" w:hAnsi="David"/>
          <w:b/>
          <w:bCs/>
          <w:sz w:val="22"/>
          <w:rtl/>
        </w:rPr>
        <w:t>מדינת ישראל נגד רפאלוב</w:t>
      </w:r>
      <w:r w:rsidRPr="00A31677">
        <w:rPr>
          <w:rFonts w:ascii="David" w:hAnsi="David"/>
          <w:sz w:val="22"/>
          <w:rtl/>
        </w:rPr>
        <w:t xml:space="preserve"> (פורסם בנבו, 5.1.12) הנאשם הורשע בהחזקת נשק</w:t>
      </w:r>
      <w:r>
        <w:rPr>
          <w:rFonts w:ascii="David" w:hAnsi="David" w:hint="cs"/>
          <w:sz w:val="22"/>
          <w:rtl/>
        </w:rPr>
        <w:t>,</w:t>
      </w:r>
      <w:r>
        <w:rPr>
          <w:rFonts w:ascii="David" w:hAnsi="David"/>
          <w:sz w:val="22"/>
          <w:rtl/>
        </w:rPr>
        <w:t xml:space="preserve"> בכך שנתפס בחד</w:t>
      </w:r>
      <w:r>
        <w:rPr>
          <w:rFonts w:ascii="David" w:hAnsi="David" w:hint="cs"/>
          <w:sz w:val="22"/>
          <w:rtl/>
        </w:rPr>
        <w:t>רו</w:t>
      </w:r>
      <w:r w:rsidRPr="00A31677">
        <w:rPr>
          <w:rFonts w:ascii="David" w:hAnsi="David"/>
          <w:sz w:val="22"/>
          <w:rtl/>
        </w:rPr>
        <w:t xml:space="preserve"> בתוך ארון בגדים 4 לבנות חבלה,</w:t>
      </w:r>
      <w:r>
        <w:rPr>
          <w:rFonts w:ascii="David" w:hAnsi="David"/>
          <w:sz w:val="22"/>
          <w:rtl/>
        </w:rPr>
        <w:t xml:space="preserve"> רימון יד ורימון עשן</w:t>
      </w:r>
      <w:r>
        <w:rPr>
          <w:rFonts w:ascii="David" w:hAnsi="David" w:hint="cs"/>
          <w:sz w:val="22"/>
          <w:rtl/>
        </w:rPr>
        <w:t xml:space="preserve">. </w:t>
      </w:r>
      <w:r>
        <w:rPr>
          <w:rFonts w:ascii="David" w:hAnsi="David"/>
          <w:sz w:val="22"/>
          <w:rtl/>
        </w:rPr>
        <w:t xml:space="preserve">בית משפט </w:t>
      </w:r>
      <w:r w:rsidRPr="00A31677">
        <w:rPr>
          <w:rFonts w:ascii="David" w:hAnsi="David"/>
          <w:sz w:val="22"/>
          <w:rtl/>
        </w:rPr>
        <w:t>השלום</w:t>
      </w:r>
      <w:r>
        <w:rPr>
          <w:rFonts w:ascii="David" w:hAnsi="David" w:hint="cs"/>
          <w:sz w:val="22"/>
          <w:rtl/>
        </w:rPr>
        <w:t xml:space="preserve"> נתן בכורה לשיקולי שיקום </w:t>
      </w:r>
      <w:r w:rsidRPr="00A31677">
        <w:rPr>
          <w:rFonts w:ascii="David" w:hAnsi="David"/>
          <w:sz w:val="22"/>
          <w:rtl/>
        </w:rPr>
        <w:t>והשית על</w:t>
      </w:r>
      <w:r>
        <w:rPr>
          <w:rFonts w:ascii="David" w:hAnsi="David" w:hint="cs"/>
          <w:sz w:val="22"/>
          <w:rtl/>
        </w:rPr>
        <w:t xml:space="preserve"> הנאשם</w:t>
      </w:r>
      <w:r w:rsidRPr="00A31677">
        <w:rPr>
          <w:rFonts w:ascii="David" w:hAnsi="David"/>
          <w:sz w:val="22"/>
          <w:rtl/>
        </w:rPr>
        <w:t xml:space="preserve"> עונש של 6 חודשי מאסר בעבודות שירות. בית המשפט המחוזי הותיר עונש זה על כנו.</w:t>
      </w:r>
    </w:p>
    <w:p w14:paraId="765A7287" w14:textId="77777777" w:rsidR="004A7CFA" w:rsidRPr="006B201D" w:rsidRDefault="004A7CFA" w:rsidP="004A7CFA">
      <w:pPr>
        <w:pStyle w:val="a9"/>
        <w:rPr>
          <w:sz w:val="10"/>
          <w:szCs w:val="12"/>
          <w:highlight w:val="cyan"/>
        </w:rPr>
      </w:pPr>
    </w:p>
    <w:p w14:paraId="06E899B6" w14:textId="77777777" w:rsidR="004A7CFA" w:rsidRDefault="004A7CFA" w:rsidP="004A7CFA">
      <w:pPr>
        <w:numPr>
          <w:ilvl w:val="1"/>
          <w:numId w:val="1"/>
        </w:numPr>
        <w:spacing w:after="120" w:line="360" w:lineRule="auto"/>
        <w:jc w:val="both"/>
        <w:rPr>
          <w:rFonts w:ascii="David" w:hAnsi="David"/>
          <w:sz w:val="22"/>
        </w:rPr>
      </w:pPr>
      <w:r w:rsidRPr="006B201D">
        <w:rPr>
          <w:rFonts w:ascii="David" w:hAnsi="David"/>
          <w:sz w:val="22"/>
          <w:rtl/>
        </w:rPr>
        <w:t>ב</w:t>
      </w:r>
      <w:hyperlink r:id="rId26" w:history="1">
        <w:r w:rsidR="00392A0E" w:rsidRPr="00392A0E">
          <w:rPr>
            <w:rFonts w:ascii="David" w:hAnsi="David"/>
            <w:color w:val="0000FF"/>
            <w:sz w:val="22"/>
            <w:u w:val="single"/>
            <w:rtl/>
          </w:rPr>
          <w:t>ת"פ (מחוזי חיפה)  265-07-11</w:t>
        </w:r>
      </w:hyperlink>
      <w:r w:rsidRPr="006B201D">
        <w:rPr>
          <w:rFonts w:ascii="David" w:hAnsi="David"/>
          <w:sz w:val="22"/>
          <w:rtl/>
        </w:rPr>
        <w:t xml:space="preserve"> </w:t>
      </w:r>
      <w:r w:rsidRPr="006B201D">
        <w:rPr>
          <w:rFonts w:ascii="David" w:hAnsi="David"/>
          <w:b/>
          <w:bCs/>
          <w:sz w:val="22"/>
          <w:rtl/>
        </w:rPr>
        <w:t>מדינת ישראל נ' נפתלייב</w:t>
      </w:r>
      <w:r w:rsidRPr="006B201D">
        <w:rPr>
          <w:rFonts w:ascii="David" w:hAnsi="David"/>
          <w:sz w:val="22"/>
          <w:rtl/>
        </w:rPr>
        <w:t xml:space="preserve"> (פורסם בנבו, 3.6.13) הורשע הנאשם בהחזקת 2 רימוני הלם בגן ציבורי ובית משפט המחוזי השית עליו עונש של מע"ת מבחן ו- 400 שעות של"צ.</w:t>
      </w:r>
    </w:p>
    <w:p w14:paraId="245D878D" w14:textId="77777777" w:rsidR="004A7CFA" w:rsidRPr="006B201D" w:rsidRDefault="004A7CFA" w:rsidP="004A7CFA">
      <w:pPr>
        <w:numPr>
          <w:ilvl w:val="1"/>
          <w:numId w:val="1"/>
        </w:numPr>
        <w:spacing w:after="120" w:line="360" w:lineRule="auto"/>
        <w:jc w:val="both"/>
        <w:rPr>
          <w:rtl/>
        </w:rPr>
      </w:pPr>
      <w:r w:rsidRPr="00A31677">
        <w:rPr>
          <w:rtl/>
        </w:rPr>
        <w:t>ב</w:t>
      </w:r>
      <w:hyperlink r:id="rId27" w:history="1">
        <w:r w:rsidR="00392A0E" w:rsidRPr="00392A0E">
          <w:rPr>
            <w:color w:val="0000FF"/>
            <w:u w:val="single"/>
            <w:rtl/>
          </w:rPr>
          <w:t>ת"פ (כ"ס) 30669-04-15</w:t>
        </w:r>
      </w:hyperlink>
      <w:r>
        <w:rPr>
          <w:rtl/>
        </w:rPr>
        <w:t xml:space="preserve"> </w:t>
      </w:r>
      <w:r>
        <w:rPr>
          <w:rFonts w:hint="cs"/>
          <w:b/>
          <w:bCs/>
          <w:rtl/>
        </w:rPr>
        <w:t xml:space="preserve">מדינת ישראל נ' עבד אל חי </w:t>
      </w:r>
      <w:r>
        <w:rPr>
          <w:rFonts w:ascii="Arial" w:hAnsi="Arial"/>
          <w:rtl/>
        </w:rPr>
        <w:t xml:space="preserve">[פורסם בנבו] </w:t>
      </w:r>
      <w:r>
        <w:rPr>
          <w:rtl/>
        </w:rPr>
        <w:t>(ניתן ביום 15.06.16), הורשע הנאשם בעבירה של החזקת נשק שלא כדין. הנאשם החזיק בצידנית בסלון ביתו נשק אוטומטי מאולתר ומחסנית תואמת בה 20 כדורים. הנאשם צעיר, נעדר עבר פלילי נידון ל-12 חודשי מאסר בפועל.</w:t>
      </w:r>
    </w:p>
    <w:p w14:paraId="3325FB0C" w14:textId="77777777" w:rsidR="004A7CFA" w:rsidRPr="006B201D" w:rsidRDefault="004A7CFA" w:rsidP="004A7CFA">
      <w:pPr>
        <w:numPr>
          <w:ilvl w:val="1"/>
          <w:numId w:val="1"/>
        </w:numPr>
        <w:spacing w:after="120" w:line="360" w:lineRule="auto"/>
        <w:jc w:val="both"/>
        <w:rPr>
          <w:rFonts w:ascii="Calibri" w:hAnsi="Calibri"/>
          <w:sz w:val="22"/>
        </w:rPr>
      </w:pPr>
      <w:r w:rsidRPr="006B201D">
        <w:rPr>
          <w:rFonts w:ascii="Calibri" w:hAnsi="Calibri"/>
          <w:sz w:val="22"/>
          <w:rtl/>
        </w:rPr>
        <w:t>ב</w:t>
      </w:r>
      <w:hyperlink r:id="rId28" w:history="1">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פ</w:t>
        </w:r>
        <w:r w:rsidR="00392A0E" w:rsidRPr="00392A0E">
          <w:rPr>
            <w:rFonts w:ascii="Calibri" w:hAnsi="Calibri"/>
            <w:color w:val="0000FF"/>
            <w:sz w:val="22"/>
            <w:u w:val="single"/>
            <w:rtl/>
          </w:rPr>
          <w:t xml:space="preserve"> (</w:t>
        </w:r>
        <w:r w:rsidR="00392A0E" w:rsidRPr="00392A0E">
          <w:rPr>
            <w:rFonts w:ascii="Calibri" w:hAnsi="Calibri" w:hint="eastAsia"/>
            <w:color w:val="0000FF"/>
            <w:sz w:val="22"/>
            <w:u w:val="single"/>
            <w:rtl/>
          </w:rPr>
          <w:t>טבריה</w:t>
        </w:r>
        <w:r w:rsidR="00392A0E" w:rsidRPr="00392A0E">
          <w:rPr>
            <w:rFonts w:ascii="Calibri" w:hAnsi="Calibri"/>
            <w:color w:val="0000FF"/>
            <w:sz w:val="22"/>
            <w:u w:val="single"/>
            <w:rtl/>
          </w:rPr>
          <w:t>) 26182-10-14</w:t>
        </w:r>
      </w:hyperlink>
      <w:r w:rsidRPr="006B201D">
        <w:rPr>
          <w:rFonts w:ascii="Calibri" w:hAnsi="Calibri"/>
          <w:sz w:val="22"/>
          <w:rtl/>
        </w:rPr>
        <w:t xml:space="preserve"> </w:t>
      </w:r>
      <w:r w:rsidRPr="006B201D">
        <w:rPr>
          <w:rFonts w:ascii="Calibri" w:hAnsi="Calibri"/>
          <w:b/>
          <w:bCs/>
          <w:sz w:val="22"/>
          <w:rtl/>
        </w:rPr>
        <w:t>מדינת ישראל נ' אבו חנין</w:t>
      </w:r>
      <w:r w:rsidRPr="006B201D">
        <w:rPr>
          <w:rFonts w:ascii="Calibri" w:hAnsi="Calibri"/>
          <w:sz w:val="22"/>
          <w:rtl/>
        </w:rPr>
        <w:t xml:space="preserve"> </w:t>
      </w:r>
      <w:r w:rsidRPr="006B201D">
        <w:rPr>
          <w:rFonts w:ascii="Calibri" w:hAnsi="Calibri" w:hint="cs"/>
          <w:sz w:val="22"/>
          <w:rtl/>
        </w:rPr>
        <w:t xml:space="preserve">(פורסם בנבו, 9.2.16) </w:t>
      </w:r>
      <w:r w:rsidRPr="006B201D">
        <w:rPr>
          <w:rFonts w:ascii="Calibri" w:hAnsi="Calibri"/>
          <w:sz w:val="22"/>
          <w:rtl/>
        </w:rPr>
        <w:t xml:space="preserve">הורשע </w:t>
      </w:r>
      <w:r>
        <w:rPr>
          <w:rFonts w:ascii="Calibri" w:hAnsi="Calibri" w:hint="cs"/>
          <w:sz w:val="22"/>
          <w:rtl/>
        </w:rPr>
        <w:t>ה</w:t>
      </w:r>
      <w:r>
        <w:rPr>
          <w:rFonts w:ascii="Calibri" w:hAnsi="Calibri"/>
          <w:sz w:val="22"/>
          <w:rtl/>
        </w:rPr>
        <w:t>נאשם</w:t>
      </w:r>
      <w:r w:rsidRPr="006B201D">
        <w:rPr>
          <w:rFonts w:ascii="Calibri" w:hAnsi="Calibri"/>
          <w:sz w:val="22"/>
          <w:rtl/>
        </w:rPr>
        <w:t xml:space="preserve"> בהחזקת דבק חבלה, מחסנית לנשק, 364 כדורי 7.62 מ"מ, 714 כדורי 5.56 מ"מ, 50 מחסניות 16</w:t>
      </w:r>
      <w:r w:rsidRPr="006B201D">
        <w:rPr>
          <w:rFonts w:ascii="Calibri" w:hAnsi="Calibri"/>
          <w:sz w:val="22"/>
        </w:rPr>
        <w:t>M</w:t>
      </w:r>
      <w:r w:rsidRPr="006B201D">
        <w:rPr>
          <w:rFonts w:ascii="Calibri" w:hAnsi="Calibri"/>
          <w:sz w:val="22"/>
          <w:rtl/>
        </w:rPr>
        <w:t xml:space="preserve"> כשבתוכן 708 כדורים אשר נמצאו בדירת מגוריו. את הפר</w:t>
      </w:r>
      <w:r w:rsidRPr="006B201D">
        <w:rPr>
          <w:rFonts w:ascii="Calibri" w:hAnsi="Calibri" w:hint="cs"/>
          <w:sz w:val="22"/>
          <w:rtl/>
        </w:rPr>
        <w:t>י</w:t>
      </w:r>
      <w:r w:rsidRPr="006B201D">
        <w:rPr>
          <w:rFonts w:ascii="Calibri" w:hAnsi="Calibri"/>
          <w:sz w:val="22"/>
          <w:rtl/>
        </w:rPr>
        <w:t xml:space="preserve">טים לקח הנאשם במהלך שירותו הצבאי ולא השיבם. על הנאשם הושת עונש של מע"ת וקנס. </w:t>
      </w:r>
    </w:p>
    <w:p w14:paraId="531CD87F" w14:textId="77777777" w:rsidR="004A7CFA" w:rsidRPr="006B201D" w:rsidRDefault="004A7CFA" w:rsidP="004A7CFA">
      <w:pPr>
        <w:numPr>
          <w:ilvl w:val="1"/>
          <w:numId w:val="1"/>
        </w:numPr>
        <w:spacing w:after="120" w:line="360" w:lineRule="auto"/>
        <w:jc w:val="both"/>
        <w:rPr>
          <w:rFonts w:ascii="Calibri" w:hAnsi="Calibri"/>
          <w:sz w:val="22"/>
        </w:rPr>
      </w:pPr>
      <w:r w:rsidRPr="006B201D">
        <w:rPr>
          <w:rFonts w:ascii="Calibri" w:hAnsi="Calibri" w:hint="cs"/>
          <w:sz w:val="22"/>
          <w:rtl/>
        </w:rPr>
        <w:t>ב</w:t>
      </w:r>
      <w:hyperlink r:id="rId29" w:history="1">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פ</w:t>
        </w:r>
        <w:r w:rsidR="00392A0E" w:rsidRPr="00392A0E">
          <w:rPr>
            <w:rFonts w:ascii="Calibri" w:hAnsi="Calibri"/>
            <w:color w:val="0000FF"/>
            <w:sz w:val="22"/>
            <w:u w:val="single"/>
            <w:rtl/>
          </w:rPr>
          <w:t xml:space="preserve"> (</w:t>
        </w:r>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א</w:t>
        </w:r>
        <w:r w:rsidR="00392A0E" w:rsidRPr="00392A0E">
          <w:rPr>
            <w:rFonts w:ascii="Calibri" w:hAnsi="Calibri"/>
            <w:color w:val="0000FF"/>
            <w:sz w:val="22"/>
            <w:u w:val="single"/>
            <w:rtl/>
          </w:rPr>
          <w:t>) 61153-09-14</w:t>
        </w:r>
      </w:hyperlink>
      <w:r w:rsidRPr="006B201D">
        <w:rPr>
          <w:rFonts w:ascii="Calibri" w:hAnsi="Calibri"/>
          <w:sz w:val="22"/>
          <w:rtl/>
        </w:rPr>
        <w:t xml:space="preserve"> </w:t>
      </w:r>
      <w:r w:rsidRPr="006B201D">
        <w:rPr>
          <w:rFonts w:ascii="Calibri" w:hAnsi="Calibri"/>
          <w:b/>
          <w:bCs/>
          <w:sz w:val="22"/>
          <w:rtl/>
        </w:rPr>
        <w:t>מדינת ישראל נ' קארן מליאנץ</w:t>
      </w:r>
      <w:r w:rsidRPr="006B201D">
        <w:rPr>
          <w:rFonts w:ascii="Calibri" w:hAnsi="Calibri" w:hint="cs"/>
          <w:sz w:val="22"/>
          <w:rtl/>
        </w:rPr>
        <w:t xml:space="preserve"> (פורסם בנבו, 3.3.16)</w:t>
      </w:r>
      <w:r w:rsidRPr="006B201D">
        <w:rPr>
          <w:rFonts w:ascii="Calibri" w:hAnsi="Calibri"/>
          <w:sz w:val="22"/>
          <w:rtl/>
        </w:rPr>
        <w:t xml:space="preserve"> מדובר בנאשם אשר יוחס לו בכתב האישום החזקת 12 כדורי אקדח 9 מ"מ, 3 נפצים, 113 כדורים בתפזורת, 3 מחסניות של אקדח 16</w:t>
      </w:r>
      <w:r w:rsidRPr="006B201D">
        <w:rPr>
          <w:rFonts w:ascii="Calibri" w:hAnsi="Calibri"/>
          <w:sz w:val="22"/>
        </w:rPr>
        <w:t>M</w:t>
      </w:r>
      <w:r w:rsidRPr="006B201D">
        <w:rPr>
          <w:rFonts w:ascii="Calibri" w:hAnsi="Calibri"/>
          <w:sz w:val="22"/>
          <w:rtl/>
        </w:rPr>
        <w:t xml:space="preserve"> המכילות כדורים ו- 214 כדורי 16</w:t>
      </w:r>
      <w:r w:rsidRPr="006B201D">
        <w:rPr>
          <w:rFonts w:ascii="Calibri" w:hAnsi="Calibri"/>
          <w:sz w:val="22"/>
        </w:rPr>
        <w:t>M</w:t>
      </w:r>
      <w:r w:rsidRPr="006B201D">
        <w:rPr>
          <w:rFonts w:ascii="Calibri" w:hAnsi="Calibri"/>
          <w:sz w:val="22"/>
          <w:rtl/>
        </w:rPr>
        <w:t>)</w:t>
      </w:r>
      <w:r w:rsidRPr="006B201D">
        <w:rPr>
          <w:rFonts w:ascii="Calibri" w:hAnsi="Calibri" w:hint="cs"/>
          <w:sz w:val="22"/>
          <w:rtl/>
        </w:rPr>
        <w:t xml:space="preserve">. </w:t>
      </w:r>
      <w:r>
        <w:rPr>
          <w:rFonts w:ascii="Calibri" w:hAnsi="Calibri"/>
          <w:sz w:val="22"/>
          <w:rtl/>
        </w:rPr>
        <w:t>ב</w:t>
      </w:r>
      <w:r>
        <w:rPr>
          <w:rFonts w:ascii="Calibri" w:hAnsi="Calibri" w:hint="cs"/>
          <w:sz w:val="22"/>
          <w:rtl/>
        </w:rPr>
        <w:t xml:space="preserve">ית המשפט קיבל את המלצת שירות המבחן, נמנע מהרשעתו </w:t>
      </w:r>
      <w:r w:rsidRPr="006B201D">
        <w:rPr>
          <w:rFonts w:ascii="Calibri" w:hAnsi="Calibri"/>
          <w:sz w:val="22"/>
          <w:rtl/>
        </w:rPr>
        <w:t>והש</w:t>
      </w:r>
      <w:r>
        <w:rPr>
          <w:rFonts w:ascii="Calibri" w:hAnsi="Calibri" w:hint="cs"/>
          <w:sz w:val="22"/>
          <w:rtl/>
        </w:rPr>
        <w:t>י</w:t>
      </w:r>
      <w:r>
        <w:rPr>
          <w:rFonts w:ascii="Calibri" w:hAnsi="Calibri"/>
          <w:sz w:val="22"/>
          <w:rtl/>
        </w:rPr>
        <w:t>ת עליו עונש של ש</w:t>
      </w:r>
      <w:r>
        <w:rPr>
          <w:rFonts w:ascii="Calibri" w:hAnsi="Calibri" w:hint="cs"/>
          <w:sz w:val="22"/>
          <w:rtl/>
        </w:rPr>
        <w:t>ירות לתועלת הציבור.</w:t>
      </w:r>
    </w:p>
    <w:p w14:paraId="14AA5183" w14:textId="77777777" w:rsidR="004A7CFA" w:rsidRPr="006B201D" w:rsidRDefault="004A7CFA" w:rsidP="004A7CFA">
      <w:pPr>
        <w:numPr>
          <w:ilvl w:val="1"/>
          <w:numId w:val="1"/>
        </w:numPr>
        <w:spacing w:after="120" w:line="360" w:lineRule="auto"/>
        <w:jc w:val="both"/>
        <w:rPr>
          <w:rFonts w:ascii="Calibri" w:hAnsi="Calibri"/>
        </w:rPr>
      </w:pPr>
      <w:r w:rsidRPr="006B201D">
        <w:rPr>
          <w:rFonts w:ascii="Calibri" w:hAnsi="Calibri" w:hint="cs"/>
          <w:rtl/>
        </w:rPr>
        <w:t>ב</w:t>
      </w:r>
      <w:hyperlink r:id="rId30"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כ</w:t>
        </w:r>
        <w:r w:rsidR="00392A0E" w:rsidRPr="00392A0E">
          <w:rPr>
            <w:rFonts w:ascii="Calibri" w:hAnsi="Calibri"/>
            <w:color w:val="0000FF"/>
            <w:u w:val="single"/>
            <w:rtl/>
          </w:rPr>
          <w:t>"</w:t>
        </w:r>
        <w:r w:rsidR="00392A0E" w:rsidRPr="00392A0E">
          <w:rPr>
            <w:rFonts w:ascii="Calibri" w:hAnsi="Calibri" w:hint="eastAsia"/>
            <w:color w:val="0000FF"/>
            <w:u w:val="single"/>
            <w:rtl/>
          </w:rPr>
          <w:t>ס</w:t>
        </w:r>
        <w:r w:rsidR="00392A0E" w:rsidRPr="00392A0E">
          <w:rPr>
            <w:rFonts w:ascii="Calibri" w:hAnsi="Calibri"/>
            <w:color w:val="0000FF"/>
            <w:u w:val="single"/>
            <w:rtl/>
          </w:rPr>
          <w:t>) 16868-06-11</w:t>
        </w:r>
      </w:hyperlink>
      <w:r w:rsidRPr="006B201D">
        <w:rPr>
          <w:rFonts w:ascii="Calibri" w:hAnsi="Calibri"/>
          <w:rtl/>
        </w:rPr>
        <w:t xml:space="preserve"> </w:t>
      </w:r>
      <w:r w:rsidRPr="006B201D">
        <w:rPr>
          <w:rFonts w:ascii="Calibri" w:hAnsi="Calibri"/>
          <w:b/>
          <w:bCs/>
          <w:rtl/>
        </w:rPr>
        <w:t>מדינת ישראל נ' מסארווה</w:t>
      </w:r>
      <w:r w:rsidRPr="006B201D">
        <w:rPr>
          <w:rFonts w:ascii="Calibri" w:hAnsi="Calibri"/>
          <w:rtl/>
        </w:rPr>
        <w:t xml:space="preserve"> (</w:t>
      </w:r>
      <w:r w:rsidRPr="006B201D">
        <w:rPr>
          <w:rFonts w:ascii="Calibri" w:hAnsi="Calibri" w:hint="cs"/>
          <w:rtl/>
        </w:rPr>
        <w:t xml:space="preserve">פורסם בנבו, </w:t>
      </w:r>
      <w:r w:rsidRPr="006B201D">
        <w:rPr>
          <w:rFonts w:ascii="Calibri" w:hAnsi="Calibri"/>
          <w:rtl/>
        </w:rPr>
        <w:t>20.2.13). הנאשם הורשע בעבירה של החזקת תחמושת (109 כדורי 5.56 מ"מ) נדון ל-3 חודשי מאסר בעבודות שירות מאסר מותנה וקנס.</w:t>
      </w:r>
      <w:r w:rsidRPr="006B201D">
        <w:rPr>
          <w:rFonts w:ascii="Calibri" w:hAnsi="Calibri"/>
          <w:highlight w:val="cyan"/>
          <w:rtl/>
        </w:rPr>
        <w:t xml:space="preserve">  </w:t>
      </w:r>
    </w:p>
    <w:p w14:paraId="6505CC1B" w14:textId="77777777" w:rsidR="004A7CFA" w:rsidRPr="006B201D" w:rsidRDefault="004A7CFA" w:rsidP="004A7CFA">
      <w:pPr>
        <w:numPr>
          <w:ilvl w:val="1"/>
          <w:numId w:val="1"/>
        </w:numPr>
        <w:spacing w:after="120" w:line="360" w:lineRule="auto"/>
        <w:jc w:val="both"/>
        <w:rPr>
          <w:rFonts w:ascii="Calibri" w:hAnsi="Calibri"/>
        </w:rPr>
      </w:pPr>
      <w:r w:rsidRPr="006B201D">
        <w:rPr>
          <w:rFonts w:ascii="Calibri" w:hAnsi="Calibri" w:hint="cs"/>
          <w:rtl/>
        </w:rPr>
        <w:t>ב</w:t>
      </w:r>
      <w:hyperlink r:id="rId31"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רמלה</w:t>
        </w:r>
        <w:r w:rsidR="00392A0E" w:rsidRPr="00392A0E">
          <w:rPr>
            <w:rFonts w:ascii="Calibri" w:hAnsi="Calibri"/>
            <w:color w:val="0000FF"/>
            <w:u w:val="single"/>
            <w:rtl/>
          </w:rPr>
          <w:t>) 5787-10-14</w:t>
        </w:r>
      </w:hyperlink>
      <w:r w:rsidRPr="006B201D">
        <w:rPr>
          <w:rFonts w:ascii="Calibri" w:hAnsi="Calibri"/>
          <w:rtl/>
        </w:rPr>
        <w:t xml:space="preserve"> </w:t>
      </w:r>
      <w:r w:rsidRPr="006B201D">
        <w:rPr>
          <w:rFonts w:ascii="Calibri" w:hAnsi="Calibri"/>
          <w:b/>
          <w:bCs/>
          <w:rtl/>
        </w:rPr>
        <w:t xml:space="preserve">מדינת ישראל נ' אשטיבקר </w:t>
      </w:r>
      <w:r w:rsidRPr="006B201D">
        <w:rPr>
          <w:rFonts w:ascii="Calibri" w:hAnsi="Calibri"/>
          <w:rtl/>
        </w:rPr>
        <w:t xml:space="preserve">(פורסם </w:t>
      </w:r>
      <w:r w:rsidRPr="006B201D">
        <w:rPr>
          <w:rFonts w:ascii="Calibri" w:hAnsi="Calibri" w:hint="cs"/>
          <w:rtl/>
        </w:rPr>
        <w:t>בנבו,</w:t>
      </w:r>
      <w:r w:rsidRPr="006B201D">
        <w:rPr>
          <w:rFonts w:ascii="Calibri" w:hAnsi="Calibri"/>
          <w:rtl/>
        </w:rPr>
        <w:t xml:space="preserve"> 13.4.15). לנאשם יוחסה עבירה של החזקת תחמושת: הנאשם החזיק בביתו שתי מחסניות </w:t>
      </w:r>
      <w:r w:rsidRPr="006B201D">
        <w:rPr>
          <w:rFonts w:ascii="Calibri" w:hAnsi="Calibri"/>
        </w:rPr>
        <w:t>M</w:t>
      </w:r>
      <w:r w:rsidRPr="006B201D">
        <w:rPr>
          <w:rFonts w:ascii="Calibri" w:hAnsi="Calibri"/>
          <w:rtl/>
        </w:rPr>
        <w:t xml:space="preserve">-16 שהכילו 39 כדורים, והחזיק בתא המטען שבמכוניתו 2 כדורי 5.56 מ"מ, זאת לצד עבירות על פקודת הסמים.  בית המשפט קבע כי מתחם העונש ההולם לעבירה של החזקת תחמושת נע  מצו של"צ ועד לשנת מאסר בפועל. הנאשם נדון על כל העבירות ל- 5 חודשי מאסר בעבודות שירות, מאסר על תנאי, פסילה על תנאי וקנס. </w:t>
      </w:r>
    </w:p>
    <w:p w14:paraId="2A740685" w14:textId="77777777" w:rsidR="004A7CFA" w:rsidRPr="009765ED" w:rsidRDefault="004A7CFA" w:rsidP="004A7CFA">
      <w:pPr>
        <w:numPr>
          <w:ilvl w:val="1"/>
          <w:numId w:val="1"/>
        </w:numPr>
        <w:spacing w:after="120" w:line="360" w:lineRule="auto"/>
        <w:jc w:val="both"/>
        <w:rPr>
          <w:rFonts w:ascii="Calibri" w:hAnsi="Calibri"/>
        </w:rPr>
      </w:pPr>
      <w:r w:rsidRPr="009765ED">
        <w:rPr>
          <w:rFonts w:ascii="Calibri" w:hAnsi="Calibri" w:hint="cs"/>
          <w:rtl/>
        </w:rPr>
        <w:t>ב</w:t>
      </w:r>
      <w:hyperlink r:id="rId32"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רמלה</w:t>
        </w:r>
        <w:r w:rsidR="00392A0E" w:rsidRPr="00392A0E">
          <w:rPr>
            <w:rFonts w:ascii="Calibri" w:hAnsi="Calibri"/>
            <w:color w:val="0000FF"/>
            <w:u w:val="single"/>
            <w:rtl/>
          </w:rPr>
          <w:t>) 16825-05-15</w:t>
        </w:r>
      </w:hyperlink>
      <w:r w:rsidRPr="009765ED">
        <w:rPr>
          <w:rFonts w:ascii="Calibri" w:hAnsi="Calibri"/>
          <w:rtl/>
        </w:rPr>
        <w:t xml:space="preserve"> </w:t>
      </w:r>
      <w:r w:rsidRPr="009765ED">
        <w:rPr>
          <w:rFonts w:ascii="Calibri" w:hAnsi="Calibri"/>
          <w:b/>
          <w:bCs/>
          <w:rtl/>
        </w:rPr>
        <w:t>מדינת ישראל נ' גואטה</w:t>
      </w:r>
      <w:r w:rsidRPr="009765ED">
        <w:rPr>
          <w:rFonts w:ascii="Calibri" w:hAnsi="Calibri"/>
          <w:rtl/>
        </w:rPr>
        <w:t xml:space="preserve"> (פורסם ב</w:t>
      </w:r>
      <w:r w:rsidRPr="009765ED">
        <w:rPr>
          <w:rFonts w:ascii="Calibri" w:hAnsi="Calibri" w:hint="cs"/>
          <w:rtl/>
        </w:rPr>
        <w:t>נבו</w:t>
      </w:r>
      <w:r w:rsidRPr="009765ED">
        <w:rPr>
          <w:rFonts w:ascii="Calibri" w:hAnsi="Calibri"/>
          <w:rtl/>
        </w:rPr>
        <w:t>, 10.1.17). הנאשם נדון על עבירות בניגוד ל</w:t>
      </w:r>
      <w:hyperlink r:id="rId33" w:history="1">
        <w:r w:rsidR="00392A0E" w:rsidRPr="00392A0E">
          <w:rPr>
            <w:rFonts w:ascii="Calibri" w:hAnsi="Calibri" w:hint="eastAsia"/>
            <w:color w:val="0000FF"/>
            <w:u w:val="single"/>
            <w:rtl/>
          </w:rPr>
          <w:t>פקודת</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הסמים</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המסוכנים</w:t>
        </w:r>
      </w:hyperlink>
      <w:r w:rsidRPr="009765ED">
        <w:rPr>
          <w:rFonts w:ascii="Calibri" w:hAnsi="Calibri"/>
          <w:rtl/>
        </w:rPr>
        <w:t xml:space="preserve"> לצד עבירה של החזקת תחמושת ( מחסנית לרובה </w:t>
      </w:r>
      <w:r w:rsidRPr="009765ED">
        <w:rPr>
          <w:rFonts w:ascii="Calibri" w:hAnsi="Calibri"/>
        </w:rPr>
        <w:t>M-16</w:t>
      </w:r>
      <w:r w:rsidRPr="009765ED">
        <w:rPr>
          <w:rFonts w:ascii="Calibri" w:hAnsi="Calibri"/>
          <w:rtl/>
        </w:rPr>
        <w:t xml:space="preserve"> ובה 29 כדורים 5.56 מ"מ). בית המשפט קבע</w:t>
      </w:r>
      <w:r>
        <w:rPr>
          <w:rFonts w:ascii="Calibri" w:hAnsi="Calibri" w:hint="cs"/>
          <w:rtl/>
        </w:rPr>
        <w:t>,</w:t>
      </w:r>
      <w:r w:rsidRPr="009765ED">
        <w:rPr>
          <w:rFonts w:ascii="Calibri" w:hAnsi="Calibri"/>
          <w:rtl/>
        </w:rPr>
        <w:t xml:space="preserve"> כי מתחם העונש ההולם לעביר</w:t>
      </w:r>
      <w:r>
        <w:rPr>
          <w:rFonts w:ascii="Calibri" w:hAnsi="Calibri" w:hint="cs"/>
          <w:rtl/>
        </w:rPr>
        <w:t>ת</w:t>
      </w:r>
      <w:r w:rsidRPr="009765ED">
        <w:rPr>
          <w:rFonts w:ascii="Calibri" w:hAnsi="Calibri"/>
          <w:rtl/>
        </w:rPr>
        <w:t xml:space="preserve"> החזקת התחמושת נע בין מאסר על תנאי ל-6 חודשי מאסר בפועל. על הנאשם נגזרו, </w:t>
      </w:r>
      <w:r>
        <w:rPr>
          <w:rFonts w:ascii="Calibri" w:hAnsi="Calibri" w:hint="cs"/>
          <w:rtl/>
        </w:rPr>
        <w:t xml:space="preserve">בשל </w:t>
      </w:r>
      <w:r w:rsidRPr="009765ED">
        <w:rPr>
          <w:rFonts w:ascii="Calibri" w:hAnsi="Calibri"/>
          <w:rtl/>
        </w:rPr>
        <w:t xml:space="preserve">מכלול האישומים 3.5 חודשי מאסר בעבודות שירות, מאסר על תנאי, קנס, פסילה על תנאי וצו מבחן. </w:t>
      </w:r>
    </w:p>
    <w:p w14:paraId="402AE692" w14:textId="77777777" w:rsidR="004A7CFA" w:rsidRPr="00E01EC3" w:rsidRDefault="004A7CFA" w:rsidP="004A7CFA">
      <w:pPr>
        <w:spacing w:line="360" w:lineRule="auto"/>
        <w:jc w:val="both"/>
        <w:rPr>
          <w:rFonts w:ascii="Calibri" w:hAnsi="Calibri"/>
          <w:color w:val="0000FF"/>
          <w:sz w:val="12"/>
          <w:szCs w:val="12"/>
          <w:u w:val="single"/>
          <w:rtl/>
        </w:rPr>
      </w:pPr>
    </w:p>
    <w:p w14:paraId="48DC491A" w14:textId="77777777" w:rsidR="004A7CFA" w:rsidRPr="009765ED" w:rsidRDefault="004A7CFA" w:rsidP="004A7CFA">
      <w:pPr>
        <w:numPr>
          <w:ilvl w:val="0"/>
          <w:numId w:val="1"/>
        </w:numPr>
        <w:spacing w:before="120" w:after="120" w:line="360" w:lineRule="auto"/>
        <w:ind w:left="357" w:hanging="357"/>
        <w:contextualSpacing/>
        <w:jc w:val="both"/>
        <w:rPr>
          <w:rFonts w:ascii="David" w:hAnsi="David"/>
        </w:rPr>
      </w:pPr>
      <w:r w:rsidRPr="009765ED">
        <w:rPr>
          <w:rFonts w:ascii="David" w:hAnsi="David"/>
          <w:rtl/>
        </w:rPr>
        <w:t>לאחר שהבאתי בחשבון את הערכים החברתיים שנפגעו כתוצאה ממעשי הנאשם, את מדיניות הענישה הנוהגת ואת הנסיבות הקשורות בעבירה,</w:t>
      </w:r>
      <w:r>
        <w:rPr>
          <w:rFonts w:hint="cs"/>
          <w:rtl/>
        </w:rPr>
        <w:t xml:space="preserve"> אני סבורה </w:t>
      </w:r>
      <w:r>
        <w:rPr>
          <w:rtl/>
        </w:rPr>
        <w:t xml:space="preserve">כי </w:t>
      </w:r>
      <w:r w:rsidRPr="009765ED">
        <w:rPr>
          <w:b/>
          <w:bCs/>
          <w:rtl/>
        </w:rPr>
        <w:t xml:space="preserve">מתחם העונש ההולם </w:t>
      </w:r>
      <w:r>
        <w:rPr>
          <w:rtl/>
        </w:rPr>
        <w:t xml:space="preserve">נע בין מאסר </w:t>
      </w:r>
      <w:r>
        <w:rPr>
          <w:rFonts w:hint="cs"/>
          <w:rtl/>
        </w:rPr>
        <w:t>קצר שאפשר שירוצה בעבודות שירות ועד לשישה</w:t>
      </w:r>
      <w:r>
        <w:rPr>
          <w:rtl/>
        </w:rPr>
        <w:t xml:space="preserve"> 6 חודשי מאסר</w:t>
      </w:r>
      <w:r>
        <w:rPr>
          <w:rFonts w:hint="cs"/>
          <w:rtl/>
        </w:rPr>
        <w:t xml:space="preserve"> ממש</w:t>
      </w:r>
      <w:r>
        <w:rPr>
          <w:rtl/>
        </w:rPr>
        <w:t>.</w:t>
      </w:r>
    </w:p>
    <w:p w14:paraId="45ED5106" w14:textId="77777777" w:rsidR="004A7CFA" w:rsidRPr="0047182F" w:rsidRDefault="004A7CFA" w:rsidP="004A7CFA">
      <w:pPr>
        <w:pStyle w:val="a9"/>
        <w:spacing w:line="360" w:lineRule="auto"/>
        <w:ind w:right="1418"/>
        <w:jc w:val="both"/>
        <w:rPr>
          <w:b/>
          <w:bCs/>
        </w:rPr>
      </w:pPr>
    </w:p>
    <w:p w14:paraId="3C4A2035" w14:textId="77777777" w:rsidR="004A7CFA" w:rsidRDefault="004A7CFA" w:rsidP="004A7CFA">
      <w:pPr>
        <w:spacing w:line="360" w:lineRule="auto"/>
        <w:jc w:val="both"/>
        <w:rPr>
          <w:bCs/>
          <w:u w:val="single"/>
          <w:rtl/>
          <w:lang w:eastAsia="he-IL"/>
        </w:rPr>
      </w:pPr>
      <w:r>
        <w:rPr>
          <w:rFonts w:hint="cs"/>
          <w:bCs/>
          <w:u w:val="single"/>
          <w:rtl/>
          <w:lang w:eastAsia="he-IL"/>
        </w:rPr>
        <w:t xml:space="preserve">העונש המתאים </w:t>
      </w:r>
    </w:p>
    <w:p w14:paraId="02C2609B" w14:textId="77777777" w:rsidR="004A7CFA" w:rsidRPr="004D73BC" w:rsidRDefault="004A7CFA" w:rsidP="004A7CFA">
      <w:pPr>
        <w:numPr>
          <w:ilvl w:val="0"/>
          <w:numId w:val="1"/>
        </w:numPr>
        <w:spacing w:before="120" w:after="120" w:line="360" w:lineRule="auto"/>
        <w:ind w:left="357" w:hanging="357"/>
        <w:contextualSpacing/>
        <w:jc w:val="both"/>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r w:rsidRPr="009765ED">
        <w:rPr>
          <w:rFonts w:hint="cs"/>
          <w:rtl/>
        </w:rPr>
        <w:t>(</w:t>
      </w:r>
      <w:r w:rsidRPr="00392A0E">
        <w:rPr>
          <w:rFonts w:hint="cs"/>
          <w:color w:val="000000"/>
          <w:rtl/>
        </w:rPr>
        <w:t xml:space="preserve">סעיף </w:t>
      </w:r>
      <w:hyperlink r:id="rId34" w:history="1">
        <w:r w:rsidR="00AA74C8" w:rsidRPr="00AA74C8">
          <w:rPr>
            <w:rStyle w:val="Hyperlink"/>
            <w:rtl/>
          </w:rPr>
          <w:t>40 יא'</w:t>
        </w:r>
      </w:hyperlink>
      <w:r>
        <w:rPr>
          <w:rFonts w:hint="cs"/>
          <w:rtl/>
        </w:rPr>
        <w:t xml:space="preserve"> ל</w:t>
      </w:r>
      <w:hyperlink r:id="rId35" w:history="1">
        <w:r w:rsidR="00392A0E" w:rsidRPr="00392A0E">
          <w:rPr>
            <w:color w:val="0000FF"/>
            <w:u w:val="single"/>
            <w:rtl/>
          </w:rPr>
          <w:t>חוק העונשין</w:t>
        </w:r>
      </w:hyperlink>
      <w:r w:rsidRPr="009765ED">
        <w:rPr>
          <w:rFonts w:hint="cs"/>
          <w:rtl/>
        </w:rPr>
        <w:t xml:space="preserve">). </w:t>
      </w:r>
      <w:r>
        <w:rPr>
          <w:rFonts w:hint="cs"/>
          <w:rtl/>
        </w:rPr>
        <w:t>במסגרת זו מן הראוי לתת את הדעת לנסיבות הבאות: הנאשם בן 27, מנהל אורח חיים נורמטיבי, נשוי ואב לשני ילדים, והוא נעדר עבר פלילי וההליך הפלילי היווה גורם מרתיע עבורו, עוד שקלתי את המצב הרפואי של הוריו. הנאשם לקח אחריות למעשיו בהזדמנות ראשונה וחסך זמן שיפוטי יקר וכן שקלתי את העובדה שהביע חרטה על מעשיו. הנאשם שהה במעצר למשך כשלושה חודשים, כאשר בחלקם הארי היה מצוי בחקירה ותנאי מעצר אלה קשים מתנאי מאסר. בהמשך שהה הנאשם במעצר בית מלא במשך תקופה ממושכת</w:t>
      </w:r>
      <w:r>
        <w:rPr>
          <w:rFonts w:hint="cs"/>
          <w:b/>
          <w:bCs/>
          <w:rtl/>
        </w:rPr>
        <w:t xml:space="preserve">. </w:t>
      </w:r>
      <w:r w:rsidRPr="004D73BC">
        <w:rPr>
          <w:rFonts w:hint="cs"/>
          <w:rtl/>
        </w:rPr>
        <w:t>מנגד</w:t>
      </w:r>
      <w:r>
        <w:rPr>
          <w:rFonts w:hint="cs"/>
          <w:rtl/>
        </w:rPr>
        <w:t>,</w:t>
      </w:r>
      <w:r w:rsidRPr="004D73BC">
        <w:rPr>
          <w:rFonts w:hint="cs"/>
          <w:rtl/>
        </w:rPr>
        <w:t xml:space="preserve"> שקלתי</w:t>
      </w:r>
      <w:r>
        <w:rPr>
          <w:rFonts w:hint="cs"/>
          <w:rtl/>
        </w:rPr>
        <w:t xml:space="preserve"> את האמור בתסקיר שירות המבחן לעניין הקושי של הנאשם </w:t>
      </w:r>
      <w:r w:rsidRPr="004D73BC">
        <w:rPr>
          <w:rFonts w:hint="cs"/>
          <w:rtl/>
        </w:rPr>
        <w:t>להכיר בהשלכות החמורות העלולות להיות בעקבות מעשיו</w:t>
      </w:r>
      <w:r>
        <w:rPr>
          <w:rFonts w:hint="cs"/>
          <w:rtl/>
        </w:rPr>
        <w:t>,</w:t>
      </w:r>
      <w:r w:rsidRPr="004D73BC">
        <w:rPr>
          <w:rFonts w:hint="cs"/>
          <w:rtl/>
        </w:rPr>
        <w:t xml:space="preserve"> ו</w:t>
      </w:r>
      <w:r>
        <w:rPr>
          <w:rFonts w:hint="cs"/>
          <w:rtl/>
        </w:rPr>
        <w:t>כן לכך ש</w:t>
      </w:r>
      <w:r w:rsidRPr="004D73BC">
        <w:rPr>
          <w:rFonts w:hint="cs"/>
          <w:rtl/>
        </w:rPr>
        <w:t>השליך אחריות על המחויבות המשפחתית</w:t>
      </w:r>
      <w:r>
        <w:rPr>
          <w:rFonts w:hint="cs"/>
          <w:rtl/>
        </w:rPr>
        <w:t>,</w:t>
      </w:r>
      <w:r w:rsidRPr="004D73BC">
        <w:rPr>
          <w:rFonts w:hint="cs"/>
          <w:rtl/>
        </w:rPr>
        <w:t xml:space="preserve"> ואף נטל אחריות חלקית למעשיו והכחיש שהיה מודע לתוכן החבילה שלקח</w:t>
      </w:r>
      <w:r>
        <w:rPr>
          <w:rFonts w:hint="cs"/>
          <w:b/>
          <w:bCs/>
          <w:rtl/>
        </w:rPr>
        <w:t xml:space="preserve">, </w:t>
      </w:r>
      <w:r w:rsidRPr="004D73BC">
        <w:rPr>
          <w:rFonts w:hint="cs"/>
          <w:rtl/>
        </w:rPr>
        <w:t>בניגוד לדבריו בדיון לפניי היום.</w:t>
      </w:r>
    </w:p>
    <w:p w14:paraId="7600DB7E" w14:textId="77777777" w:rsidR="004A7CFA" w:rsidRPr="0061435E" w:rsidRDefault="004A7CFA" w:rsidP="004A7CFA">
      <w:pPr>
        <w:spacing w:line="360" w:lineRule="auto"/>
        <w:ind w:left="785"/>
        <w:contextualSpacing/>
        <w:jc w:val="both"/>
        <w:rPr>
          <w:sz w:val="12"/>
          <w:szCs w:val="12"/>
        </w:rPr>
      </w:pPr>
    </w:p>
    <w:p w14:paraId="19F17208" w14:textId="77777777" w:rsidR="004A7CFA" w:rsidRDefault="004A7CFA" w:rsidP="004A7CFA">
      <w:pPr>
        <w:numPr>
          <w:ilvl w:val="0"/>
          <w:numId w:val="1"/>
        </w:numPr>
        <w:spacing w:before="120" w:after="120" w:line="360" w:lineRule="auto"/>
        <w:ind w:left="357" w:hanging="357"/>
        <w:contextualSpacing/>
        <w:jc w:val="both"/>
      </w:pPr>
      <w:r>
        <w:rPr>
          <w:rFonts w:hint="cs"/>
          <w:rtl/>
        </w:rPr>
        <w:t>עוד יש לתת דגש לשיקולי הרתעת הרבים, לאור הסכנה הפוטנציאלית הטמונה בעבירה זו, ויש ליתן משקל נכבד לאינטרס הציבורי ולצורך להרתיע עבריינים בכוח מלבצע עבירות דומות כפי שהדגיש כב' השופט א' שוהם ב</w:t>
      </w:r>
      <w:hyperlink r:id="rId36" w:history="1">
        <w:r w:rsidR="00392A0E" w:rsidRPr="00392A0E">
          <w:rPr>
            <w:color w:val="0000FF"/>
            <w:u w:val="single"/>
            <w:rtl/>
          </w:rPr>
          <w:t>ע"פ 7502/12</w:t>
        </w:r>
      </w:hyperlink>
      <w:r>
        <w:rPr>
          <w:rFonts w:hint="cs"/>
          <w:rtl/>
        </w:rPr>
        <w:t xml:space="preserve"> עת חזר על ההלכה שנקבעה ב</w:t>
      </w:r>
      <w:hyperlink r:id="rId37" w:history="1">
        <w:r w:rsidR="00392A0E" w:rsidRPr="00392A0E">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p>
    <w:p w14:paraId="5EB04DAF" w14:textId="77777777" w:rsidR="004A7CFA" w:rsidRDefault="004A7CFA" w:rsidP="004A7CFA">
      <w:pPr>
        <w:spacing w:line="360" w:lineRule="auto"/>
        <w:jc w:val="both"/>
        <w:rPr>
          <w:sz w:val="12"/>
          <w:szCs w:val="12"/>
        </w:rPr>
      </w:pPr>
    </w:p>
    <w:p w14:paraId="2CA115EE" w14:textId="77777777" w:rsidR="004A7CFA" w:rsidRPr="004D73BC" w:rsidRDefault="004A7CFA" w:rsidP="004A7CFA">
      <w:pPr>
        <w:spacing w:line="360" w:lineRule="auto"/>
        <w:ind w:left="1134" w:right="1134"/>
        <w:contextualSpacing/>
        <w:jc w:val="both"/>
        <w:rPr>
          <w:b/>
          <w:bCs/>
          <w:rtl/>
        </w:rPr>
      </w:pPr>
      <w:r w:rsidRPr="004D73BC">
        <w:rPr>
          <w:rFonts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38" w:history="1">
        <w:r w:rsidR="00392A0E" w:rsidRPr="00392A0E">
          <w:rPr>
            <w:b/>
            <w:bCs/>
            <w:color w:val="0000FF"/>
            <w:u w:val="single"/>
            <w:rtl/>
          </w:rPr>
          <w:t>ע"פ 6583/06</w:t>
        </w:r>
      </w:hyperlink>
      <w:r w:rsidRPr="004D73BC">
        <w:rPr>
          <w:rFonts w:hint="cs"/>
          <w:b/>
          <w:bCs/>
          <w:rtl/>
        </w:rPr>
        <w:t xml:space="preserve"> אדהאם נ' מדינת ישראל (5.12.2006); </w:t>
      </w:r>
      <w:hyperlink r:id="rId39" w:history="1">
        <w:r w:rsidR="00392A0E" w:rsidRPr="00392A0E">
          <w:rPr>
            <w:b/>
            <w:bCs/>
            <w:color w:val="0000FF"/>
            <w:u w:val="single"/>
            <w:rtl/>
          </w:rPr>
          <w:t>ע"פ 2839/05</w:t>
        </w:r>
      </w:hyperlink>
      <w:r w:rsidRPr="004D73BC">
        <w:rPr>
          <w:rFonts w:hint="cs"/>
          <w:b/>
          <w:bCs/>
          <w:rtl/>
        </w:rPr>
        <w:t xml:space="preserve"> אל קאדר נ' מדינת ישראל (17.11.2005)).</w:t>
      </w:r>
    </w:p>
    <w:p w14:paraId="3AD31FC2" w14:textId="77777777" w:rsidR="004A7CFA" w:rsidRDefault="004A7CFA" w:rsidP="004A7CFA">
      <w:pPr>
        <w:ind w:left="1134" w:right="1134"/>
        <w:contextualSpacing/>
        <w:jc w:val="both"/>
        <w:rPr>
          <w:b/>
          <w:bCs/>
          <w:rtl/>
        </w:rPr>
      </w:pPr>
    </w:p>
    <w:p w14:paraId="50761637" w14:textId="77777777" w:rsidR="004A7CFA" w:rsidRDefault="004A7CFA" w:rsidP="004A7CFA">
      <w:pPr>
        <w:numPr>
          <w:ilvl w:val="0"/>
          <w:numId w:val="1"/>
        </w:numPr>
        <w:spacing w:before="120" w:after="120" w:line="360" w:lineRule="auto"/>
        <w:ind w:left="357" w:hanging="357"/>
        <w:contextualSpacing/>
        <w:jc w:val="both"/>
        <w:rPr>
          <w:rtl/>
        </w:rPr>
      </w:pPr>
      <w:r>
        <w:rPr>
          <w:rFonts w:hint="cs"/>
          <w:rtl/>
        </w:rPr>
        <w:t xml:space="preserve">באיזון בין השיקולים השונים, סבורני כי יש לגזור על הנאשם עונש מאסר ברף הנמוך של המתחם.  </w:t>
      </w:r>
    </w:p>
    <w:p w14:paraId="5D3F136C" w14:textId="77777777" w:rsidR="004A7CFA" w:rsidRPr="004D73BC" w:rsidRDefault="004A7CFA" w:rsidP="004A7CFA">
      <w:pPr>
        <w:spacing w:line="360" w:lineRule="auto"/>
        <w:ind w:left="720"/>
        <w:contextualSpacing/>
        <w:jc w:val="both"/>
        <w:rPr>
          <w:rFonts w:ascii="David" w:hAnsi="David"/>
          <w:sz w:val="12"/>
          <w:szCs w:val="12"/>
        </w:rPr>
      </w:pPr>
    </w:p>
    <w:p w14:paraId="57D8EF19" w14:textId="77777777" w:rsidR="004A7CFA" w:rsidRDefault="004A7CFA" w:rsidP="004A7CFA">
      <w:pPr>
        <w:numPr>
          <w:ilvl w:val="0"/>
          <w:numId w:val="1"/>
        </w:numPr>
        <w:spacing w:before="120" w:after="120" w:line="360" w:lineRule="auto"/>
        <w:ind w:left="357" w:hanging="357"/>
        <w:contextualSpacing/>
        <w:jc w:val="both"/>
        <w:rPr>
          <w:rFonts w:eastAsia="David"/>
        </w:rPr>
      </w:pPr>
      <w:r>
        <w:rPr>
          <w:rFonts w:hint="cs"/>
          <w:rtl/>
        </w:rPr>
        <w:t xml:space="preserve">לאור כל האמור לעיל, ולאור המלצת שירות המבחן להימנע מהטלת מאסר בפועל, אלא להשית עונש של מאסר בעבודות שירות, ובשים לב לתקופת המעצר הממושכת בה שהה, החלטתי להטיל על הנאשם עונש ברף הנמוך של מתחם העונש ההולם, כדלהלן: </w:t>
      </w:r>
    </w:p>
    <w:p w14:paraId="38597C42" w14:textId="77777777" w:rsidR="004A7CFA" w:rsidRDefault="004A7CFA" w:rsidP="004A7CFA">
      <w:pPr>
        <w:spacing w:line="360" w:lineRule="auto"/>
        <w:ind w:left="720"/>
        <w:contextualSpacing/>
        <w:jc w:val="both"/>
        <w:rPr>
          <w:sz w:val="14"/>
          <w:szCs w:val="14"/>
        </w:rPr>
      </w:pPr>
    </w:p>
    <w:p w14:paraId="5C00B236" w14:textId="77777777" w:rsidR="004A7CFA" w:rsidRDefault="004A7CFA" w:rsidP="004A7CFA">
      <w:pPr>
        <w:numPr>
          <w:ilvl w:val="1"/>
          <w:numId w:val="2"/>
        </w:numPr>
        <w:spacing w:line="360" w:lineRule="auto"/>
        <w:contextualSpacing/>
        <w:jc w:val="both"/>
      </w:pPr>
      <w:r>
        <w:rPr>
          <w:rFonts w:hint="cs"/>
          <w:rtl/>
        </w:rPr>
        <w:t>85 ימי מאסר אשר ינוכו מימי מעצרו מיום 29.10.19 ועד יום 21.1.2020, כך שהנאשם לא ישוב לרצות עונש של מאסר בין כותלי שב"ס.</w:t>
      </w:r>
    </w:p>
    <w:p w14:paraId="21C1B156" w14:textId="77777777" w:rsidR="004A7CFA" w:rsidRDefault="004A7CFA" w:rsidP="004A7CFA">
      <w:pPr>
        <w:spacing w:line="360" w:lineRule="auto"/>
        <w:ind w:left="1980"/>
        <w:contextualSpacing/>
        <w:jc w:val="both"/>
        <w:rPr>
          <w:sz w:val="12"/>
          <w:szCs w:val="12"/>
        </w:rPr>
      </w:pPr>
    </w:p>
    <w:p w14:paraId="1EBD036A" w14:textId="77777777" w:rsidR="004A7CFA" w:rsidRDefault="004A7CFA" w:rsidP="004A7CFA">
      <w:pPr>
        <w:numPr>
          <w:ilvl w:val="1"/>
          <w:numId w:val="2"/>
        </w:numPr>
        <w:spacing w:line="360" w:lineRule="auto"/>
        <w:contextualSpacing/>
        <w:jc w:val="both"/>
      </w:pPr>
      <w:r>
        <w:rPr>
          <w:rFonts w:hint="cs"/>
          <w:rtl/>
        </w:rPr>
        <w:t xml:space="preserve">6 חודשי מאסר. הנאשם לא ירצה עונש זה אלא אם יעבור בתוך שנתיים מהיום על כל עבירת נשק. </w:t>
      </w:r>
    </w:p>
    <w:p w14:paraId="5438C4CF" w14:textId="77777777" w:rsidR="004A7CFA" w:rsidRPr="0066767E" w:rsidRDefault="004A7CFA" w:rsidP="004A7CFA">
      <w:pPr>
        <w:rPr>
          <w:b/>
          <w:bCs/>
        </w:rPr>
      </w:pPr>
    </w:p>
    <w:p w14:paraId="20E32818" w14:textId="77777777" w:rsidR="004A7CFA" w:rsidRDefault="004A7CFA" w:rsidP="004A7CFA">
      <w:pPr>
        <w:rPr>
          <w:b/>
          <w:bCs/>
          <w:rtl/>
        </w:rPr>
      </w:pPr>
    </w:p>
    <w:p w14:paraId="4585F3F7" w14:textId="77777777" w:rsidR="004A7CFA" w:rsidRDefault="004A7CFA" w:rsidP="004A7CFA">
      <w:pPr>
        <w:rPr>
          <w:b/>
          <w:bCs/>
          <w:rtl/>
        </w:rPr>
      </w:pPr>
    </w:p>
    <w:p w14:paraId="3EED1D01" w14:textId="77777777" w:rsidR="004A7CFA" w:rsidRDefault="004A7CFA" w:rsidP="004A7CFA">
      <w:pPr>
        <w:rPr>
          <w:b/>
          <w:bCs/>
          <w:rtl/>
        </w:rPr>
      </w:pPr>
    </w:p>
    <w:p w14:paraId="297E73C6" w14:textId="77777777" w:rsidR="004A7CFA" w:rsidRDefault="004A7CFA" w:rsidP="004A7CFA">
      <w:pPr>
        <w:rPr>
          <w:b/>
          <w:bCs/>
          <w:rtl/>
        </w:rPr>
      </w:pPr>
    </w:p>
    <w:p w14:paraId="732C468C" w14:textId="77777777" w:rsidR="004A7CFA" w:rsidRDefault="004A7CFA" w:rsidP="004A7CFA">
      <w:pPr>
        <w:rPr>
          <w:b/>
          <w:bCs/>
          <w:rtl/>
        </w:rPr>
      </w:pPr>
    </w:p>
    <w:p w14:paraId="049B5DFA" w14:textId="77777777" w:rsidR="004A7CFA" w:rsidRDefault="004A7CFA" w:rsidP="004A7CFA">
      <w:pPr>
        <w:rPr>
          <w:b/>
          <w:bCs/>
          <w:rtl/>
        </w:rPr>
      </w:pPr>
    </w:p>
    <w:p w14:paraId="5770EFB3" w14:textId="77777777" w:rsidR="004A7CFA" w:rsidRDefault="004A7CFA" w:rsidP="004A7CFA">
      <w:pPr>
        <w:rPr>
          <w:b/>
          <w:bCs/>
          <w:rtl/>
        </w:rPr>
      </w:pPr>
    </w:p>
    <w:p w14:paraId="22A8827E" w14:textId="77777777" w:rsidR="004A7CFA" w:rsidRDefault="004A7CFA" w:rsidP="004A7CFA">
      <w:pPr>
        <w:rPr>
          <w:b/>
          <w:bCs/>
          <w:rtl/>
        </w:rPr>
      </w:pPr>
    </w:p>
    <w:p w14:paraId="35A2D4CB" w14:textId="77777777" w:rsidR="004A7CFA" w:rsidRDefault="004A7CFA" w:rsidP="004A7CFA">
      <w:pPr>
        <w:rPr>
          <w:b/>
          <w:bCs/>
          <w:rtl/>
        </w:rPr>
      </w:pPr>
    </w:p>
    <w:p w14:paraId="42CA525A" w14:textId="77777777" w:rsidR="004A7CFA" w:rsidRDefault="004A7CFA" w:rsidP="004A7CFA">
      <w:pPr>
        <w:rPr>
          <w:b/>
          <w:bCs/>
          <w:rtl/>
        </w:rPr>
      </w:pPr>
      <w:r w:rsidRPr="00C656F1">
        <w:rPr>
          <w:rFonts w:hint="cs"/>
          <w:b/>
          <w:bCs/>
          <w:rtl/>
        </w:rPr>
        <w:t xml:space="preserve">העתק גזר הדין ישלח לשירות המבחן. </w:t>
      </w:r>
    </w:p>
    <w:p w14:paraId="66C62208" w14:textId="77777777" w:rsidR="004A7CFA" w:rsidRPr="00C656F1" w:rsidRDefault="004A7CFA" w:rsidP="004A7CFA">
      <w:pPr>
        <w:rPr>
          <w:b/>
          <w:bCs/>
          <w:rtl/>
        </w:rPr>
      </w:pPr>
    </w:p>
    <w:p w14:paraId="5A1476DB" w14:textId="77777777" w:rsidR="004A7CFA" w:rsidRDefault="004A7CFA" w:rsidP="004A7CFA">
      <w:pPr>
        <w:rPr>
          <w:b/>
          <w:bCs/>
          <w:rtl/>
        </w:rPr>
      </w:pPr>
      <w:r>
        <w:rPr>
          <w:rFonts w:hint="cs"/>
          <w:b/>
          <w:bCs/>
          <w:rtl/>
        </w:rPr>
        <w:t>זכות ערעור לבית המשפט המחוזי בירושלים תוך 45 יום מהיום.</w:t>
      </w:r>
    </w:p>
    <w:p w14:paraId="5E208341" w14:textId="77777777" w:rsidR="004A7CFA" w:rsidRPr="00392A0E" w:rsidRDefault="00392A0E" w:rsidP="004A7CFA">
      <w:pPr>
        <w:rPr>
          <w:color w:val="FFFFFF"/>
          <w:sz w:val="2"/>
          <w:szCs w:val="2"/>
          <w:rtl/>
        </w:rPr>
      </w:pPr>
      <w:r w:rsidRPr="00392A0E">
        <w:rPr>
          <w:color w:val="FFFFFF"/>
          <w:sz w:val="2"/>
          <w:szCs w:val="2"/>
          <w:rtl/>
        </w:rPr>
        <w:t>5129371</w:t>
      </w:r>
    </w:p>
    <w:p w14:paraId="20582A55" w14:textId="77777777" w:rsidR="004A7CFA" w:rsidRDefault="00392A0E" w:rsidP="004A7CFA">
      <w:pPr>
        <w:rPr>
          <w:rFonts w:cs="FrankRuehl"/>
          <w:sz w:val="28"/>
          <w:szCs w:val="28"/>
          <w:rtl/>
        </w:rPr>
      </w:pPr>
      <w:bookmarkStart w:id="8" w:name="Nitan"/>
      <w:r w:rsidRPr="00392A0E">
        <w:rPr>
          <w:rFonts w:ascii="Arial" w:hAnsi="Arial"/>
          <w:color w:val="FFFFFF"/>
          <w:sz w:val="2"/>
          <w:szCs w:val="2"/>
          <w:rtl/>
        </w:rPr>
        <w:t>54678313</w:t>
      </w:r>
      <w:r>
        <w:rPr>
          <w:rFonts w:ascii="Arial" w:hAnsi="Arial"/>
          <w:rtl/>
        </w:rPr>
        <w:t xml:space="preserve">ניתן היום,  כ"ג חשוון תשפ"א, 10 נובמבר 2020, במעמד ב"כ הצדדים והנאשם. </w:t>
      </w:r>
      <w:bookmarkEnd w:id="8"/>
    </w:p>
    <w:p w14:paraId="715CD0EC" w14:textId="77777777" w:rsidR="004A7CFA" w:rsidRDefault="004A7CFA" w:rsidP="00392A0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C7E9F8" w14:textId="77777777" w:rsidR="004A7CFA" w:rsidRDefault="004A7CFA" w:rsidP="004A7CFA">
      <w:pPr>
        <w:jc w:val="center"/>
        <w:rPr>
          <w:rFonts w:ascii="Arial" w:hAnsi="Arial" w:cs="FrankRuehl"/>
          <w:sz w:val="28"/>
          <w:szCs w:val="28"/>
          <w:rtl/>
        </w:rPr>
      </w:pPr>
    </w:p>
    <w:p w14:paraId="606788DD" w14:textId="77777777" w:rsidR="004A7CFA" w:rsidRDefault="004A7CFA" w:rsidP="004A7CFA">
      <w:pPr>
        <w:rPr>
          <w:rFonts w:cs="FrankRuehl"/>
          <w:sz w:val="28"/>
          <w:szCs w:val="28"/>
          <w:rtl/>
        </w:rPr>
      </w:pPr>
    </w:p>
    <w:p w14:paraId="7EFA61D8" w14:textId="77777777" w:rsidR="004A7CFA" w:rsidRPr="00AA74C8" w:rsidRDefault="00AA74C8" w:rsidP="004A7CFA">
      <w:pPr>
        <w:pStyle w:val="a3"/>
        <w:jc w:val="center"/>
        <w:rPr>
          <w:color w:val="FFFFFF"/>
          <w:sz w:val="2"/>
          <w:szCs w:val="2"/>
          <w:rtl/>
        </w:rPr>
      </w:pPr>
      <w:r w:rsidRPr="00AA74C8">
        <w:rPr>
          <w:color w:val="FFFFFF"/>
          <w:sz w:val="2"/>
          <w:szCs w:val="2"/>
          <w:rtl/>
        </w:rPr>
        <w:t>5129371</w:t>
      </w:r>
    </w:p>
    <w:p w14:paraId="66889A52" w14:textId="77777777" w:rsidR="008F1B3E" w:rsidRPr="00AA74C8" w:rsidRDefault="00AA74C8" w:rsidP="00392A0E">
      <w:pPr>
        <w:keepNext/>
        <w:rPr>
          <w:rFonts w:ascii="David" w:hAnsi="David"/>
          <w:color w:val="FFFFFF"/>
          <w:sz w:val="2"/>
          <w:szCs w:val="2"/>
          <w:rtl/>
        </w:rPr>
      </w:pPr>
      <w:r w:rsidRPr="00AA74C8">
        <w:rPr>
          <w:rFonts w:ascii="David" w:hAnsi="David"/>
          <w:color w:val="FFFFFF"/>
          <w:sz w:val="2"/>
          <w:szCs w:val="2"/>
          <w:rtl/>
        </w:rPr>
        <w:t>54678313</w:t>
      </w:r>
    </w:p>
    <w:p w14:paraId="21952990" w14:textId="77777777" w:rsidR="00392A0E" w:rsidRDefault="00392A0E" w:rsidP="00392A0E">
      <w:pPr>
        <w:rPr>
          <w:rFonts w:hint="cs"/>
        </w:rPr>
      </w:pPr>
    </w:p>
    <w:p w14:paraId="726830C2" w14:textId="77777777" w:rsidR="00392A0E" w:rsidRDefault="00392A0E" w:rsidP="00392A0E">
      <w:pPr>
        <w:rPr>
          <w:rtl/>
        </w:rPr>
      </w:pPr>
    </w:p>
    <w:p w14:paraId="22236C34" w14:textId="77777777" w:rsidR="00392A0E" w:rsidRDefault="00392A0E" w:rsidP="00392A0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43FAC5C1" w14:textId="77777777" w:rsidR="00AA74C8" w:rsidRPr="00AA74C8" w:rsidRDefault="00AA74C8" w:rsidP="00AA74C8">
      <w:pPr>
        <w:keepNext/>
        <w:rPr>
          <w:rFonts w:ascii="David" w:hAnsi="David"/>
          <w:color w:val="000000"/>
          <w:sz w:val="22"/>
          <w:szCs w:val="22"/>
          <w:rtl/>
        </w:rPr>
      </w:pPr>
    </w:p>
    <w:p w14:paraId="0681662B" w14:textId="77777777" w:rsidR="00AA74C8" w:rsidRPr="00AA74C8" w:rsidRDefault="00AA74C8" w:rsidP="00AA74C8">
      <w:pPr>
        <w:keepNext/>
        <w:rPr>
          <w:rFonts w:ascii="David" w:hAnsi="David"/>
          <w:color w:val="000000"/>
          <w:sz w:val="22"/>
          <w:szCs w:val="22"/>
          <w:rtl/>
        </w:rPr>
      </w:pPr>
      <w:r w:rsidRPr="00AA74C8">
        <w:rPr>
          <w:rFonts w:ascii="David" w:hAnsi="David"/>
          <w:color w:val="000000"/>
          <w:sz w:val="22"/>
          <w:szCs w:val="22"/>
          <w:rtl/>
        </w:rPr>
        <w:t>חנה מרים לומפ 54678313-/</w:t>
      </w:r>
    </w:p>
    <w:p w14:paraId="2D392610" w14:textId="77777777" w:rsidR="00392A0E" w:rsidRPr="00392A0E" w:rsidRDefault="00AA74C8" w:rsidP="00AA74C8">
      <w:pPr>
        <w:rPr>
          <w:rFonts w:hint="cs"/>
          <w:color w:val="0000FF"/>
          <w:u w:val="single"/>
        </w:rPr>
      </w:pPr>
      <w:r w:rsidRPr="00AA74C8">
        <w:rPr>
          <w:color w:val="000000"/>
          <w:u w:val="single"/>
          <w:rtl/>
        </w:rPr>
        <w:t>נוסח מסמך זה כפוף לשינויי ניסוח ועריכה</w:t>
      </w:r>
      <w:r w:rsidR="00EA32EE">
        <w:rPr>
          <w:rFonts w:hint="cs"/>
          <w:color w:val="0000FF"/>
          <w:u w:val="single"/>
          <w:rtl/>
        </w:rPr>
        <w:t xml:space="preserve"> </w:t>
      </w:r>
    </w:p>
    <w:sectPr w:rsidR="00392A0E" w:rsidRPr="00392A0E" w:rsidSect="00AA74C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29AAE" w14:textId="77777777" w:rsidR="00B826F4" w:rsidRDefault="00B826F4" w:rsidP="00AD5604">
      <w:r>
        <w:separator/>
      </w:r>
    </w:p>
  </w:endnote>
  <w:endnote w:type="continuationSeparator" w:id="0">
    <w:p w14:paraId="60FA1E87" w14:textId="77777777" w:rsidR="00B826F4" w:rsidRDefault="00B826F4" w:rsidP="00AD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028 Extrabold">
    <w:altName w:val="Times New Roman"/>
    <w:charset w:val="00"/>
    <w:family w:val="auto"/>
    <w:pitch w:val="variable"/>
    <w:sig w:usb0="800001AF" w:usb1="000178EB" w:usb2="00000000" w:usb3="00000000" w:csb0="00000093"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F02C" w14:textId="77777777" w:rsidR="00AA74C8" w:rsidRDefault="00AA74C8" w:rsidP="00AA74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FEABB6" w14:textId="77777777" w:rsidR="00A03B20" w:rsidRPr="00AA74C8" w:rsidRDefault="00AA74C8" w:rsidP="00AA74C8">
    <w:pPr>
      <w:pStyle w:val="a5"/>
      <w:pBdr>
        <w:top w:val="single" w:sz="4" w:space="1" w:color="auto"/>
        <w:between w:val="single" w:sz="4" w:space="0" w:color="auto"/>
      </w:pBdr>
      <w:spacing w:after="60"/>
      <w:jc w:val="center"/>
      <w:rPr>
        <w:rFonts w:ascii="FrankRuehl" w:hAnsi="FrankRuehl" w:cs="FrankRuehl"/>
        <w:color w:val="000000"/>
      </w:rPr>
    </w:pPr>
    <w:r w:rsidRPr="00AA74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FC1C" w14:textId="77777777" w:rsidR="00AA74C8" w:rsidRDefault="00AA74C8" w:rsidP="00AA74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49DA">
      <w:rPr>
        <w:rFonts w:ascii="FrankRuehl" w:hAnsi="FrankRuehl" w:cs="FrankRuehl"/>
        <w:noProof/>
        <w:rtl/>
      </w:rPr>
      <w:t>1</w:t>
    </w:r>
    <w:r>
      <w:rPr>
        <w:rFonts w:ascii="FrankRuehl" w:hAnsi="FrankRuehl" w:cs="FrankRuehl"/>
        <w:rtl/>
      </w:rPr>
      <w:fldChar w:fldCharType="end"/>
    </w:r>
  </w:p>
  <w:p w14:paraId="08D5977D" w14:textId="77777777" w:rsidR="00A03B20" w:rsidRPr="00AA74C8" w:rsidRDefault="00AA74C8" w:rsidP="00AA74C8">
    <w:pPr>
      <w:pStyle w:val="a5"/>
      <w:pBdr>
        <w:top w:val="single" w:sz="4" w:space="1" w:color="auto"/>
        <w:between w:val="single" w:sz="4" w:space="0" w:color="auto"/>
      </w:pBdr>
      <w:spacing w:after="60"/>
      <w:jc w:val="center"/>
      <w:rPr>
        <w:rFonts w:ascii="FrankRuehl" w:hAnsi="FrankRuehl" w:cs="FrankRuehl"/>
        <w:color w:val="000000"/>
      </w:rPr>
    </w:pPr>
    <w:r w:rsidRPr="00AA74C8">
      <w:rPr>
        <w:rFonts w:ascii="FrankRuehl" w:hAnsi="FrankRuehl" w:cs="FrankRuehl"/>
        <w:color w:val="000000"/>
      </w:rPr>
      <w:pict w14:anchorId="387E5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2787" w14:textId="77777777" w:rsidR="00B826F4" w:rsidRDefault="00B826F4" w:rsidP="00AD5604">
      <w:r>
        <w:separator/>
      </w:r>
    </w:p>
  </w:footnote>
  <w:footnote w:type="continuationSeparator" w:id="0">
    <w:p w14:paraId="55E3B2E7" w14:textId="77777777" w:rsidR="00B826F4" w:rsidRDefault="00B826F4" w:rsidP="00AD5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BEEE" w14:textId="77777777" w:rsidR="00392A0E" w:rsidRPr="00AA74C8" w:rsidRDefault="00AA74C8" w:rsidP="00AA74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40898-11-19</w:t>
    </w:r>
    <w:r>
      <w:rPr>
        <w:rFonts w:ascii="David" w:hAnsi="David"/>
        <w:color w:val="000000"/>
        <w:sz w:val="22"/>
        <w:szCs w:val="22"/>
        <w:rtl/>
      </w:rPr>
      <w:tab/>
      <w:t xml:space="preserve"> מדינת ישראל נ' מוחמד מג'אהד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C9679" w14:textId="77777777" w:rsidR="00392A0E" w:rsidRPr="00AA74C8" w:rsidRDefault="00AA74C8" w:rsidP="00AA74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40898-11-19</w:t>
    </w:r>
    <w:r>
      <w:rPr>
        <w:rFonts w:ascii="David" w:hAnsi="David"/>
        <w:color w:val="000000"/>
        <w:sz w:val="22"/>
        <w:szCs w:val="22"/>
        <w:rtl/>
      </w:rPr>
      <w:tab/>
      <w:t xml:space="preserve"> מדינת ישראל נ' מוחמד מג'אהד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1D13"/>
    <w:multiLevelType w:val="hybridMultilevel"/>
    <w:tmpl w:val="FED6E2E4"/>
    <w:lvl w:ilvl="0" w:tplc="F0826082">
      <w:start w:val="1"/>
      <w:numFmt w:val="decimal"/>
      <w:lvlText w:val="%1."/>
      <w:lvlJc w:val="left"/>
      <w:pPr>
        <w:ind w:left="720" w:hanging="360"/>
      </w:pPr>
      <w:rPr>
        <w:rFonts w:cs="Times New Roman"/>
        <w:b w:val="0"/>
        <w:bCs w:val="0"/>
        <w:sz w:val="22"/>
        <w:szCs w:val="22"/>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2037121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3965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CFA"/>
    <w:rsid w:val="00123400"/>
    <w:rsid w:val="003503D6"/>
    <w:rsid w:val="0035669B"/>
    <w:rsid w:val="00392A0E"/>
    <w:rsid w:val="003A33AF"/>
    <w:rsid w:val="004A7CFA"/>
    <w:rsid w:val="004C49DA"/>
    <w:rsid w:val="00822B78"/>
    <w:rsid w:val="008F1B3E"/>
    <w:rsid w:val="009D0DAA"/>
    <w:rsid w:val="00A03B20"/>
    <w:rsid w:val="00AA74C8"/>
    <w:rsid w:val="00AD5604"/>
    <w:rsid w:val="00B826F4"/>
    <w:rsid w:val="00BC3DFC"/>
    <w:rsid w:val="00EA32EE"/>
    <w:rsid w:val="00FB3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FCEF50"/>
  <w15:chartTrackingRefBased/>
  <w15:docId w15:val="{47AB3D53-CDD5-48FA-986A-A1EDF4FC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C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CFA"/>
    <w:pPr>
      <w:tabs>
        <w:tab w:val="center" w:pos="4153"/>
        <w:tab w:val="right" w:pos="8306"/>
      </w:tabs>
    </w:pPr>
  </w:style>
  <w:style w:type="character" w:customStyle="1" w:styleId="a4">
    <w:name w:val="כותרת עליונה תו"/>
    <w:link w:val="a3"/>
    <w:rsid w:val="004A7CFA"/>
    <w:rPr>
      <w:rFonts w:ascii="Times New Roman" w:eastAsia="Times New Roman" w:hAnsi="Times New Roman" w:cs="David"/>
      <w:sz w:val="24"/>
      <w:szCs w:val="24"/>
    </w:rPr>
  </w:style>
  <w:style w:type="paragraph" w:styleId="a5">
    <w:name w:val="footer"/>
    <w:basedOn w:val="a"/>
    <w:link w:val="a6"/>
    <w:rsid w:val="004A7CFA"/>
    <w:pPr>
      <w:tabs>
        <w:tab w:val="center" w:pos="4153"/>
        <w:tab w:val="right" w:pos="8306"/>
      </w:tabs>
    </w:pPr>
  </w:style>
  <w:style w:type="character" w:customStyle="1" w:styleId="a6">
    <w:name w:val="כותרת תחתונה תו"/>
    <w:link w:val="a5"/>
    <w:rsid w:val="004A7CFA"/>
    <w:rPr>
      <w:rFonts w:ascii="Times New Roman" w:eastAsia="Times New Roman" w:hAnsi="Times New Roman" w:cs="David"/>
      <w:sz w:val="24"/>
      <w:szCs w:val="24"/>
    </w:rPr>
  </w:style>
  <w:style w:type="table" w:styleId="a7">
    <w:name w:val="Table Grid"/>
    <w:basedOn w:val="a1"/>
    <w:rsid w:val="004A7C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CFA"/>
  </w:style>
  <w:style w:type="character" w:styleId="Hyperlink">
    <w:name w:val="Hyperlink"/>
    <w:rsid w:val="004A7CFA"/>
    <w:rPr>
      <w:color w:val="0000FF"/>
      <w:u w:val="single"/>
    </w:rPr>
  </w:style>
  <w:style w:type="paragraph" w:styleId="a9">
    <w:name w:val="List Paragraph"/>
    <w:basedOn w:val="a"/>
    <w:qFormat/>
    <w:rsid w:val="004A7CFA"/>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776733" TargetMode="External"/><Relationship Id="rId39" Type="http://schemas.openxmlformats.org/officeDocument/2006/relationships/hyperlink" Target="http://www.nevo.co.il/case/5859902" TargetMode="External"/><Relationship Id="rId21" Type="http://schemas.openxmlformats.org/officeDocument/2006/relationships/hyperlink" Target="http://www.nevo.co.il/case/6058757" TargetMode="External"/><Relationship Id="rId34" Type="http://schemas.openxmlformats.org/officeDocument/2006/relationships/hyperlink" Target="http://www.nevo.co.il/law/70301/40j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80717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6969183" TargetMode="External"/><Relationship Id="rId32" Type="http://schemas.openxmlformats.org/officeDocument/2006/relationships/hyperlink" Target="http://www.nevo.co.il/case/20262809" TargetMode="External"/><Relationship Id="rId37" Type="http://schemas.openxmlformats.org/officeDocument/2006/relationships/hyperlink" Target="http://www.nevo.co.il/case/585240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5601503" TargetMode="External"/><Relationship Id="rId28" Type="http://schemas.openxmlformats.org/officeDocument/2006/relationships/hyperlink" Target="http://www.nevo.co.il/case/18099950" TargetMode="External"/><Relationship Id="rId36" Type="http://schemas.openxmlformats.org/officeDocument/2006/relationships/hyperlink" Target="http://www.nevo.co.il/case/5601503"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06639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yperlink" Target="http://www.nevo.co.il/case/20206548" TargetMode="External"/><Relationship Id="rId30" Type="http://schemas.openxmlformats.org/officeDocument/2006/relationships/hyperlink" Target="http://www.nevo.co.il/case/3571201"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2894643" TargetMode="External"/><Relationship Id="rId33" Type="http://schemas.openxmlformats.org/officeDocument/2006/relationships/hyperlink" Target="http://www.nevo.co.il/law/4216" TargetMode="External"/><Relationship Id="rId38" Type="http://schemas.openxmlformats.org/officeDocument/2006/relationships/hyperlink" Target="http://www.nevo.co.il/case/6072945" TargetMode="External"/><Relationship Id="rId46" Type="http://schemas.openxmlformats.org/officeDocument/2006/relationships/theme" Target="theme/theme1.xml"/><Relationship Id="rId20" Type="http://schemas.openxmlformats.org/officeDocument/2006/relationships/hyperlink" Target="http://www.nevo.co.il/case/2521799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2587</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15496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3866741</vt:i4>
      </vt:variant>
      <vt:variant>
        <vt:i4>96</vt:i4>
      </vt:variant>
      <vt:variant>
        <vt:i4>0</vt:i4>
      </vt:variant>
      <vt:variant>
        <vt:i4>5</vt:i4>
      </vt:variant>
      <vt:variant>
        <vt:lpwstr>http://www.nevo.co.il/case/5859902</vt:lpwstr>
      </vt:variant>
      <vt:variant>
        <vt:lpwstr/>
      </vt:variant>
      <vt:variant>
        <vt:i4>3997810</vt:i4>
      </vt:variant>
      <vt:variant>
        <vt:i4>93</vt:i4>
      </vt:variant>
      <vt:variant>
        <vt:i4>0</vt:i4>
      </vt:variant>
      <vt:variant>
        <vt:i4>5</vt:i4>
      </vt:variant>
      <vt:variant>
        <vt:lpwstr>http://www.nevo.co.il/case/6072945</vt:lpwstr>
      </vt:variant>
      <vt:variant>
        <vt:lpwstr/>
      </vt:variant>
      <vt:variant>
        <vt:i4>3145854</vt:i4>
      </vt:variant>
      <vt:variant>
        <vt:i4>90</vt:i4>
      </vt:variant>
      <vt:variant>
        <vt:i4>0</vt:i4>
      </vt:variant>
      <vt:variant>
        <vt:i4>5</vt:i4>
      </vt:variant>
      <vt:variant>
        <vt:lpwstr>http://www.nevo.co.il/case/5852404</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8257637</vt:i4>
      </vt:variant>
      <vt:variant>
        <vt:i4>78</vt:i4>
      </vt:variant>
      <vt:variant>
        <vt:i4>0</vt:i4>
      </vt:variant>
      <vt:variant>
        <vt:i4>5</vt:i4>
      </vt:variant>
      <vt:variant>
        <vt:lpwstr>http://www.nevo.co.il/law/4216</vt:lpwstr>
      </vt:variant>
      <vt:variant>
        <vt:lpwstr/>
      </vt:variant>
      <vt:variant>
        <vt:i4>3276922</vt:i4>
      </vt:variant>
      <vt:variant>
        <vt:i4>75</vt:i4>
      </vt:variant>
      <vt:variant>
        <vt:i4>0</vt:i4>
      </vt:variant>
      <vt:variant>
        <vt:i4>5</vt:i4>
      </vt:variant>
      <vt:variant>
        <vt:lpwstr>http://www.nevo.co.il/case/20262809</vt:lpwstr>
      </vt:variant>
      <vt:variant>
        <vt:lpwstr/>
      </vt:variant>
      <vt:variant>
        <vt:i4>4063353</vt:i4>
      </vt:variant>
      <vt:variant>
        <vt:i4>72</vt:i4>
      </vt:variant>
      <vt:variant>
        <vt:i4>0</vt:i4>
      </vt:variant>
      <vt:variant>
        <vt:i4>5</vt:i4>
      </vt:variant>
      <vt:variant>
        <vt:lpwstr>http://www.nevo.co.il/case/18066399</vt:lpwstr>
      </vt:variant>
      <vt:variant>
        <vt:lpwstr/>
      </vt:variant>
      <vt:variant>
        <vt:i4>3604592</vt:i4>
      </vt:variant>
      <vt:variant>
        <vt:i4>69</vt:i4>
      </vt:variant>
      <vt:variant>
        <vt:i4>0</vt:i4>
      </vt:variant>
      <vt:variant>
        <vt:i4>5</vt:i4>
      </vt:variant>
      <vt:variant>
        <vt:lpwstr>http://www.nevo.co.il/case/3571201</vt:lpwstr>
      </vt:variant>
      <vt:variant>
        <vt:lpwstr/>
      </vt:variant>
      <vt:variant>
        <vt:i4>3407996</vt:i4>
      </vt:variant>
      <vt:variant>
        <vt:i4>66</vt:i4>
      </vt:variant>
      <vt:variant>
        <vt:i4>0</vt:i4>
      </vt:variant>
      <vt:variant>
        <vt:i4>5</vt:i4>
      </vt:variant>
      <vt:variant>
        <vt:lpwstr>http://www.nevo.co.il/case/18071740</vt:lpwstr>
      </vt:variant>
      <vt:variant>
        <vt:lpwstr/>
      </vt:variant>
      <vt:variant>
        <vt:i4>3997820</vt:i4>
      </vt:variant>
      <vt:variant>
        <vt:i4>63</vt:i4>
      </vt:variant>
      <vt:variant>
        <vt:i4>0</vt:i4>
      </vt:variant>
      <vt:variant>
        <vt:i4>5</vt:i4>
      </vt:variant>
      <vt:variant>
        <vt:lpwstr>http://www.nevo.co.il/case/18099950</vt:lpwstr>
      </vt:variant>
      <vt:variant>
        <vt:lpwstr/>
      </vt:variant>
      <vt:variant>
        <vt:i4>3276913</vt:i4>
      </vt:variant>
      <vt:variant>
        <vt:i4>60</vt:i4>
      </vt:variant>
      <vt:variant>
        <vt:i4>0</vt:i4>
      </vt:variant>
      <vt:variant>
        <vt:i4>5</vt:i4>
      </vt:variant>
      <vt:variant>
        <vt:lpwstr>http://www.nevo.co.il/case/20206548</vt:lpwstr>
      </vt:variant>
      <vt:variant>
        <vt:lpwstr/>
      </vt:variant>
      <vt:variant>
        <vt:i4>3211382</vt:i4>
      </vt:variant>
      <vt:variant>
        <vt:i4>57</vt:i4>
      </vt:variant>
      <vt:variant>
        <vt:i4>0</vt:i4>
      </vt:variant>
      <vt:variant>
        <vt:i4>5</vt:i4>
      </vt:variant>
      <vt:variant>
        <vt:lpwstr>http://www.nevo.co.il/case/2776733</vt:lpwstr>
      </vt:variant>
      <vt:variant>
        <vt:lpwstr/>
      </vt:variant>
      <vt:variant>
        <vt:i4>4063356</vt:i4>
      </vt:variant>
      <vt:variant>
        <vt:i4>54</vt:i4>
      </vt:variant>
      <vt:variant>
        <vt:i4>0</vt:i4>
      </vt:variant>
      <vt:variant>
        <vt:i4>5</vt:i4>
      </vt:variant>
      <vt:variant>
        <vt:lpwstr>http://www.nevo.co.il/case/2894643</vt:lpwstr>
      </vt:variant>
      <vt:variant>
        <vt:lpwstr/>
      </vt:variant>
      <vt:variant>
        <vt:i4>3735669</vt:i4>
      </vt:variant>
      <vt:variant>
        <vt:i4>51</vt:i4>
      </vt:variant>
      <vt:variant>
        <vt:i4>0</vt:i4>
      </vt:variant>
      <vt:variant>
        <vt:i4>5</vt:i4>
      </vt:variant>
      <vt:variant>
        <vt:lpwstr>http://www.nevo.co.il/case/16969183</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3211379</vt:i4>
      </vt:variant>
      <vt:variant>
        <vt:i4>45</vt:i4>
      </vt:variant>
      <vt:variant>
        <vt:i4>0</vt:i4>
      </vt:variant>
      <vt:variant>
        <vt:i4>5</vt:i4>
      </vt:variant>
      <vt:variant>
        <vt:lpwstr>http://www.nevo.co.il/case/6024035</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4063353</vt:i4>
      </vt:variant>
      <vt:variant>
        <vt:i4>39</vt:i4>
      </vt:variant>
      <vt:variant>
        <vt:i4>0</vt:i4>
      </vt:variant>
      <vt:variant>
        <vt:i4>5</vt:i4>
      </vt:variant>
      <vt:variant>
        <vt:lpwstr>http://www.nevo.co.il/case/25217995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8257637</vt:i4>
      </vt:variant>
      <vt:variant>
        <vt:i4>15</vt:i4>
      </vt:variant>
      <vt:variant>
        <vt:i4>0</vt:i4>
      </vt:variant>
      <vt:variant>
        <vt:i4>5</vt:i4>
      </vt:variant>
      <vt:variant>
        <vt:lpwstr>http://www.nevo.co.il/law/4216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2023-12-07T12:25:00Z</dcterms:created>
  <dcterms:modified xsi:type="dcterms:W3CDTF">2023-12-07T12:25:00Z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40898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מג'אהד</vt:lpwstr>
  </property>
  <property fmtid="{D5CDD505-2E9C-101B-9397-08002B2CF9AE}" pid="10" name="LAWYER">
    <vt:lpwstr>יפעת פנחסי;יוסי זילברברג</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20201110</vt:lpwstr>
  </property>
  <property fmtid="{D5CDD505-2E9C-101B-9397-08002B2CF9AE}" pid="14" name="TYPE_N_DATE">
    <vt:lpwstr>39020201110</vt:lpwstr>
  </property>
  <property fmtid="{D5CDD505-2E9C-101B-9397-08002B2CF9AE}" pid="15" name="WORDNUMPAGES">
    <vt:lpwstr>8</vt:lpwstr>
  </property>
  <property fmtid="{D5CDD505-2E9C-101B-9397-08002B2CF9AE}" pid="16" name="TYPE_ABS_DATE">
    <vt:lpwstr>390020201110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6473037;25217995;6058757;6024035;5601503:2;16969183;2894643;2776733;20206548;18099950;18071740;3571201;18066399;20262809;5852404;6072945;5859902</vt:lpwstr>
  </property>
  <property fmtid="{D5CDD505-2E9C-101B-9397-08002B2CF9AE}" pid="36" name="LAWLISTTMP1">
    <vt:lpwstr>70301/144.a;040b;040i;40ja</vt:lpwstr>
  </property>
  <property fmtid="{D5CDD505-2E9C-101B-9397-08002B2CF9AE}" pid="37" name="LAWLISTTMP2">
    <vt:lpwstr>4216</vt:lpwstr>
  </property>
</Properties>
</file>