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D10AB8" w:rsidRPr="00D01033" w14:paraId="3BAD4A97" w14:textId="77777777" w:rsidTr="00127D27">
        <w:trPr>
          <w:trHeight w:hRule="exact" w:val="418"/>
          <w:jc w:val="center"/>
        </w:trPr>
        <w:tc>
          <w:tcPr>
            <w:tcW w:w="8721" w:type="dxa"/>
            <w:gridSpan w:val="2"/>
          </w:tcPr>
          <w:p w14:paraId="51A4D5DC" w14:textId="77777777" w:rsidR="00D10AB8" w:rsidRPr="00D01033" w:rsidRDefault="00D10AB8" w:rsidP="000523A6">
            <w:pPr>
              <w:pStyle w:val="a3"/>
              <w:jc w:val="center"/>
              <w:rPr>
                <w:rFonts w:ascii="Tahoma" w:hAnsi="Tahoma" w:cs="Tahoma"/>
                <w:color w:val="000080"/>
                <w:rtl/>
              </w:rPr>
            </w:pPr>
            <w:r w:rsidRPr="00D01033">
              <w:rPr>
                <w:rFonts w:ascii="Tahoma" w:hAnsi="Tahoma" w:cs="Tahoma"/>
                <w:b/>
                <w:bCs/>
                <w:color w:val="000080"/>
                <w:rtl/>
              </w:rPr>
              <w:t>בית המשפט המחוזי בבאר שבע</w:t>
            </w:r>
          </w:p>
        </w:tc>
      </w:tr>
      <w:tr w:rsidR="00D10AB8" w:rsidRPr="00726D08" w14:paraId="43FEBC14" w14:textId="77777777" w:rsidTr="00127D27">
        <w:trPr>
          <w:trHeight w:val="337"/>
          <w:jc w:val="center"/>
        </w:trPr>
        <w:tc>
          <w:tcPr>
            <w:tcW w:w="5047" w:type="dxa"/>
          </w:tcPr>
          <w:p w14:paraId="02134B64" w14:textId="77777777" w:rsidR="00D10AB8" w:rsidRPr="00726D08" w:rsidRDefault="00D10AB8" w:rsidP="000523A6">
            <w:pPr>
              <w:rPr>
                <w:rFonts w:ascii="David" w:hAnsi="David" w:hint="cs"/>
                <w:b/>
                <w:bCs/>
                <w:sz w:val="26"/>
                <w:szCs w:val="26"/>
                <w:rtl/>
              </w:rPr>
            </w:pPr>
            <w:r w:rsidRPr="00726D08">
              <w:rPr>
                <w:rFonts w:ascii="David" w:hAnsi="David"/>
                <w:b/>
                <w:bCs/>
                <w:sz w:val="26"/>
                <w:szCs w:val="26"/>
                <w:rtl/>
              </w:rPr>
              <w:t>בפני כב' ס</w:t>
            </w:r>
            <w:r w:rsidRPr="00726D08">
              <w:rPr>
                <w:rFonts w:ascii="David" w:hAnsi="David" w:hint="cs"/>
                <w:b/>
                <w:bCs/>
                <w:sz w:val="26"/>
                <w:szCs w:val="26"/>
                <w:rtl/>
              </w:rPr>
              <w:t xml:space="preserve">גן </w:t>
            </w:r>
            <w:r w:rsidRPr="00726D08">
              <w:rPr>
                <w:rFonts w:ascii="David" w:hAnsi="David"/>
                <w:b/>
                <w:bCs/>
                <w:sz w:val="26"/>
                <w:szCs w:val="26"/>
                <w:rtl/>
              </w:rPr>
              <w:t xml:space="preserve">הנשיאה, השופט אליהו ביתן </w:t>
            </w:r>
          </w:p>
          <w:p w14:paraId="393FE836" w14:textId="77777777" w:rsidR="00726D08" w:rsidRPr="00726D08" w:rsidRDefault="00726D08" w:rsidP="000523A6">
            <w:pPr>
              <w:rPr>
                <w:rFonts w:ascii="David" w:hAnsi="David" w:hint="cs"/>
                <w:b/>
                <w:bCs/>
                <w:sz w:val="26"/>
                <w:szCs w:val="26"/>
                <w:rtl/>
              </w:rPr>
            </w:pPr>
          </w:p>
          <w:p w14:paraId="63BC31E4" w14:textId="77777777" w:rsidR="00726D08" w:rsidRPr="00726D08" w:rsidRDefault="00726D08" w:rsidP="000523A6">
            <w:pPr>
              <w:rPr>
                <w:rFonts w:ascii="David" w:hAnsi="David" w:hint="cs"/>
                <w:b/>
                <w:bCs/>
                <w:sz w:val="26"/>
                <w:szCs w:val="26"/>
                <w:rtl/>
              </w:rPr>
            </w:pPr>
            <w:r w:rsidRPr="00726D08">
              <w:rPr>
                <w:rFonts w:ascii="David" w:hAnsi="David"/>
                <w:b/>
                <w:bCs/>
                <w:sz w:val="26"/>
                <w:szCs w:val="26"/>
                <w:rtl/>
              </w:rPr>
              <w:t>ת"פ 27929-03-19 מדינת ישראל נ' אלאטרש ואח'</w:t>
            </w:r>
          </w:p>
        </w:tc>
        <w:tc>
          <w:tcPr>
            <w:tcW w:w="3674" w:type="dxa"/>
          </w:tcPr>
          <w:p w14:paraId="45D2D33E" w14:textId="77777777" w:rsidR="00D10AB8" w:rsidRPr="00726D08" w:rsidRDefault="00D10AB8" w:rsidP="000523A6">
            <w:pPr>
              <w:jc w:val="right"/>
              <w:rPr>
                <w:rFonts w:ascii="David" w:hAnsi="David"/>
                <w:b/>
                <w:bCs/>
                <w:sz w:val="26"/>
                <w:szCs w:val="26"/>
                <w:rtl/>
              </w:rPr>
            </w:pPr>
            <w:r w:rsidRPr="00726D08">
              <w:rPr>
                <w:rFonts w:ascii="David" w:hAnsi="David"/>
                <w:b/>
                <w:bCs/>
                <w:sz w:val="26"/>
                <w:szCs w:val="26"/>
                <w:rtl/>
              </w:rPr>
              <w:t>22 בדצמבר 2019</w:t>
            </w:r>
            <w:r w:rsidRPr="00726D08">
              <w:rPr>
                <w:rFonts w:ascii="David" w:hAnsi="David"/>
                <w:b/>
                <w:bCs/>
                <w:sz w:val="26"/>
                <w:szCs w:val="26"/>
                <w:rtl/>
              </w:rPr>
              <w:br/>
            </w:r>
            <w:r w:rsidRPr="00726D08">
              <w:rPr>
                <w:rFonts w:ascii="David" w:hAnsi="David"/>
                <w:b/>
                <w:bCs/>
                <w:sz w:val="26"/>
                <w:szCs w:val="26"/>
                <w:rtl/>
              </w:rPr>
              <w:br/>
            </w:r>
          </w:p>
        </w:tc>
      </w:tr>
    </w:tbl>
    <w:p w14:paraId="1E821AD8" w14:textId="77777777" w:rsidR="00D10AB8" w:rsidRPr="00726D08" w:rsidRDefault="00D10AB8" w:rsidP="00D10AB8">
      <w:pPr>
        <w:pStyle w:val="a3"/>
        <w:rPr>
          <w:sz w:val="26"/>
          <w:szCs w:val="26"/>
          <w:rtl/>
        </w:rPr>
      </w:pPr>
      <w:bookmarkStart w:id="0" w:name="LastJudge"/>
      <w:bookmarkEnd w:id="0"/>
      <w:r w:rsidRPr="00726D08">
        <w:rPr>
          <w:rFonts w:hint="cs"/>
          <w:sz w:val="26"/>
          <w:szCs w:val="26"/>
          <w:rtl/>
        </w:rPr>
        <w:t xml:space="preserve"> </w:t>
      </w:r>
    </w:p>
    <w:tbl>
      <w:tblPr>
        <w:tblpPr w:leftFromText="180" w:rightFromText="180" w:vertAnchor="text" w:tblpXSpec="center" w:tblpY="1"/>
        <w:tblOverlap w:val="neve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929"/>
        <w:gridCol w:w="3559"/>
      </w:tblGrid>
      <w:tr w:rsidR="00D10AB8" w:rsidRPr="00726D08" w14:paraId="124F438F" w14:textId="77777777" w:rsidTr="00726D08">
        <w:trPr>
          <w:trHeight w:val="355"/>
        </w:trPr>
        <w:tc>
          <w:tcPr>
            <w:tcW w:w="1332" w:type="dxa"/>
            <w:tcBorders>
              <w:top w:val="nil"/>
              <w:left w:val="nil"/>
              <w:bottom w:val="nil"/>
              <w:right w:val="nil"/>
            </w:tcBorders>
            <w:shd w:val="clear" w:color="auto" w:fill="auto"/>
          </w:tcPr>
          <w:p w14:paraId="004C8034" w14:textId="77777777" w:rsidR="00D10AB8" w:rsidRPr="00726D08" w:rsidRDefault="00D10AB8" w:rsidP="00726D08">
            <w:pPr>
              <w:spacing w:before="120" w:after="120" w:line="240" w:lineRule="exact"/>
              <w:jc w:val="both"/>
              <w:rPr>
                <w:rFonts w:ascii="Arial" w:hAnsi="Arial"/>
                <w:b/>
                <w:bCs/>
                <w:sz w:val="26"/>
                <w:szCs w:val="26"/>
              </w:rPr>
            </w:pPr>
            <w:r w:rsidRPr="00726D08">
              <w:rPr>
                <w:rFonts w:ascii="Arial" w:hAnsi="Arial" w:hint="cs"/>
                <w:b/>
                <w:bCs/>
                <w:sz w:val="26"/>
                <w:szCs w:val="26"/>
                <w:rtl/>
              </w:rPr>
              <w:t>בעניין:</w:t>
            </w:r>
          </w:p>
        </w:tc>
        <w:tc>
          <w:tcPr>
            <w:tcW w:w="3929" w:type="dxa"/>
            <w:tcBorders>
              <w:top w:val="nil"/>
              <w:left w:val="nil"/>
              <w:bottom w:val="nil"/>
              <w:right w:val="nil"/>
            </w:tcBorders>
            <w:shd w:val="clear" w:color="auto" w:fill="auto"/>
          </w:tcPr>
          <w:p w14:paraId="11DEF30E" w14:textId="77777777" w:rsidR="00D10AB8" w:rsidRPr="00726D08" w:rsidRDefault="00D10AB8" w:rsidP="00726D08">
            <w:pPr>
              <w:spacing w:before="120" w:after="120" w:line="240" w:lineRule="exact"/>
              <w:rPr>
                <w:rFonts w:ascii="Arial" w:hAnsi="Arial"/>
                <w:b/>
                <w:bCs/>
                <w:sz w:val="26"/>
                <w:szCs w:val="26"/>
              </w:rPr>
            </w:pPr>
            <w:r w:rsidRPr="00726D08">
              <w:rPr>
                <w:rFonts w:ascii="Arial" w:hAnsi="Arial"/>
                <w:b/>
                <w:bCs/>
                <w:sz w:val="26"/>
                <w:szCs w:val="26"/>
                <w:rtl/>
              </w:rPr>
              <w:t xml:space="preserve">     </w:t>
            </w:r>
          </w:p>
        </w:tc>
        <w:tc>
          <w:tcPr>
            <w:tcW w:w="3559" w:type="dxa"/>
            <w:tcBorders>
              <w:top w:val="nil"/>
              <w:left w:val="nil"/>
              <w:bottom w:val="nil"/>
              <w:right w:val="nil"/>
            </w:tcBorders>
            <w:shd w:val="clear" w:color="auto" w:fill="auto"/>
          </w:tcPr>
          <w:p w14:paraId="311F215A" w14:textId="77777777" w:rsidR="00D10AB8" w:rsidRPr="00726D08" w:rsidRDefault="00D10AB8" w:rsidP="00726D08">
            <w:pPr>
              <w:spacing w:before="120" w:after="120" w:line="240" w:lineRule="exact"/>
              <w:jc w:val="both"/>
              <w:rPr>
                <w:rFonts w:ascii="Arial" w:hAnsi="Arial"/>
                <w:b/>
                <w:bCs/>
                <w:sz w:val="26"/>
                <w:szCs w:val="26"/>
              </w:rPr>
            </w:pPr>
          </w:p>
        </w:tc>
      </w:tr>
      <w:tr w:rsidR="00D10AB8" w:rsidRPr="00726D08" w14:paraId="66AB4D28" w14:textId="77777777" w:rsidTr="00726D08">
        <w:trPr>
          <w:trHeight w:val="355"/>
        </w:trPr>
        <w:tc>
          <w:tcPr>
            <w:tcW w:w="1332" w:type="dxa"/>
            <w:tcBorders>
              <w:top w:val="nil"/>
              <w:left w:val="nil"/>
              <w:bottom w:val="nil"/>
              <w:right w:val="nil"/>
            </w:tcBorders>
            <w:shd w:val="clear" w:color="auto" w:fill="auto"/>
          </w:tcPr>
          <w:p w14:paraId="05DF840B" w14:textId="77777777" w:rsidR="00D10AB8" w:rsidRPr="00726D08" w:rsidRDefault="00D10AB8" w:rsidP="00726D08">
            <w:pPr>
              <w:spacing w:before="120" w:after="120" w:line="240" w:lineRule="exact"/>
              <w:jc w:val="both"/>
              <w:rPr>
                <w:rFonts w:ascii="Arial" w:hAnsi="Arial"/>
                <w:b/>
                <w:bCs/>
                <w:sz w:val="26"/>
                <w:szCs w:val="26"/>
                <w:rtl/>
              </w:rPr>
            </w:pPr>
            <w:bookmarkStart w:id="1" w:name="FirstAppellant"/>
            <w:r w:rsidRPr="00726D08">
              <w:rPr>
                <w:rFonts w:ascii="Arial" w:hAnsi="Arial" w:hint="cs"/>
                <w:b/>
                <w:bCs/>
                <w:sz w:val="26"/>
                <w:szCs w:val="26"/>
                <w:rtl/>
              </w:rPr>
              <w:t>המאשימה:</w:t>
            </w:r>
          </w:p>
        </w:tc>
        <w:tc>
          <w:tcPr>
            <w:tcW w:w="3929" w:type="dxa"/>
            <w:tcBorders>
              <w:top w:val="nil"/>
              <w:left w:val="nil"/>
              <w:bottom w:val="nil"/>
              <w:right w:val="nil"/>
            </w:tcBorders>
            <w:shd w:val="clear" w:color="auto" w:fill="auto"/>
          </w:tcPr>
          <w:p w14:paraId="6AD94B39" w14:textId="77777777" w:rsidR="00D10AB8" w:rsidRPr="00726D08" w:rsidRDefault="00D10AB8" w:rsidP="00726D08">
            <w:pPr>
              <w:spacing w:before="120" w:after="120" w:line="240" w:lineRule="exact"/>
              <w:jc w:val="both"/>
              <w:rPr>
                <w:rFonts w:ascii="Arial" w:hAnsi="Arial"/>
                <w:b/>
                <w:bCs/>
                <w:sz w:val="26"/>
                <w:szCs w:val="26"/>
                <w:rtl/>
              </w:rPr>
            </w:pPr>
            <w:r w:rsidRPr="00726D08">
              <w:rPr>
                <w:rFonts w:ascii="Arial" w:hAnsi="Arial" w:hint="cs"/>
                <w:b/>
                <w:bCs/>
                <w:sz w:val="26"/>
                <w:szCs w:val="26"/>
                <w:rtl/>
              </w:rPr>
              <w:t xml:space="preserve">מדינת ישראל </w:t>
            </w:r>
          </w:p>
        </w:tc>
        <w:tc>
          <w:tcPr>
            <w:tcW w:w="3559" w:type="dxa"/>
            <w:tcBorders>
              <w:top w:val="nil"/>
              <w:left w:val="nil"/>
              <w:bottom w:val="nil"/>
              <w:right w:val="nil"/>
            </w:tcBorders>
            <w:shd w:val="clear" w:color="auto" w:fill="auto"/>
          </w:tcPr>
          <w:p w14:paraId="2D27B083" w14:textId="77777777" w:rsidR="00D10AB8" w:rsidRPr="00726D08" w:rsidRDefault="00D10AB8" w:rsidP="00726D08">
            <w:pPr>
              <w:spacing w:before="120" w:after="120" w:line="240" w:lineRule="exact"/>
              <w:jc w:val="right"/>
              <w:rPr>
                <w:rFonts w:ascii="Arial" w:hAnsi="Arial"/>
                <w:b/>
                <w:bCs/>
                <w:sz w:val="26"/>
                <w:szCs w:val="26"/>
                <w:rtl/>
              </w:rPr>
            </w:pPr>
          </w:p>
        </w:tc>
      </w:tr>
      <w:bookmarkEnd w:id="1"/>
      <w:tr w:rsidR="0002243F" w:rsidRPr="00726D08" w14:paraId="46AF006A" w14:textId="77777777" w:rsidTr="00EE43CF">
        <w:trPr>
          <w:trHeight w:val="355"/>
        </w:trPr>
        <w:tc>
          <w:tcPr>
            <w:tcW w:w="8820" w:type="dxa"/>
            <w:gridSpan w:val="3"/>
            <w:tcBorders>
              <w:top w:val="nil"/>
              <w:left w:val="nil"/>
              <w:bottom w:val="nil"/>
              <w:right w:val="nil"/>
            </w:tcBorders>
            <w:shd w:val="clear" w:color="auto" w:fill="auto"/>
          </w:tcPr>
          <w:p w14:paraId="54BBE0E1" w14:textId="77777777" w:rsidR="0002243F" w:rsidRPr="00726D08" w:rsidRDefault="0002243F" w:rsidP="00726D08">
            <w:pPr>
              <w:spacing w:before="240" w:after="240" w:line="360" w:lineRule="auto"/>
              <w:jc w:val="center"/>
              <w:rPr>
                <w:rFonts w:ascii="Arial" w:hAnsi="Arial"/>
                <w:b/>
                <w:bCs/>
                <w:sz w:val="26"/>
                <w:szCs w:val="26"/>
              </w:rPr>
            </w:pPr>
            <w:r w:rsidRPr="00726D08">
              <w:rPr>
                <w:rFonts w:ascii="Arial" w:hAnsi="Arial"/>
                <w:b/>
                <w:bCs/>
                <w:sz w:val="26"/>
                <w:szCs w:val="26"/>
                <w:rtl/>
              </w:rPr>
              <w:t>נגד</w:t>
            </w:r>
          </w:p>
        </w:tc>
      </w:tr>
      <w:tr w:rsidR="00D10AB8" w:rsidRPr="00726D08" w14:paraId="3540A797" w14:textId="77777777" w:rsidTr="00726D08">
        <w:trPr>
          <w:trHeight w:val="355"/>
        </w:trPr>
        <w:tc>
          <w:tcPr>
            <w:tcW w:w="1332" w:type="dxa"/>
            <w:tcBorders>
              <w:top w:val="nil"/>
              <w:left w:val="nil"/>
              <w:bottom w:val="nil"/>
              <w:right w:val="nil"/>
            </w:tcBorders>
            <w:shd w:val="clear" w:color="auto" w:fill="auto"/>
          </w:tcPr>
          <w:p w14:paraId="42AFB2D5" w14:textId="77777777" w:rsidR="00D10AB8" w:rsidRPr="00726D08" w:rsidRDefault="00D10AB8" w:rsidP="00726D08">
            <w:pPr>
              <w:spacing w:before="120" w:after="120" w:line="240" w:lineRule="exact"/>
              <w:rPr>
                <w:rFonts w:ascii="Arial" w:hAnsi="Arial"/>
                <w:b/>
                <w:bCs/>
                <w:sz w:val="26"/>
                <w:szCs w:val="26"/>
                <w:rtl/>
              </w:rPr>
            </w:pPr>
            <w:r w:rsidRPr="00726D08">
              <w:rPr>
                <w:rFonts w:ascii="Arial" w:hAnsi="Arial" w:hint="cs"/>
                <w:b/>
                <w:bCs/>
                <w:sz w:val="26"/>
                <w:szCs w:val="26"/>
                <w:rtl/>
              </w:rPr>
              <w:t>הנאשם:</w:t>
            </w:r>
          </w:p>
        </w:tc>
        <w:tc>
          <w:tcPr>
            <w:tcW w:w="3929" w:type="dxa"/>
            <w:tcBorders>
              <w:top w:val="nil"/>
              <w:left w:val="nil"/>
              <w:bottom w:val="nil"/>
              <w:right w:val="nil"/>
            </w:tcBorders>
            <w:shd w:val="clear" w:color="auto" w:fill="auto"/>
          </w:tcPr>
          <w:p w14:paraId="696C646D" w14:textId="77777777" w:rsidR="00D10AB8" w:rsidRPr="00726D08" w:rsidRDefault="00D10AB8" w:rsidP="00726D08">
            <w:pPr>
              <w:spacing w:before="120" w:after="120" w:line="240" w:lineRule="exact"/>
              <w:rPr>
                <w:rFonts w:ascii="Arial" w:hAnsi="Arial"/>
                <w:b/>
                <w:bCs/>
                <w:sz w:val="26"/>
                <w:szCs w:val="26"/>
                <w:rtl/>
              </w:rPr>
            </w:pPr>
            <w:r w:rsidRPr="00726D08">
              <w:rPr>
                <w:rFonts w:ascii="Arial" w:hAnsi="Arial"/>
                <w:b/>
                <w:bCs/>
                <w:sz w:val="26"/>
                <w:szCs w:val="26"/>
                <w:rtl/>
              </w:rPr>
              <w:t xml:space="preserve">עימאד אבו </w:t>
            </w:r>
            <w:r w:rsidRPr="00726D08">
              <w:rPr>
                <w:rFonts w:ascii="Arial" w:hAnsi="Arial" w:hint="cs"/>
                <w:b/>
                <w:bCs/>
                <w:sz w:val="26"/>
                <w:szCs w:val="26"/>
                <w:rtl/>
              </w:rPr>
              <w:t>כ</w:t>
            </w:r>
            <w:r w:rsidRPr="00726D08">
              <w:rPr>
                <w:rFonts w:ascii="Arial" w:hAnsi="Arial"/>
                <w:b/>
                <w:bCs/>
                <w:sz w:val="26"/>
                <w:szCs w:val="26"/>
                <w:rtl/>
              </w:rPr>
              <w:t>ף</w:t>
            </w:r>
          </w:p>
        </w:tc>
        <w:tc>
          <w:tcPr>
            <w:tcW w:w="3559" w:type="dxa"/>
            <w:tcBorders>
              <w:top w:val="nil"/>
              <w:left w:val="nil"/>
              <w:bottom w:val="nil"/>
              <w:right w:val="nil"/>
            </w:tcBorders>
            <w:shd w:val="clear" w:color="auto" w:fill="auto"/>
          </w:tcPr>
          <w:p w14:paraId="7E559BA3" w14:textId="77777777" w:rsidR="00D10AB8" w:rsidRPr="00726D08" w:rsidRDefault="00D10AB8" w:rsidP="00D10AB8">
            <w:pPr>
              <w:spacing w:line="360" w:lineRule="auto"/>
              <w:jc w:val="right"/>
              <w:rPr>
                <w:rFonts w:ascii="Arial" w:hAnsi="Arial"/>
                <w:b/>
                <w:bCs/>
                <w:sz w:val="26"/>
                <w:szCs w:val="26"/>
              </w:rPr>
            </w:pPr>
          </w:p>
        </w:tc>
      </w:tr>
    </w:tbl>
    <w:p w14:paraId="0C6A0A93" w14:textId="77777777" w:rsidR="00D10AB8" w:rsidRDefault="00D10AB8" w:rsidP="00127D27">
      <w:pPr>
        <w:spacing w:line="360" w:lineRule="auto"/>
        <w:rPr>
          <w:rFonts w:ascii="Arial" w:hAnsi="Arial" w:hint="cs"/>
          <w:rtl/>
        </w:rPr>
      </w:pPr>
    </w:p>
    <w:p w14:paraId="5B245E27" w14:textId="77777777" w:rsidR="00294C2D" w:rsidRPr="00294C2D" w:rsidRDefault="00294C2D" w:rsidP="00294C2D">
      <w:pPr>
        <w:spacing w:before="120" w:after="120" w:line="240" w:lineRule="exact"/>
        <w:ind w:left="283" w:hanging="283"/>
        <w:jc w:val="both"/>
        <w:rPr>
          <w:rFonts w:ascii="FrankRuehl" w:hAnsi="FrankRuehl" w:cs="FrankRuehl"/>
          <w:rtl/>
        </w:rPr>
      </w:pPr>
      <w:bookmarkStart w:id="2" w:name="LawTable"/>
      <w:bookmarkEnd w:id="2"/>
      <w:r w:rsidRPr="00294C2D">
        <w:rPr>
          <w:rFonts w:ascii="FrankRuehl" w:hAnsi="FrankRuehl" w:cs="FrankRuehl"/>
          <w:rtl/>
        </w:rPr>
        <w:t xml:space="preserve">חקיקה שאוזכרה: </w:t>
      </w:r>
    </w:p>
    <w:p w14:paraId="1D3CD337" w14:textId="77777777" w:rsidR="00294C2D" w:rsidRPr="00294C2D" w:rsidRDefault="00294C2D" w:rsidP="00294C2D">
      <w:pPr>
        <w:spacing w:before="120" w:after="120" w:line="240" w:lineRule="exact"/>
        <w:ind w:left="283" w:hanging="283"/>
        <w:jc w:val="both"/>
        <w:rPr>
          <w:rFonts w:ascii="FrankRuehl" w:hAnsi="FrankRuehl" w:cs="FrankRuehl"/>
          <w:rtl/>
        </w:rPr>
      </w:pPr>
      <w:hyperlink r:id="rId6" w:history="1">
        <w:r w:rsidRPr="00294C2D">
          <w:rPr>
            <w:rFonts w:ascii="FrankRuehl" w:hAnsi="FrankRuehl" w:cs="FrankRuehl"/>
            <w:color w:val="0000FF"/>
            <w:u w:val="single"/>
            <w:rtl/>
          </w:rPr>
          <w:t>חוק העונשין, תשל"ז-1977</w:t>
        </w:r>
      </w:hyperlink>
      <w:r w:rsidRPr="00294C2D">
        <w:rPr>
          <w:rFonts w:ascii="FrankRuehl" w:hAnsi="FrankRuehl" w:cs="FrankRuehl"/>
          <w:rtl/>
        </w:rPr>
        <w:t xml:space="preserve">: סע'  </w:t>
      </w:r>
      <w:hyperlink r:id="rId7" w:history="1">
        <w:r w:rsidRPr="00294C2D">
          <w:rPr>
            <w:rFonts w:ascii="FrankRuehl" w:hAnsi="FrankRuehl" w:cs="FrankRuehl"/>
            <w:color w:val="0000FF"/>
            <w:u w:val="single"/>
            <w:rtl/>
          </w:rPr>
          <w:t>25</w:t>
        </w:r>
      </w:hyperlink>
      <w:r w:rsidRPr="00294C2D">
        <w:rPr>
          <w:rFonts w:ascii="FrankRuehl" w:hAnsi="FrankRuehl" w:cs="FrankRuehl"/>
          <w:rtl/>
        </w:rPr>
        <w:t xml:space="preserve">, </w:t>
      </w:r>
      <w:hyperlink r:id="rId8" w:history="1">
        <w:r w:rsidRPr="00294C2D">
          <w:rPr>
            <w:rFonts w:ascii="FrankRuehl" w:hAnsi="FrankRuehl" w:cs="FrankRuehl"/>
            <w:color w:val="0000FF"/>
            <w:u w:val="single"/>
            <w:rtl/>
          </w:rPr>
          <w:t>29</w:t>
        </w:r>
      </w:hyperlink>
      <w:r w:rsidRPr="00294C2D">
        <w:rPr>
          <w:rFonts w:ascii="FrankRuehl" w:hAnsi="FrankRuehl" w:cs="FrankRuehl"/>
          <w:rtl/>
        </w:rPr>
        <w:t xml:space="preserve">, </w:t>
      </w:r>
      <w:hyperlink r:id="rId9" w:history="1">
        <w:r w:rsidRPr="00294C2D">
          <w:rPr>
            <w:rFonts w:ascii="FrankRuehl" w:hAnsi="FrankRuehl" w:cs="FrankRuehl"/>
            <w:color w:val="0000FF"/>
            <w:u w:val="single"/>
            <w:rtl/>
          </w:rPr>
          <w:t>31</w:t>
        </w:r>
      </w:hyperlink>
      <w:r w:rsidRPr="00294C2D">
        <w:rPr>
          <w:rFonts w:ascii="FrankRuehl" w:hAnsi="FrankRuehl" w:cs="FrankRuehl"/>
          <w:rtl/>
        </w:rPr>
        <w:t xml:space="preserve">, </w:t>
      </w:r>
      <w:hyperlink r:id="rId10" w:history="1">
        <w:r w:rsidRPr="00294C2D">
          <w:rPr>
            <w:rFonts w:ascii="FrankRuehl" w:hAnsi="FrankRuehl" w:cs="FrankRuehl"/>
            <w:color w:val="0000FF"/>
            <w:u w:val="single"/>
            <w:rtl/>
          </w:rPr>
          <w:t>144(ב)</w:t>
        </w:r>
      </w:hyperlink>
      <w:r w:rsidRPr="00294C2D">
        <w:rPr>
          <w:rFonts w:ascii="FrankRuehl" w:hAnsi="FrankRuehl" w:cs="FrankRuehl"/>
          <w:rtl/>
        </w:rPr>
        <w:t xml:space="preserve">, </w:t>
      </w:r>
      <w:hyperlink r:id="rId11" w:history="1">
        <w:r w:rsidRPr="00294C2D">
          <w:rPr>
            <w:rFonts w:ascii="FrankRuehl" w:hAnsi="FrankRuehl" w:cs="FrankRuehl"/>
            <w:color w:val="0000FF"/>
            <w:u w:val="single"/>
            <w:rtl/>
          </w:rPr>
          <w:t>144 (ב2)</w:t>
        </w:r>
      </w:hyperlink>
    </w:p>
    <w:p w14:paraId="417F9EAD" w14:textId="77777777" w:rsidR="00B448A1" w:rsidRDefault="00B448A1" w:rsidP="00294C2D">
      <w:pPr>
        <w:spacing w:line="360" w:lineRule="auto"/>
        <w:rPr>
          <w:rFonts w:ascii="Arial" w:hAnsi="Arial" w:hint="cs"/>
          <w:rtl/>
        </w:rPr>
      </w:pPr>
      <w:bookmarkStart w:id="3" w:name="LawTable_End"/>
      <w:bookmarkEnd w:id="3"/>
    </w:p>
    <w:p w14:paraId="57F72771" w14:textId="77777777" w:rsidR="0002243F" w:rsidRDefault="0002243F" w:rsidP="0002243F">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3FB0F6AA"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lang w:eastAsia="he-IL"/>
        </w:rPr>
      </w:pPr>
      <w:r>
        <w:rPr>
          <w:rFonts w:cs="FrankRuehl" w:hint="cs"/>
          <w:szCs w:val="26"/>
          <w:rtl/>
        </w:rPr>
        <w:t xml:space="preserve">* </w:t>
      </w:r>
      <w:r w:rsidRPr="0002243F">
        <w:rPr>
          <w:rFonts w:cs="FrankRuehl"/>
          <w:szCs w:val="26"/>
          <w:rtl/>
        </w:rPr>
        <w:t>היקף כלי הנשק המוחזקים שלא כחוק ע"י אזרחים בישראל הגיע לממדים מדאיגים, וסוגיית הנשק הבלתי חוקי, על מרכיביה, הפכה לבעיה לאומית.</w:t>
      </w:r>
      <w:r w:rsidRPr="0002243F">
        <w:rPr>
          <w:rFonts w:cs="FrankRuehl"/>
          <w:szCs w:val="26"/>
          <w:rtl/>
          <w:lang w:eastAsia="he-IL"/>
        </w:rPr>
        <w:t xml:space="preserve"> אל מול גודל הפיתוי, קולת המעשה, והסכנות הרבות והגדולות הכרוכות בדבר, חייבים להציב ענישה חמורה ומרתיעה, גם כשמדובר בנאשם שזו הסתבכותו הראשונה עם החוק. בעבירה חמורה ומסוכנת כזו יש לתת את הבכורה לשלום הציבור ולדחוק הצידה את ההתחשבות בנסיבות הנאשם. </w:t>
      </w:r>
    </w:p>
    <w:p w14:paraId="02F39EB8" w14:textId="77777777" w:rsidR="0002243F" w:rsidRDefault="0002243F" w:rsidP="0002243F">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571CACD8" w14:textId="77777777" w:rsidR="0002243F" w:rsidRDefault="0002243F" w:rsidP="0002243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21FB690"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rPr>
      </w:pPr>
      <w:r w:rsidRPr="0002243F">
        <w:rPr>
          <w:rFonts w:cs="FrankRuehl"/>
          <w:szCs w:val="26"/>
          <w:rtl/>
        </w:rPr>
        <w:t xml:space="preserve">הנאשם הורשע, ע"פ הודאתו במסגרת הסדר טיעון, בעבירה של סיוע לניסיון לעסקה אחרת בנשק, בצוותא, </w:t>
      </w:r>
      <w:r w:rsidRPr="0002243F">
        <w:rPr>
          <w:rFonts w:cs="FrankRuehl"/>
          <w:szCs w:val="26"/>
          <w:rtl/>
          <w:lang w:eastAsia="he-IL"/>
        </w:rPr>
        <w:t xml:space="preserve">ובעבירה של נשיאת והובלת נשק. </w:t>
      </w:r>
      <w:r w:rsidRPr="0002243F">
        <w:rPr>
          <w:rFonts w:cs="FrankRuehl"/>
          <w:szCs w:val="26"/>
          <w:rtl/>
        </w:rPr>
        <w:t xml:space="preserve">הצדדים הסכימו בהסדר הטיעון שהתביעה תעתור להטיל על הנאשם 30 חודשי מאסר בפועל וההגנה תטען לרכיב זה כהבנתה, והוסכם שהרכב יחולט ויוטלו על הנאשם קנס בסך 15,000 ₪ ומאסר על תנאי. ב"כ הנאשם טען כי העונש הראוי לנאשם נע בין 20 ל- 25 חודשי מאסר בפועל, ועתר שלא להשית עליו עונש ברף העליון של הענישה. </w:t>
      </w:r>
    </w:p>
    <w:p w14:paraId="15AB5F7F" w14:textId="77777777" w:rsidR="0002243F" w:rsidRPr="0002243F" w:rsidRDefault="0002243F" w:rsidP="0002243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A7B52EB"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rPr>
      </w:pPr>
      <w:r w:rsidRPr="0002243F">
        <w:rPr>
          <w:rFonts w:cs="FrankRuehl"/>
          <w:szCs w:val="26"/>
          <w:rtl/>
        </w:rPr>
        <w:t>ביהמ"ש המחוזי קבע בגזר דינו כי:</w:t>
      </w:r>
    </w:p>
    <w:p w14:paraId="1828F2AA"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rPr>
      </w:pPr>
      <w:r w:rsidRPr="0002243F">
        <w:rPr>
          <w:rFonts w:cs="FrankRuehl"/>
          <w:szCs w:val="26"/>
          <w:rtl/>
        </w:rPr>
        <w:t xml:space="preserve">נשק הוא כלי שנועד לירות כדורים שבכוחם להמית אדם. הפעלתו פשוטה יחסית, כח פגיעתו רב, ניתן לעשות בו שימוש רב פעמי וקשה מאוד להתגונן מפניו. בשל מאפייניו המיוחדים הוא מעורב בעבירות פליליות חמורות, הן בהפעלתו לפגיעה פיזית באדם או ברכוש, והן באיום לעשות בו שימוש כזה; מעורב בפיגועים חבלניים; ומעורב בתאונות הנגרמות מהחזקה ושימוש בלתי נאותים שלו. נוכח הסכנות הכרוכות בנשק, החזקתו מחייבת רישיון המותנה בעמידה בקריטריונים שונים ובהכשרה מעשית. החזקתו </w:t>
      </w:r>
      <w:r w:rsidRPr="0002243F">
        <w:rPr>
          <w:rFonts w:cs="FrankRuehl"/>
          <w:szCs w:val="26"/>
          <w:rtl/>
        </w:rPr>
        <w:lastRenderedPageBreak/>
        <w:t xml:space="preserve">שלא כדין היא עבירה פלילית שהעונש הקבוע לה הוא 7 שנות מאסר, והעונש הקבוע לנשיאתו ולהובלתו הוא 10 שנות מאסר. הערכים החברתיים המוגנים בעבירות הנשק הם בעיקר קדושת החיים; שמירת הגוף; ושמירת שלום הציבור ובטחונו. בהתחשב בסוג הנשק – רובה סער </w:t>
      </w:r>
      <w:r w:rsidRPr="0002243F">
        <w:rPr>
          <w:rFonts w:cs="FrankRuehl"/>
          <w:szCs w:val="26"/>
        </w:rPr>
        <w:t>M16</w:t>
      </w:r>
      <w:r w:rsidRPr="0002243F">
        <w:rPr>
          <w:rFonts w:cs="FrankRuehl"/>
          <w:szCs w:val="26"/>
          <w:rtl/>
        </w:rPr>
        <w:t xml:space="preserve"> – ובנתונים הנוגעים לעסקה שבה הנשק היה אמור לעבור לידיים אחרות, מידת הפגיעה של מעשה הנאשם בערכים אלה הינה רבה. </w:t>
      </w:r>
    </w:p>
    <w:p w14:paraId="75F22FCF"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lang w:eastAsia="he-IL"/>
        </w:rPr>
      </w:pPr>
      <w:r w:rsidRPr="0002243F">
        <w:rPr>
          <w:rFonts w:cs="FrankRuehl"/>
          <w:szCs w:val="26"/>
          <w:rtl/>
        </w:rPr>
        <w:t xml:space="preserve">העונשים המוטלים בעבירות הנשק מושפעים מהנסיבות הקונקרטיות של כל מקרה, ובעיקר </w:t>
      </w:r>
      <w:r w:rsidRPr="0002243F">
        <w:rPr>
          <w:rFonts w:cs="FrankRuehl"/>
          <w:szCs w:val="26"/>
          <w:rtl/>
          <w:lang w:eastAsia="he-IL"/>
        </w:rPr>
        <w:t xml:space="preserve">סוג הנשק, טיבו וכמותו. אך המגמה העונשית הכללית המובהקת היא של החמרה. כפי שנפסק, גם בעבירות של החזקה ונשיאת נשק שלא כדין בלבד, טמונה חומרה רבה וקיים צורך להרתיע מפניהן בדרך של הטלת עונשי מאסר, גם על נאשם ללא עבר פלילי מכביד. הכלל של השתת מאסר בפועל לתקופה משמעותית בהחזקת נשק חל גם כשמדובר בעבירות שאינן במדרג הגבוה. יש להביא בחשבון כי גם פעילות עבריינית הכוללת העברת כלי נשק ממקום למקום באופן בלתי חוקי לרשות הנאשם והחזקתו בו למשך זמן, ללא כל פיקוח ובקרה, עשויה להביא לתוצאות הרות אסון. נוכח היקפן המתרחב של עבירות המבוצעות בנשק, החזקת נשק באופן בלתי חוקי תוך יצירת פתח ואפשרות זמינה לשימוש בו, מהווה סיכון של ממש לשלום הציבור. על אחת כמה וכמה כשמדובר בסוג נשק שעשוי להביא למות אדם. בפועל בתי המשפט מטילים עונשי מאסר משמעותיים על נאשמים המורשעים בעבירות נשק, תוך מתן בכורה לשיקולי הגמול וההרתעה על פני נסיבות הנאשם ושיקולי שיקומו. וגם מי שזו עבירתו הראשונה נדון למאסר. </w:t>
      </w:r>
    </w:p>
    <w:p w14:paraId="6721000C"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rPr>
      </w:pPr>
      <w:r w:rsidRPr="0002243F">
        <w:rPr>
          <w:rFonts w:cs="FrankRuehl"/>
          <w:szCs w:val="26"/>
          <w:rtl/>
        </w:rPr>
        <w:t>אשר לנסיבות ביצוע העבירות. המעשים שהנאשם נטל בהם חלק כרוכים מטבעם בתכנון ובתיאום מראש. בסופו של דבר עסקת מכירת הנשק לא יצאה לפועל בשל אי ההסכמה על מחיר הנשק, אך הנאשם פעל לקדם את הוצאת מכירת הנשק אל הפועל, מבלי שידע שהקונה הוא סוכן משטרתי, ואף מבלי להכיר את הקונה לפני העסקה. הסכנות הטבועות במכירת נשק קטלני לזר, ברורות מאליהן. מבחינה זו פוטנציאל הנזק של מעשה הנאשם גדול. אמנם בקשר לעסקה בנשק חלקו של הנאשם הוגדר כסיוע, אולם חלקו במהלך כולו היה מרכזי ומשמעותי. הנאשם ואדם הגיעו למקום המפגש ברכב של הנאשם. הנאשם הוביל את החבורה למקום בו היה אמור להימסר הנשק. הנאשם הרכיב את חלקי הנשק, דרך אותו ומסרו לסוכן. השיח על צילום הנשק התנהל מול הנאשם שהוא זה שאישר את הצילום תוך שהוא מסתיר את המספר הסידורי של הרובה. בנוסף הוא נשא והוביל את הנשק. הוא ביצע את המעשים מתוך רצון להשיג כסף קל.</w:t>
      </w:r>
      <w:r>
        <w:rPr>
          <w:rFonts w:cs="FrankRuehl"/>
          <w:szCs w:val="26"/>
          <w:rtl/>
        </w:rPr>
        <w:t xml:space="preserve"> </w:t>
      </w:r>
    </w:p>
    <w:p w14:paraId="780BC344"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rPr>
      </w:pPr>
      <w:r w:rsidRPr="0002243F">
        <w:rPr>
          <w:rFonts w:cs="FrankRuehl"/>
          <w:szCs w:val="26"/>
          <w:rtl/>
        </w:rPr>
        <w:t>הנאשם בן 24, נשוי ואב לילד. נעדר עבר פלילי. החל ללמוד במכללה. בגזירת עונשו מובאים בחשבון גילו הצעיר; הפגיעה הצפויה לו ולמשפחתו ממאסרו; הודאתו; סיכויי שיקומו; ועמדת התביעה לעונש.</w:t>
      </w:r>
    </w:p>
    <w:p w14:paraId="764F1205"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rPr>
      </w:pPr>
      <w:r w:rsidRPr="0002243F">
        <w:rPr>
          <w:rFonts w:cs="FrankRuehl"/>
          <w:szCs w:val="26"/>
          <w:rtl/>
        </w:rPr>
        <w:t xml:space="preserve">נשק הפך לסחורה מבוקשת, שניתן לקבל עבורה מחיר נכבד. המחיר שהתבקש כאן עבור רובה אחד נותן מושג על המחזור הכספי המתגלגל בשוק הזה. הפיתוי גדול והוא מניע עבריינים לבצע עבירות כדי להשיג כלי נשק – גניבה מבסיסי צה"ל וכיוב', ומניע את גלגלי הייצור של כלי הנשק המאולתרים הניתנים לרכישה בשטחי הרש"פ. היקף כלי הנשק המוחזקים שלא כחוק ע"י אזרחים בישראל הגיע לממדים מדאיגים, וסוגיית הנשק הבלתי חוקי, על מרכיביה, הפכה לבעיה לאומית. זעקת הציבור – במיוחד בישובים הערביים – עולה לשמים והעיניים נשואות לרשויות אכיפת החוק ובכללן ביהמ"ש, שיפעילו את הכלים שברשותם למיתון התופעה. </w:t>
      </w:r>
    </w:p>
    <w:p w14:paraId="52732FA5"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lang w:eastAsia="he-IL"/>
        </w:rPr>
      </w:pPr>
      <w:r w:rsidRPr="0002243F">
        <w:rPr>
          <w:rFonts w:cs="FrankRuehl"/>
          <w:szCs w:val="26"/>
          <w:rtl/>
          <w:lang w:eastAsia="he-IL"/>
        </w:rPr>
        <w:t xml:space="preserve">מול גודל הפיתוי, קולת המעשה, והסכנות הרבות והגדולות הכרוכות בדבר, חייבים להציב ענישה חמורה, שיהיה בה כדי להרתיע מפני ביצוע העבירה. ידעו כל אלה שהרעיון עובר בראשם כי אם יבצעו את זממם יד החוק תכבד עליהם והם יענשו בכל חומר הדין, גם אם זו הסתבכותם הראשונה עם החוק. </w:t>
      </w:r>
      <w:r w:rsidRPr="0002243F">
        <w:rPr>
          <w:rFonts w:cs="FrankRuehl"/>
          <w:szCs w:val="26"/>
          <w:rtl/>
          <w:lang w:eastAsia="he-IL"/>
        </w:rPr>
        <w:lastRenderedPageBreak/>
        <w:t xml:space="preserve">בעבירה חמורה ומסוכנת כזו יש לתת את הבכורה לשלום הציבור ולדחוק הצידה את ההתחשבות בנסיבות הנאשם. </w:t>
      </w:r>
    </w:p>
    <w:p w14:paraId="27F7A116"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lang w:eastAsia="he-IL"/>
        </w:rPr>
      </w:pPr>
      <w:r w:rsidRPr="0002243F">
        <w:rPr>
          <w:rFonts w:cs="FrankRuehl"/>
          <w:szCs w:val="26"/>
          <w:rtl/>
          <w:lang w:eastAsia="he-IL"/>
        </w:rPr>
        <w:t xml:space="preserve">לולא הסדר הטיעון, העונש הראוי לנאשם היה 3 שנות מאסר בפועל. נוכח הסדר הטיעון, הנאשם יקבל עונש נמוך מזה הראוי לו. לא נמצאה עילה להקל עם הנאשם מעבר לכך. </w:t>
      </w:r>
    </w:p>
    <w:p w14:paraId="61EBA228" w14:textId="77777777" w:rsidR="0002243F" w:rsidRPr="00294C2D" w:rsidRDefault="0002243F" w:rsidP="00294C2D">
      <w:pPr>
        <w:spacing w:line="360" w:lineRule="auto"/>
        <w:rPr>
          <w:rFonts w:ascii="Arial" w:hAnsi="Arial"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0AB8" w:rsidRPr="004C04B9" w14:paraId="747FEE18" w14:textId="77777777" w:rsidTr="00D10AB8">
        <w:trPr>
          <w:trHeight w:val="355"/>
          <w:jc w:val="center"/>
        </w:trPr>
        <w:tc>
          <w:tcPr>
            <w:tcW w:w="8820" w:type="dxa"/>
            <w:tcBorders>
              <w:top w:val="nil"/>
              <w:left w:val="nil"/>
              <w:bottom w:val="nil"/>
              <w:right w:val="nil"/>
            </w:tcBorders>
            <w:shd w:val="clear" w:color="auto" w:fill="auto"/>
          </w:tcPr>
          <w:p w14:paraId="27B8B837" w14:textId="77777777" w:rsidR="00D10AB8" w:rsidRPr="00D01033" w:rsidRDefault="00D01033" w:rsidP="00B448A1">
            <w:pPr>
              <w:spacing w:line="360" w:lineRule="auto"/>
              <w:jc w:val="center"/>
              <w:rPr>
                <w:rFonts w:ascii="Arial" w:hAnsi="Arial" w:hint="cs"/>
                <w:b/>
                <w:bCs/>
                <w:sz w:val="28"/>
                <w:szCs w:val="28"/>
                <w:u w:val="single"/>
                <w:rtl/>
              </w:rPr>
            </w:pPr>
            <w:bookmarkStart w:id="6" w:name="PsakDin" w:colFirst="0" w:colLast="0"/>
            <w:r w:rsidRPr="00D01033">
              <w:rPr>
                <w:rFonts w:ascii="Arial" w:hAnsi="Arial"/>
                <w:b/>
                <w:bCs/>
                <w:sz w:val="28"/>
                <w:szCs w:val="28"/>
                <w:u w:val="single"/>
                <w:rtl/>
              </w:rPr>
              <w:t>גזר דין</w:t>
            </w:r>
          </w:p>
        </w:tc>
      </w:tr>
      <w:bookmarkEnd w:id="6"/>
    </w:tbl>
    <w:p w14:paraId="6ADDFFEF" w14:textId="77777777" w:rsidR="00D10AB8" w:rsidRPr="00B05847" w:rsidRDefault="00D10AB8" w:rsidP="00D10AB8">
      <w:pPr>
        <w:spacing w:line="360" w:lineRule="auto"/>
        <w:rPr>
          <w:rFonts w:ascii="Arial" w:hAnsi="Arial"/>
          <w:rtl/>
        </w:rPr>
      </w:pPr>
    </w:p>
    <w:p w14:paraId="61B05F58"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1.</w:t>
      </w:r>
      <w:r w:rsidRPr="00F61F94">
        <w:rPr>
          <w:rFonts w:ascii="David" w:hAnsi="David"/>
          <w:rtl/>
        </w:rPr>
        <w:tab/>
        <w:t xml:space="preserve">טרם שמיעת הראיות הגיעו הצדדים להסדר טיעון, בגדרו הוגש נגד הנאשם כתב אישום מתוקן, שעיקריו יובאו להלן, והוא הודה בעובדותיו - </w:t>
      </w:r>
    </w:p>
    <w:p w14:paraId="4646A5FC" w14:textId="77777777" w:rsidR="00D10AB8" w:rsidRPr="00F61F94" w:rsidRDefault="00D10AB8" w:rsidP="00D10AB8">
      <w:pPr>
        <w:spacing w:line="360" w:lineRule="auto"/>
        <w:ind w:left="720"/>
        <w:jc w:val="both"/>
        <w:rPr>
          <w:rFonts w:ascii="David" w:hAnsi="David"/>
          <w:rtl/>
        </w:rPr>
      </w:pPr>
    </w:p>
    <w:p w14:paraId="1F5A876B" w14:textId="77777777" w:rsidR="00D10AB8" w:rsidRPr="00F61F94" w:rsidRDefault="00D10AB8" w:rsidP="00D10AB8">
      <w:pPr>
        <w:spacing w:line="360" w:lineRule="auto"/>
        <w:ind w:left="720"/>
        <w:jc w:val="both"/>
        <w:rPr>
          <w:rFonts w:ascii="David" w:hAnsi="David"/>
          <w:rtl/>
        </w:rPr>
      </w:pPr>
      <w:r w:rsidRPr="00F61F94">
        <w:rPr>
          <w:rFonts w:ascii="David" w:hAnsi="David"/>
          <w:rtl/>
        </w:rPr>
        <w:t xml:space="preserve">במהלך התקופה שבין חודש פברואר 2018 לחודש פברואר 2019 משטרת ישראל הפעילה סוכן סמוי (להלן: "הסוכן") לשם איסוף ראיות נגד חשודים בתחום עבירות הנשק. </w:t>
      </w:r>
    </w:p>
    <w:p w14:paraId="6F09E9A9" w14:textId="77777777" w:rsidR="00D10AB8" w:rsidRPr="00F61F94" w:rsidRDefault="00D10AB8" w:rsidP="00D10AB8">
      <w:pPr>
        <w:spacing w:line="360" w:lineRule="auto"/>
        <w:ind w:left="720"/>
        <w:jc w:val="both"/>
        <w:rPr>
          <w:rFonts w:ascii="David" w:hAnsi="David"/>
          <w:rtl/>
        </w:rPr>
      </w:pPr>
    </w:p>
    <w:p w14:paraId="6A55F7C5" w14:textId="77777777" w:rsidR="00D10AB8" w:rsidRPr="00F61F94" w:rsidRDefault="00D10AB8" w:rsidP="00D10AB8">
      <w:pPr>
        <w:spacing w:line="360" w:lineRule="auto"/>
        <w:ind w:left="720"/>
        <w:jc w:val="both"/>
        <w:rPr>
          <w:rFonts w:ascii="David" w:hAnsi="David"/>
          <w:rtl/>
        </w:rPr>
      </w:pPr>
      <w:r w:rsidRPr="00F61F94">
        <w:rPr>
          <w:rFonts w:ascii="David" w:hAnsi="David"/>
          <w:rtl/>
        </w:rPr>
        <w:t>מספר חודשים עובר לאירוע שיתואר להלן, הכיר הסוכן את עבדאללה אבו זאיד (להלן: "עבדאללה"), על רקע סחר בנשק.</w:t>
      </w:r>
    </w:p>
    <w:p w14:paraId="7F0F38AC" w14:textId="77777777" w:rsidR="00D10AB8" w:rsidRPr="00F61F94" w:rsidRDefault="00D10AB8" w:rsidP="00D10AB8">
      <w:pPr>
        <w:spacing w:line="360" w:lineRule="auto"/>
        <w:ind w:left="720"/>
        <w:jc w:val="both"/>
        <w:rPr>
          <w:rFonts w:ascii="David" w:hAnsi="David"/>
          <w:rtl/>
        </w:rPr>
      </w:pPr>
    </w:p>
    <w:p w14:paraId="05FE2536" w14:textId="77777777" w:rsidR="00D10AB8" w:rsidRPr="00F61F94" w:rsidRDefault="00D10AB8" w:rsidP="00D10AB8">
      <w:pPr>
        <w:spacing w:line="360" w:lineRule="auto"/>
        <w:ind w:left="720"/>
        <w:jc w:val="both"/>
        <w:rPr>
          <w:rFonts w:ascii="David" w:hAnsi="David"/>
          <w:rtl/>
        </w:rPr>
      </w:pPr>
      <w:r w:rsidRPr="00F61F94">
        <w:rPr>
          <w:rFonts w:ascii="David" w:hAnsi="David"/>
          <w:rtl/>
        </w:rPr>
        <w:t xml:space="preserve">בתאריך 28.09.18 הנאשם 1 שלח לעבדאללה את מספר הטלפון של אדם אבו כף (להלן: "אדם") שהינו בן דודו של הנאשם, לצורך תיאום פגישה בין עבדאללה ואדם לשם בחינה של נשק מסוג </w:t>
      </w:r>
      <w:r w:rsidRPr="00F61F94">
        <w:rPr>
          <w:rFonts w:ascii="David" w:hAnsi="David"/>
        </w:rPr>
        <w:t>M16</w:t>
      </w:r>
      <w:r w:rsidRPr="00F61F94">
        <w:rPr>
          <w:rFonts w:ascii="David" w:hAnsi="David"/>
          <w:rtl/>
        </w:rPr>
        <w:t xml:space="preserve"> שהנאשם 1 הציע לעבדאללה לקנות, ועבדאללה הציע לסוכן לקנות. בתאריך 02.10.18 עבדאללה ואדם קבעו פגישה לצורך בחינת ה </w:t>
      </w:r>
      <w:r w:rsidRPr="00F61F94">
        <w:rPr>
          <w:rFonts w:ascii="David" w:hAnsi="David"/>
        </w:rPr>
        <w:t>M16</w:t>
      </w:r>
      <w:r w:rsidRPr="00F61F94">
        <w:rPr>
          <w:rFonts w:ascii="David" w:hAnsi="David"/>
          <w:rtl/>
        </w:rPr>
        <w:t xml:space="preserve"> לשם ביצוע העסקה. בהמשך לכך, הסוכן אסף את עבדאללה ברכבו והם נסעו לכפר אום בטין (להלן: "הכפר"), בו מתגוררים אדם והנאשם, ועצרו בכניסה לכפר. כעבור מספר דקות אדם והנאשם הגיעו למקום ברכב מסוג פורד פוקוס מ.ר. 17-283-76 (להלן: "הפוקוס"), השייך לנאשם, בו הנאשם נהג. אדם ירד מהרכב, עלה לרכבו של הסוכן והורה לו לנסוע אחרי הפוקוס. הפוקוס נכנס לסמטה חשוכה בכפר ועצר ואז אדם הורה לסוכן ולעבדאללה לעלות לפוקוס וגם הוא הצטרף אליהם. הסוכן ועבדאללה התיישבו במושב האחורי ואדם ישב במושב הנוסע מקדימה. הנאשם, שישב במושב הנהג כשידו עוטה כפפה, הרים מאזור רגלי הנוסע שליד הנהג רובה </w:t>
      </w:r>
      <w:r w:rsidRPr="00F61F94">
        <w:rPr>
          <w:rFonts w:ascii="David" w:hAnsi="David"/>
        </w:rPr>
        <w:t>M16</w:t>
      </w:r>
      <w:r w:rsidRPr="00F61F94">
        <w:rPr>
          <w:rFonts w:ascii="David" w:hAnsi="David"/>
          <w:rtl/>
        </w:rPr>
        <w:t xml:space="preserve"> קצר, שהינו כלי נשק שסוגל לירות ובכוחו להמית, שהיה מפורק לשלושה חלקים (להלן: "הנשק"). בהמשך, הנאשם הרכיב את חלקי הנשק, דרך אותו והעביר אותו לסוכן לבחינה. הסוכן דרך את הנשק וביקש מהנאשם לאפשר לו לצלם את הנשק. לאחר דין ודברים הנאשם הסכים שהנשק יצולם והסוכן צילם את הנשק, כשהנאשם מסתיר בידו את מספרו הסידורי של הנשק. לאחר מכן אדם לקח את הנשק והניחו בין רגליו, אמר שמדובר ב"נשק נקי" ושהוא דורש תמורתו 80,000 ₪. הסוכן ענה כי מוכן לשלם 69,000 ₪, ולאחר שיג ושיח על מחיר הנשק הסוכן ועבדאללה עזבו את המקום מבלי לקנות את הנשק. </w:t>
      </w:r>
    </w:p>
    <w:p w14:paraId="01E62C83" w14:textId="77777777" w:rsidR="00D10AB8" w:rsidRPr="00F61F94" w:rsidRDefault="00D10AB8" w:rsidP="00D10AB8">
      <w:pPr>
        <w:spacing w:line="360" w:lineRule="auto"/>
        <w:ind w:left="720"/>
        <w:jc w:val="both"/>
        <w:rPr>
          <w:rFonts w:ascii="David" w:hAnsi="David"/>
          <w:rtl/>
        </w:rPr>
      </w:pPr>
    </w:p>
    <w:p w14:paraId="7646514A"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2.</w:t>
      </w:r>
      <w:r w:rsidRPr="00F61F94">
        <w:rPr>
          <w:rFonts w:ascii="David" w:hAnsi="David"/>
          <w:rtl/>
        </w:rPr>
        <w:tab/>
        <w:t xml:space="preserve">על יסוד הודאת הנאשם בעובדות כתב האישום המתוקן, כאמור, הוא הורשע בעבירה של סיוע לניסיון לעסקה אחרת בנשק, בצוותא, לפי סעיפים </w:t>
      </w:r>
      <w:hyperlink r:id="rId12" w:history="1">
        <w:r w:rsidR="00127D27" w:rsidRPr="00127D27">
          <w:rPr>
            <w:rFonts w:ascii="David" w:hAnsi="David"/>
            <w:color w:val="0000FF"/>
            <w:u w:val="single"/>
            <w:rtl/>
            <w:lang w:eastAsia="he-IL"/>
          </w:rPr>
          <w:t>144 (ב2)</w:t>
        </w:r>
      </w:hyperlink>
      <w:r w:rsidRPr="00F61F94">
        <w:rPr>
          <w:rFonts w:ascii="David" w:hAnsi="David"/>
          <w:rtl/>
          <w:lang w:eastAsia="he-IL"/>
        </w:rPr>
        <w:t xml:space="preserve"> בצירוף הסעיפים </w:t>
      </w:r>
      <w:hyperlink r:id="rId13" w:history="1">
        <w:r w:rsidR="00127D27" w:rsidRPr="00127D27">
          <w:rPr>
            <w:rFonts w:ascii="David" w:hAnsi="David"/>
            <w:color w:val="0000FF"/>
            <w:u w:val="single"/>
            <w:rtl/>
            <w:lang w:eastAsia="he-IL"/>
          </w:rPr>
          <w:t>31</w:t>
        </w:r>
      </w:hyperlink>
      <w:r w:rsidRPr="00F61F94">
        <w:rPr>
          <w:rFonts w:ascii="David" w:hAnsi="David"/>
          <w:rtl/>
          <w:lang w:eastAsia="he-IL"/>
        </w:rPr>
        <w:t xml:space="preserve"> , </w:t>
      </w:r>
      <w:hyperlink r:id="rId14" w:history="1">
        <w:r w:rsidR="00127D27" w:rsidRPr="00127D27">
          <w:rPr>
            <w:rFonts w:ascii="David" w:hAnsi="David"/>
            <w:color w:val="0000FF"/>
            <w:u w:val="single"/>
            <w:rtl/>
            <w:lang w:eastAsia="he-IL"/>
          </w:rPr>
          <w:t>25</w:t>
        </w:r>
      </w:hyperlink>
      <w:r w:rsidRPr="00F61F94">
        <w:rPr>
          <w:rFonts w:ascii="David" w:hAnsi="David"/>
          <w:rtl/>
          <w:lang w:eastAsia="he-IL"/>
        </w:rPr>
        <w:t xml:space="preserve"> ו- </w:t>
      </w:r>
      <w:hyperlink r:id="rId15" w:history="1">
        <w:r w:rsidR="00127D27" w:rsidRPr="00127D27">
          <w:rPr>
            <w:rFonts w:ascii="David" w:hAnsi="David"/>
            <w:color w:val="0000FF"/>
            <w:u w:val="single"/>
            <w:rtl/>
            <w:lang w:eastAsia="he-IL"/>
          </w:rPr>
          <w:t>29</w:t>
        </w:r>
      </w:hyperlink>
      <w:r w:rsidRPr="00F61F94">
        <w:rPr>
          <w:rFonts w:ascii="David" w:hAnsi="David"/>
          <w:rtl/>
          <w:lang w:eastAsia="he-IL"/>
        </w:rPr>
        <w:t xml:space="preserve"> ב</w:t>
      </w:r>
      <w:hyperlink r:id="rId16" w:history="1">
        <w:r w:rsidR="00D01033" w:rsidRPr="00D01033">
          <w:rPr>
            <w:rFonts w:ascii="David" w:hAnsi="David"/>
            <w:color w:val="0000FF"/>
            <w:u w:val="single"/>
            <w:rtl/>
            <w:lang w:eastAsia="he-IL"/>
          </w:rPr>
          <w:t>חוק העונשין</w:t>
        </w:r>
      </w:hyperlink>
      <w:r w:rsidRPr="00F61F94">
        <w:rPr>
          <w:rFonts w:ascii="David" w:hAnsi="David"/>
          <w:rtl/>
          <w:lang w:eastAsia="he-IL"/>
        </w:rPr>
        <w:t xml:space="preserve"> התשל"ז –1977; ובעבירה של נשיאת והובלת נשק, לפי </w:t>
      </w:r>
      <w:hyperlink r:id="rId17" w:history="1">
        <w:r w:rsidR="00127D27" w:rsidRPr="00127D27">
          <w:rPr>
            <w:rFonts w:ascii="David" w:hAnsi="David"/>
            <w:color w:val="0000FF"/>
            <w:u w:val="single"/>
            <w:rtl/>
            <w:lang w:eastAsia="he-IL"/>
          </w:rPr>
          <w:t>סעיף 144(ב)</w:t>
        </w:r>
      </w:hyperlink>
      <w:r w:rsidRPr="00F61F94">
        <w:rPr>
          <w:rFonts w:ascii="David" w:hAnsi="David"/>
          <w:rtl/>
          <w:lang w:eastAsia="he-IL"/>
        </w:rPr>
        <w:t xml:space="preserve"> רישא בחוק העונשין תשל"ז-1977.</w:t>
      </w:r>
    </w:p>
    <w:p w14:paraId="02A96A77"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 xml:space="preserve"> </w:t>
      </w:r>
    </w:p>
    <w:p w14:paraId="386614E6"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3.</w:t>
      </w:r>
      <w:r w:rsidRPr="00F61F94">
        <w:rPr>
          <w:rFonts w:ascii="David" w:hAnsi="David"/>
          <w:rtl/>
        </w:rPr>
        <w:tab/>
        <w:t xml:space="preserve">הצדדים הסכימו בהסדר הטיעון שהתביעה תעתור להטיל על הנאשם 30 חודשי מאסר בפועל וההגנה תטען לרכיב זה כהבנתה, והוסכם שרכב הפוקוס יחולט, ויוטלו על הנאשם קנס בסך 15,000 ₪ ומאסר על תנאי. </w:t>
      </w:r>
    </w:p>
    <w:p w14:paraId="3F3C81D7" w14:textId="77777777" w:rsidR="00D10AB8" w:rsidRPr="00F61F94" w:rsidRDefault="00D10AB8" w:rsidP="00D10AB8">
      <w:pPr>
        <w:spacing w:line="360" w:lineRule="auto"/>
        <w:jc w:val="both"/>
        <w:rPr>
          <w:rFonts w:ascii="David" w:hAnsi="David"/>
          <w:rtl/>
        </w:rPr>
      </w:pPr>
    </w:p>
    <w:p w14:paraId="0F4DEE20" w14:textId="77777777" w:rsidR="00D10AB8" w:rsidRPr="00F61F94" w:rsidRDefault="00D10AB8" w:rsidP="00D10AB8">
      <w:pPr>
        <w:spacing w:line="360" w:lineRule="auto"/>
        <w:jc w:val="both"/>
        <w:rPr>
          <w:rFonts w:ascii="David" w:hAnsi="David"/>
          <w:b/>
          <w:bCs/>
          <w:u w:val="single"/>
          <w:rtl/>
        </w:rPr>
      </w:pPr>
      <w:r w:rsidRPr="00F61F94">
        <w:rPr>
          <w:rFonts w:ascii="David" w:hAnsi="David"/>
          <w:b/>
          <w:bCs/>
          <w:u w:val="single"/>
          <w:rtl/>
        </w:rPr>
        <w:t>טענות הצדדים</w:t>
      </w:r>
    </w:p>
    <w:p w14:paraId="3BB4ED02"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1.</w:t>
      </w:r>
      <w:r w:rsidRPr="00F61F94">
        <w:rPr>
          <w:rFonts w:ascii="David" w:hAnsi="David"/>
          <w:rtl/>
        </w:rPr>
        <w:tab/>
        <w:t xml:space="preserve">ב"כ התביעה טען כי העונש לו עותרת התביעה- 30 חודשי מאסר, נובע מחומרת הנסיבות מחד, ומנתוני הנאשם מאידך. ציין כי המדובר בנשק אוטומטי מסוג </w:t>
      </w:r>
      <w:r w:rsidRPr="00F61F94">
        <w:rPr>
          <w:rFonts w:ascii="David" w:hAnsi="David"/>
        </w:rPr>
        <w:t>M16</w:t>
      </w:r>
      <w:r w:rsidRPr="00F61F94">
        <w:rPr>
          <w:rFonts w:ascii="David" w:hAnsi="David"/>
          <w:rtl/>
        </w:rPr>
        <w:t xml:space="preserve"> המשמש ברוב המוחלט של הפעמים לביצוע עבירות פליליות. הוסיף, כי למרות שהנאשם הואשם בעבירת סיוע הרי שחלקו בעבירות משמעותי. עמד על שווי העסקה שאמורה היתה להתבצע - בין 70,000 ל- 80,000 ₪, ועל כך שהיא לא יצאה לפועל בגלל המחיר שנדרש עבור הנשק. וציין שהנשק נשאר בידיים פליליות ולא הוסגר. הפנה ל</w:t>
      </w:r>
      <w:hyperlink r:id="rId18" w:history="1">
        <w:r w:rsidR="00D01033" w:rsidRPr="00D01033">
          <w:rPr>
            <w:rFonts w:ascii="David" w:hAnsi="David"/>
            <w:color w:val="0000FF"/>
            <w:u w:val="single"/>
            <w:rtl/>
          </w:rPr>
          <w:t>ת"פ 64753-1</w:t>
        </w:r>
        <w:r w:rsidR="00D01033" w:rsidRPr="00D01033">
          <w:rPr>
            <w:rFonts w:ascii="David" w:hAnsi="David"/>
            <w:color w:val="0000FF"/>
            <w:u w:val="single"/>
            <w:rtl/>
          </w:rPr>
          <w:t>2</w:t>
        </w:r>
        <w:r w:rsidR="00D01033" w:rsidRPr="00D01033">
          <w:rPr>
            <w:rFonts w:ascii="David" w:hAnsi="David"/>
            <w:color w:val="0000FF"/>
            <w:u w:val="single"/>
            <w:rtl/>
          </w:rPr>
          <w:t>-18</w:t>
        </w:r>
      </w:hyperlink>
      <w:r w:rsidRPr="00F61F94">
        <w:rPr>
          <w:rFonts w:ascii="David" w:hAnsi="David"/>
          <w:rtl/>
        </w:rPr>
        <w:t xml:space="preserve"> עאמר ומחמד בן אניס אלעיד </w:t>
      </w:r>
      <w:r w:rsidR="00B448A1" w:rsidRPr="00B448A1">
        <w:rPr>
          <w:sz w:val="22"/>
          <w:rtl/>
        </w:rPr>
        <w:t xml:space="preserve">[פורסם בנבו] </w:t>
      </w:r>
      <w:r w:rsidRPr="00F61F94">
        <w:rPr>
          <w:rFonts w:ascii="David" w:hAnsi="David"/>
          <w:rtl/>
        </w:rPr>
        <w:t xml:space="preserve">בו הוטלו שתי שנות מאסר על עבירה של החזקת נשק, וטען כי ענייננו חמור יותר. וציין כי רק בשל הודאת הנאשם והעובדה שאים לו הרשעות קודמות התביעה מבקשת עבורו עונש ברף התחתון. </w:t>
      </w:r>
    </w:p>
    <w:p w14:paraId="26F54616" w14:textId="77777777" w:rsidR="00D10AB8" w:rsidRDefault="00D10AB8" w:rsidP="00D10AB8">
      <w:pPr>
        <w:spacing w:line="360" w:lineRule="auto"/>
        <w:ind w:left="720" w:hanging="720"/>
        <w:jc w:val="both"/>
        <w:rPr>
          <w:rFonts w:ascii="David" w:hAnsi="David"/>
          <w:rtl/>
        </w:rPr>
      </w:pPr>
    </w:p>
    <w:p w14:paraId="2A8E8419"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ab/>
        <w:t>עמד על מדיניות הענישה המחמירה בעבירות הנשק, ועל תופעת ריבוי עבירות הנשק בקרב האוכלוסיה הבדווית והצורך למגרה. הפנה ל</w:t>
      </w:r>
      <w:hyperlink r:id="rId19" w:history="1">
        <w:r w:rsidR="00D01033" w:rsidRPr="00D01033">
          <w:rPr>
            <w:rFonts w:ascii="David" w:hAnsi="David"/>
            <w:color w:val="0000FF"/>
            <w:u w:val="single"/>
            <w:rtl/>
          </w:rPr>
          <w:t>ע"פ 4406/19</w:t>
        </w:r>
      </w:hyperlink>
      <w:r w:rsidRPr="00F61F94">
        <w:rPr>
          <w:rFonts w:ascii="David" w:hAnsi="David"/>
          <w:rtl/>
        </w:rPr>
        <w:t xml:space="preserve"> יונס סובח נ' מדינת ישראל </w:t>
      </w:r>
      <w:r w:rsidR="00B448A1" w:rsidRPr="00B448A1">
        <w:rPr>
          <w:sz w:val="22"/>
          <w:rtl/>
        </w:rPr>
        <w:t xml:space="preserve">[פורסם בנבו] </w:t>
      </w:r>
      <w:r w:rsidRPr="00F61F94">
        <w:rPr>
          <w:rFonts w:ascii="David" w:hAnsi="David"/>
          <w:rtl/>
        </w:rPr>
        <w:t xml:space="preserve">מיום 05.11.19. </w:t>
      </w:r>
    </w:p>
    <w:p w14:paraId="386E7F36" w14:textId="77777777" w:rsidR="00D10AB8" w:rsidRDefault="00D10AB8" w:rsidP="00D10AB8">
      <w:pPr>
        <w:spacing w:line="360" w:lineRule="auto"/>
        <w:ind w:left="720" w:hanging="720"/>
        <w:jc w:val="both"/>
        <w:rPr>
          <w:rFonts w:ascii="David" w:hAnsi="David"/>
          <w:rtl/>
        </w:rPr>
      </w:pPr>
    </w:p>
    <w:p w14:paraId="02130314" w14:textId="77777777" w:rsidR="00D10AB8" w:rsidRPr="00F61F94" w:rsidRDefault="00D10AB8" w:rsidP="00D10AB8">
      <w:pPr>
        <w:spacing w:line="360" w:lineRule="auto"/>
        <w:ind w:left="720" w:hanging="720"/>
        <w:jc w:val="both"/>
        <w:rPr>
          <w:rFonts w:ascii="David" w:hAnsi="David"/>
          <w:rtl/>
        </w:rPr>
      </w:pPr>
    </w:p>
    <w:p w14:paraId="2E69BC2E"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2.</w:t>
      </w:r>
      <w:r w:rsidRPr="00F61F94">
        <w:rPr>
          <w:rFonts w:ascii="David" w:hAnsi="David"/>
          <w:rtl/>
        </w:rPr>
        <w:tab/>
        <w:t xml:space="preserve">ב"כ הנאשם הפנה לשני גזרי דין שניתנו במסגרת פרשת הנשק בה נעצר הנאשם. באחד,  נאשם שהורשע בשתי עבירות של עסקה בנשק ובעבירה של סיוע לנשיאת נשק, נדון ל- 18 חודשי מאסר. בשני, הוטלו על נאשמים שהורשעו בעבירות של נשיאת נשק ועסקה אחרת בנשק, עונשים הנעים בין 10 ל- 30 חודשי מאסר. ופסיקה נוספת. טען כי העונש הראוי לנאשם נע בין 20 ל- 25 חודשי מאסר בפועל והדגיש כי הנאשם הודה וחסך זמן שיפוטי. ציין כי בעניינו של שותפו של הנאשם לכתב האישום, שהורשע בעבירת סיוע לניסיון לעיסקה אחרת בנשק, ללא עבירה של הובלה ונשיאת נשק, התביעה הגבילה עצמה ל- 15 חודשי מאסר. הוסיף שהנאשם יליד 1994, נשוי ואב לילד בן שנתיים, נעדר עבר פלילי, לומד לתואר ראשון ומנסה לשקם את עצמו בכלא. ועתר שלא להשית עליו עונש ברף העליון של הענישה. </w:t>
      </w:r>
    </w:p>
    <w:p w14:paraId="2965071B" w14:textId="77777777" w:rsidR="00D10AB8" w:rsidRPr="00F61F94" w:rsidRDefault="00D10AB8" w:rsidP="00D10AB8">
      <w:pPr>
        <w:spacing w:line="360" w:lineRule="auto"/>
        <w:ind w:left="720"/>
        <w:jc w:val="both"/>
        <w:rPr>
          <w:rFonts w:ascii="David" w:hAnsi="David"/>
          <w:rtl/>
        </w:rPr>
      </w:pPr>
    </w:p>
    <w:p w14:paraId="23CE71D9"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3.</w:t>
      </w:r>
      <w:r w:rsidRPr="00F61F94">
        <w:rPr>
          <w:rFonts w:ascii="David" w:hAnsi="David"/>
          <w:rtl/>
        </w:rPr>
        <w:tab/>
        <w:t xml:space="preserve">הנאשם הביע צער על מעשיו ואמר שהוא מתבייש בהם. סיפר כי השתקם בכלא, וכי הוא לא בוחר בדרך הזו וכי לפני מעצרו הוא סיים סימסטר לימודים לתואר כללי. </w:t>
      </w:r>
    </w:p>
    <w:p w14:paraId="41F25FE8" w14:textId="77777777" w:rsidR="00D10AB8" w:rsidRPr="00F61F94" w:rsidRDefault="00D10AB8" w:rsidP="00D10AB8">
      <w:pPr>
        <w:spacing w:line="360" w:lineRule="auto"/>
        <w:jc w:val="both"/>
        <w:rPr>
          <w:rFonts w:ascii="David" w:hAnsi="David"/>
          <w:b/>
          <w:bCs/>
          <w:u w:val="single"/>
          <w:rtl/>
        </w:rPr>
      </w:pPr>
    </w:p>
    <w:p w14:paraId="0A562B77" w14:textId="77777777" w:rsidR="00D10AB8" w:rsidRDefault="00D10AB8" w:rsidP="00D10AB8">
      <w:pPr>
        <w:spacing w:line="360" w:lineRule="auto"/>
        <w:jc w:val="both"/>
        <w:rPr>
          <w:rFonts w:ascii="David" w:hAnsi="David"/>
          <w:rtl/>
        </w:rPr>
      </w:pPr>
      <w:r w:rsidRPr="00F61F94">
        <w:rPr>
          <w:rFonts w:ascii="David" w:hAnsi="David"/>
          <w:b/>
          <w:bCs/>
          <w:u w:val="single"/>
          <w:rtl/>
        </w:rPr>
        <w:t>דיון והכרעה</w:t>
      </w:r>
      <w:r w:rsidRPr="00F61F94">
        <w:rPr>
          <w:rFonts w:ascii="David" w:hAnsi="David"/>
          <w:rtl/>
        </w:rPr>
        <w:t xml:space="preserve"> </w:t>
      </w:r>
    </w:p>
    <w:p w14:paraId="26CE2217" w14:textId="77777777" w:rsidR="00D10AB8" w:rsidRPr="00F61F94" w:rsidRDefault="00D10AB8" w:rsidP="00D10AB8">
      <w:pPr>
        <w:spacing w:line="360" w:lineRule="auto"/>
        <w:jc w:val="both"/>
        <w:rPr>
          <w:rFonts w:ascii="David" w:hAnsi="David"/>
          <w:b/>
          <w:bCs/>
          <w:u w:val="single"/>
          <w:rtl/>
        </w:rPr>
      </w:pPr>
    </w:p>
    <w:p w14:paraId="4CFE8620"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1.</w:t>
      </w:r>
      <w:r w:rsidRPr="00F61F94">
        <w:rPr>
          <w:rFonts w:ascii="David" w:hAnsi="David"/>
          <w:rtl/>
        </w:rPr>
        <w:tab/>
        <w:t>נשק הוא כלי שנועד לירות כדורים שבכוחם להמית אדם. הפעלתו פשוטה יחסית, כח הפגיעה שלו רב, ניתן לעשות בו שימוש רב פעמי, וקשה מאוד להתגונן מפניו. בשל מאפייניו המיוחדים הוא מעורב בעבירות פליליות חמורות, הן בהפעלתו לפגיעה פיזית באדם או ברכוש, והן באיום לעשות בו שימוש כזה; מעורב בפיגועים חבלניים; ומעורב בתאונות הנגרמות מהחזקה ושימוש בלתי נאותים שלו.</w:t>
      </w:r>
    </w:p>
    <w:p w14:paraId="5B6C5530" w14:textId="77777777" w:rsidR="00D10AB8" w:rsidRDefault="00D10AB8" w:rsidP="00D10AB8">
      <w:pPr>
        <w:spacing w:line="360" w:lineRule="auto"/>
        <w:ind w:left="720" w:hanging="720"/>
        <w:jc w:val="both"/>
        <w:rPr>
          <w:rFonts w:ascii="David" w:hAnsi="David"/>
          <w:rtl/>
        </w:rPr>
      </w:pPr>
    </w:p>
    <w:p w14:paraId="660CEAED"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ab/>
        <w:t xml:space="preserve">נוכח הסכנות הכרוכות בנשק, החזקתו מחייבת רישיון מטעם המדינה, המותנה בעמידה בקריטריונים שונים ובהכשרה מעשית. החזקתו שלא כדין היא עבירה פלילית שהעונש הקבוע לה הוא 7 שנות מאסר, והעונש הקבוע לנשיאתו ולהובלתו הוא 10 שנות מאסר. </w:t>
      </w:r>
    </w:p>
    <w:p w14:paraId="189D73CC"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 xml:space="preserve"> </w:t>
      </w:r>
    </w:p>
    <w:p w14:paraId="6B700996"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2.</w:t>
      </w:r>
      <w:r w:rsidRPr="00F61F94">
        <w:rPr>
          <w:rFonts w:ascii="David" w:hAnsi="David"/>
          <w:rtl/>
        </w:rPr>
        <w:tab/>
        <w:t xml:space="preserve">הערכים החברתיים המוגנים בעבירות הנשק הם בעיקר, קדושת החיים; שמירת הגוף; ושמירת שלום הציבור ובטחונו. </w:t>
      </w:r>
    </w:p>
    <w:p w14:paraId="442CAD56" w14:textId="77777777" w:rsidR="00D10AB8" w:rsidRDefault="00D10AB8" w:rsidP="00D10AB8">
      <w:pPr>
        <w:spacing w:line="360" w:lineRule="auto"/>
        <w:ind w:left="720"/>
        <w:jc w:val="both"/>
        <w:rPr>
          <w:rFonts w:ascii="David" w:hAnsi="David"/>
          <w:rtl/>
        </w:rPr>
      </w:pPr>
    </w:p>
    <w:p w14:paraId="0102A12D" w14:textId="77777777" w:rsidR="00D10AB8" w:rsidRPr="00F61F94" w:rsidRDefault="00D10AB8" w:rsidP="00D10AB8">
      <w:pPr>
        <w:spacing w:line="360" w:lineRule="auto"/>
        <w:ind w:left="720"/>
        <w:jc w:val="both"/>
        <w:rPr>
          <w:rFonts w:ascii="David" w:hAnsi="David"/>
          <w:rtl/>
        </w:rPr>
      </w:pPr>
      <w:r w:rsidRPr="00F61F94">
        <w:rPr>
          <w:rFonts w:ascii="David" w:hAnsi="David"/>
          <w:rtl/>
        </w:rPr>
        <w:t xml:space="preserve">בהתחשב בסוג הנשק - רובה סער </w:t>
      </w:r>
      <w:r w:rsidRPr="00F61F94">
        <w:rPr>
          <w:rFonts w:ascii="David" w:hAnsi="David"/>
        </w:rPr>
        <w:t>M16</w:t>
      </w:r>
      <w:r w:rsidRPr="00F61F94">
        <w:rPr>
          <w:rFonts w:ascii="David" w:hAnsi="David"/>
          <w:rtl/>
        </w:rPr>
        <w:t xml:space="preserve"> – ובנתונים הנוגעים לעסקה שבה הנשק היה אמור לעבור לידיים אחרות, מידת הפגיעה של מעשה הנאשם בערכים אלה הינה רבה. </w:t>
      </w:r>
    </w:p>
    <w:p w14:paraId="5CEDE229" w14:textId="77777777" w:rsidR="00D10AB8" w:rsidRDefault="00D10AB8" w:rsidP="00D10AB8">
      <w:pPr>
        <w:spacing w:line="360" w:lineRule="auto"/>
        <w:ind w:left="720" w:hanging="720"/>
        <w:jc w:val="both"/>
        <w:rPr>
          <w:rFonts w:ascii="David" w:hAnsi="David"/>
          <w:rtl/>
        </w:rPr>
      </w:pPr>
    </w:p>
    <w:p w14:paraId="2D0A1C2F" w14:textId="77777777" w:rsidR="00D10AB8" w:rsidRPr="00F61F94" w:rsidRDefault="00D10AB8" w:rsidP="00D10AB8">
      <w:pPr>
        <w:spacing w:line="360" w:lineRule="auto"/>
        <w:ind w:left="720" w:hanging="720"/>
        <w:jc w:val="both"/>
        <w:rPr>
          <w:rFonts w:ascii="David" w:hAnsi="David"/>
          <w:rtl/>
        </w:rPr>
      </w:pPr>
    </w:p>
    <w:p w14:paraId="77E7FB7B" w14:textId="77777777" w:rsidR="00D10AB8" w:rsidRPr="00F61F94" w:rsidRDefault="00D10AB8" w:rsidP="00D10AB8">
      <w:pPr>
        <w:spacing w:line="360" w:lineRule="auto"/>
        <w:ind w:left="720" w:hanging="720"/>
        <w:jc w:val="both"/>
        <w:rPr>
          <w:rFonts w:ascii="David" w:hAnsi="David"/>
          <w:rtl/>
          <w:lang w:eastAsia="he-IL"/>
        </w:rPr>
      </w:pPr>
      <w:r w:rsidRPr="00F61F94">
        <w:rPr>
          <w:rFonts w:ascii="David" w:hAnsi="David"/>
          <w:rtl/>
        </w:rPr>
        <w:t>3.</w:t>
      </w:r>
      <w:r w:rsidRPr="00F61F94">
        <w:rPr>
          <w:rFonts w:ascii="David" w:hAnsi="David"/>
          <w:rtl/>
        </w:rPr>
        <w:tab/>
        <w:t xml:space="preserve">העונשים המוטלים בעבירות הנשק מושפעים מהנסיבות הקונקרטיות של כל מקרה ומקרה, ובעיקר </w:t>
      </w:r>
      <w:r w:rsidRPr="00F61F94">
        <w:rPr>
          <w:rFonts w:ascii="David" w:hAnsi="David"/>
          <w:rtl/>
          <w:lang w:eastAsia="he-IL"/>
        </w:rPr>
        <w:t xml:space="preserve">סוג הנשק, טיבו וכמותו. אולם המגמה העונשית הכללית המובהקת היא של החמרה. </w:t>
      </w:r>
    </w:p>
    <w:p w14:paraId="19A797AB" w14:textId="77777777" w:rsidR="00D10AB8" w:rsidRPr="00F61F94" w:rsidRDefault="00D10AB8" w:rsidP="00D10AB8">
      <w:pPr>
        <w:spacing w:line="360" w:lineRule="auto"/>
        <w:ind w:left="720" w:hanging="720"/>
        <w:jc w:val="both"/>
        <w:rPr>
          <w:rFonts w:ascii="David" w:hAnsi="David"/>
          <w:rtl/>
          <w:lang w:eastAsia="he-IL"/>
        </w:rPr>
      </w:pPr>
    </w:p>
    <w:p w14:paraId="4D7249DF" w14:textId="77777777" w:rsidR="00D10AB8" w:rsidRPr="00F61F94" w:rsidRDefault="00D10AB8" w:rsidP="00D10AB8">
      <w:pPr>
        <w:spacing w:line="360" w:lineRule="auto"/>
        <w:ind w:left="1440"/>
        <w:jc w:val="both"/>
        <w:rPr>
          <w:rFonts w:ascii="David" w:hAnsi="David"/>
          <w:rtl/>
          <w:lang w:eastAsia="he-IL"/>
        </w:rPr>
      </w:pPr>
      <w:r w:rsidRPr="00F61F94">
        <w:rPr>
          <w:rFonts w:ascii="David" w:hAnsi="David"/>
          <w:rtl/>
          <w:lang w:eastAsia="he-IL"/>
        </w:rPr>
        <w:t xml:space="preserve">"ככלל, בפסיקת בית משפט זה באה לידי ביטוי, בשורה ארוכה של פסקי דין, </w:t>
      </w:r>
      <w:r w:rsidRPr="00F61F94">
        <w:rPr>
          <w:rFonts w:ascii="David" w:hAnsi="David"/>
          <w:b/>
          <w:bCs/>
          <w:rtl/>
          <w:lang w:eastAsia="he-IL"/>
        </w:rPr>
        <w:t>מדיניות של החמרה בענישה בעבירות נשק</w:t>
      </w:r>
      <w:r w:rsidRPr="00F61F94">
        <w:rPr>
          <w:rFonts w:ascii="David" w:hAnsi="David"/>
          <w:rtl/>
          <w:lang w:eastAsia="he-IL"/>
        </w:rPr>
        <w:t xml:space="preserve"> (ראו למשל: </w:t>
      </w:r>
      <w:hyperlink r:id="rId20" w:history="1">
        <w:r w:rsidR="00D01033" w:rsidRPr="00D01033">
          <w:rPr>
            <w:rFonts w:ascii="David" w:hAnsi="David"/>
            <w:color w:val="0000FF"/>
            <w:u w:val="single"/>
            <w:rtl/>
            <w:lang w:eastAsia="he-IL"/>
          </w:rPr>
          <w:t>ע"פ 4945/13</w:t>
        </w:r>
      </w:hyperlink>
      <w:r w:rsidRPr="00F61F94">
        <w:rPr>
          <w:rFonts w:ascii="David" w:hAnsi="David"/>
          <w:rtl/>
          <w:lang w:eastAsia="he-IL"/>
        </w:rPr>
        <w:t xml:space="preserve"> </w:t>
      </w:r>
      <w:r w:rsidRPr="00F61F94">
        <w:rPr>
          <w:rFonts w:ascii="David" w:hAnsi="David"/>
          <w:b/>
          <w:bCs/>
          <w:rtl/>
          <w:lang w:eastAsia="he-IL"/>
        </w:rPr>
        <w:t xml:space="preserve">מדינת ישראל </w:t>
      </w:r>
      <w:r w:rsidRPr="00F61F94">
        <w:rPr>
          <w:rFonts w:ascii="David" w:hAnsi="David"/>
          <w:rtl/>
          <w:lang w:eastAsia="he-IL"/>
        </w:rPr>
        <w:t>נ'</w:t>
      </w:r>
      <w:r w:rsidRPr="00F61F94">
        <w:rPr>
          <w:rFonts w:ascii="David" w:hAnsi="David"/>
          <w:b/>
          <w:bCs/>
          <w:rtl/>
          <w:lang w:eastAsia="he-IL"/>
        </w:rPr>
        <w:t xml:space="preserve"> עבד אלכרים סלימאן</w:t>
      </w:r>
      <w:r w:rsidRPr="00F61F94">
        <w:rPr>
          <w:rFonts w:ascii="David" w:hAnsi="David"/>
          <w:rtl/>
          <w:lang w:eastAsia="he-IL"/>
        </w:rPr>
        <w:t xml:space="preserve"> [פורסם בנבו] (19.1.2014); </w:t>
      </w:r>
      <w:hyperlink r:id="rId21" w:history="1">
        <w:r w:rsidR="00D01033" w:rsidRPr="00D01033">
          <w:rPr>
            <w:rFonts w:ascii="David" w:hAnsi="David"/>
            <w:color w:val="0000FF"/>
            <w:u w:val="single"/>
            <w:rtl/>
            <w:lang w:eastAsia="he-IL"/>
          </w:rPr>
          <w:t>ע"פ 2251/11</w:t>
        </w:r>
      </w:hyperlink>
      <w:r w:rsidRPr="00F61F94">
        <w:rPr>
          <w:rFonts w:ascii="David" w:hAnsi="David"/>
          <w:rtl/>
          <w:lang w:eastAsia="he-IL"/>
        </w:rPr>
        <w:t xml:space="preserve"> </w:t>
      </w:r>
      <w:r w:rsidRPr="00F61F94">
        <w:rPr>
          <w:rFonts w:ascii="David" w:hAnsi="David"/>
          <w:b/>
          <w:bCs/>
          <w:rtl/>
          <w:lang w:eastAsia="he-IL"/>
        </w:rPr>
        <w:t xml:space="preserve">נפאע </w:t>
      </w:r>
      <w:r w:rsidRPr="00F61F94">
        <w:rPr>
          <w:rFonts w:ascii="David" w:hAnsi="David"/>
          <w:rtl/>
          <w:lang w:eastAsia="he-IL"/>
        </w:rPr>
        <w:t>נ'</w:t>
      </w:r>
      <w:r w:rsidRPr="00F61F94">
        <w:rPr>
          <w:rFonts w:ascii="David" w:hAnsi="David"/>
          <w:b/>
          <w:bCs/>
          <w:rtl/>
          <w:lang w:eastAsia="he-IL"/>
        </w:rPr>
        <w:t xml:space="preserve"> מדינת ישראל,</w:t>
      </w:r>
      <w:r w:rsidRPr="00F61F94">
        <w:rPr>
          <w:rFonts w:ascii="David" w:hAnsi="David"/>
          <w:rtl/>
          <w:lang w:eastAsia="he-IL"/>
        </w:rPr>
        <w:t xml:space="preserve"> [פורסם בנבו] בפסקה 7 (4.12.2011); </w:t>
      </w:r>
      <w:hyperlink r:id="rId22" w:history="1">
        <w:r w:rsidR="00D01033" w:rsidRPr="00D01033">
          <w:rPr>
            <w:rFonts w:ascii="David" w:hAnsi="David"/>
            <w:color w:val="0000FF"/>
            <w:u w:val="single"/>
            <w:rtl/>
            <w:lang w:eastAsia="he-IL"/>
          </w:rPr>
          <w:t>ע"פ 6371/11</w:t>
        </w:r>
      </w:hyperlink>
      <w:r w:rsidRPr="00F61F94">
        <w:rPr>
          <w:rFonts w:ascii="David" w:hAnsi="David"/>
          <w:b/>
          <w:bCs/>
          <w:rtl/>
          <w:lang w:eastAsia="he-IL"/>
        </w:rPr>
        <w:t xml:space="preserve"> מדינת ישראל </w:t>
      </w:r>
      <w:r w:rsidRPr="00F61F94">
        <w:rPr>
          <w:rFonts w:ascii="David" w:hAnsi="David"/>
          <w:rtl/>
          <w:lang w:eastAsia="he-IL"/>
        </w:rPr>
        <w:t>נ'</w:t>
      </w:r>
      <w:r w:rsidRPr="00F61F94">
        <w:rPr>
          <w:rFonts w:ascii="David" w:hAnsi="David"/>
          <w:b/>
          <w:bCs/>
          <w:rtl/>
          <w:lang w:eastAsia="he-IL"/>
        </w:rPr>
        <w:t xml:space="preserve"> הייבי</w:t>
      </w:r>
      <w:r w:rsidRPr="00F61F94">
        <w:rPr>
          <w:rFonts w:ascii="David" w:hAnsi="David"/>
          <w:rtl/>
          <w:lang w:eastAsia="he-IL"/>
        </w:rPr>
        <w:t xml:space="preserve"> [פורסם בנבו] (18.12.2011); </w:t>
      </w:r>
      <w:hyperlink r:id="rId23" w:history="1">
        <w:r w:rsidR="00D01033" w:rsidRPr="00D01033">
          <w:rPr>
            <w:rFonts w:ascii="David" w:hAnsi="David"/>
            <w:color w:val="0000FF"/>
            <w:u w:val="single"/>
            <w:rtl/>
            <w:lang w:eastAsia="he-IL"/>
          </w:rPr>
          <w:t>ע"פ 1323/13</w:t>
        </w:r>
      </w:hyperlink>
      <w:r w:rsidRPr="00F61F94">
        <w:rPr>
          <w:rFonts w:ascii="David" w:hAnsi="David"/>
          <w:rtl/>
          <w:lang w:eastAsia="he-IL"/>
        </w:rPr>
        <w:t xml:space="preserve"> </w:t>
      </w:r>
      <w:r w:rsidRPr="00F61F94">
        <w:rPr>
          <w:rFonts w:ascii="David" w:hAnsi="David"/>
          <w:b/>
          <w:bCs/>
          <w:rtl/>
          <w:lang w:eastAsia="he-IL"/>
        </w:rPr>
        <w:t xml:space="preserve">חסן </w:t>
      </w:r>
      <w:r w:rsidRPr="00F61F94">
        <w:rPr>
          <w:rFonts w:ascii="David" w:hAnsi="David"/>
          <w:rtl/>
          <w:lang w:eastAsia="he-IL"/>
        </w:rPr>
        <w:t xml:space="preserve">נ' </w:t>
      </w:r>
      <w:r w:rsidRPr="00F61F94">
        <w:rPr>
          <w:rFonts w:ascii="David" w:hAnsi="David"/>
          <w:b/>
          <w:bCs/>
          <w:rtl/>
          <w:lang w:eastAsia="he-IL"/>
        </w:rPr>
        <w:t>מדינת ישראל</w:t>
      </w:r>
      <w:r w:rsidRPr="00F61F94">
        <w:rPr>
          <w:rFonts w:ascii="David" w:hAnsi="David"/>
          <w:rtl/>
          <w:lang w:eastAsia="he-IL"/>
        </w:rPr>
        <w:t xml:space="preserve"> [פורסם בנבו] (5.6.2013)). גם כאשר מדובר בעבירות של החזקה ונשיאת נשק שלא כדין בלבד, בית משפט זה עמד לא פעם על החומרה הרבה הטמונה בעבירות אלו ועל הצורך להרתיע מפניהן בדרך של </w:t>
      </w:r>
      <w:r w:rsidRPr="00F61F94">
        <w:rPr>
          <w:rFonts w:ascii="David" w:hAnsi="David"/>
          <w:b/>
          <w:bCs/>
          <w:rtl/>
          <w:lang w:eastAsia="he-IL"/>
        </w:rPr>
        <w:t>הטלת עונשי מאסר, גם על נאשם שאין לו עבר פלילי מכביד</w:t>
      </w:r>
      <w:r w:rsidRPr="00F61F94">
        <w:rPr>
          <w:rFonts w:ascii="David" w:hAnsi="David"/>
          <w:rtl/>
          <w:lang w:eastAsia="he-IL"/>
        </w:rPr>
        <w:t xml:space="preserve"> (וראו למשל: </w:t>
      </w:r>
      <w:hyperlink r:id="rId24" w:history="1">
        <w:r w:rsidR="00D01033" w:rsidRPr="00D01033">
          <w:rPr>
            <w:rFonts w:ascii="David" w:hAnsi="David"/>
            <w:color w:val="0000FF"/>
            <w:u w:val="single"/>
            <w:rtl/>
            <w:lang w:eastAsia="he-IL"/>
          </w:rPr>
          <w:t>ע"פ 8846/15</w:t>
        </w:r>
      </w:hyperlink>
      <w:r w:rsidRPr="00F61F94">
        <w:rPr>
          <w:rFonts w:ascii="David" w:hAnsi="David"/>
          <w:rtl/>
          <w:lang w:eastAsia="he-IL"/>
        </w:rPr>
        <w:t xml:space="preserve"> </w:t>
      </w:r>
      <w:r w:rsidRPr="00F61F94">
        <w:rPr>
          <w:rFonts w:ascii="David" w:hAnsi="David"/>
          <w:b/>
          <w:bCs/>
          <w:rtl/>
          <w:lang w:eastAsia="he-IL"/>
        </w:rPr>
        <w:t xml:space="preserve">דראז </w:t>
      </w:r>
      <w:r w:rsidRPr="00F61F94">
        <w:rPr>
          <w:rFonts w:ascii="David" w:hAnsi="David"/>
          <w:rtl/>
          <w:lang w:eastAsia="he-IL"/>
        </w:rPr>
        <w:t>נ'</w:t>
      </w:r>
      <w:r w:rsidRPr="00F61F94">
        <w:rPr>
          <w:rFonts w:ascii="David" w:hAnsi="David"/>
          <w:b/>
          <w:bCs/>
          <w:rtl/>
          <w:lang w:eastAsia="he-IL"/>
        </w:rPr>
        <w:t xml:space="preserve"> מדינת ישראל </w:t>
      </w:r>
      <w:r w:rsidRPr="00F61F94">
        <w:rPr>
          <w:rFonts w:ascii="David" w:hAnsi="David"/>
          <w:rtl/>
          <w:lang w:eastAsia="he-IL"/>
        </w:rPr>
        <w:t xml:space="preserve">[פורסם בנבו] (13.3.2016); </w:t>
      </w:r>
      <w:hyperlink r:id="rId25" w:history="1">
        <w:r w:rsidR="00D01033" w:rsidRPr="00D01033">
          <w:rPr>
            <w:rFonts w:ascii="David" w:hAnsi="David"/>
            <w:color w:val="0000FF"/>
            <w:u w:val="single"/>
            <w:rtl/>
            <w:lang w:eastAsia="he-IL"/>
          </w:rPr>
          <w:t>ע"פ 5681/14</w:t>
        </w:r>
      </w:hyperlink>
      <w:r w:rsidRPr="00F61F94">
        <w:rPr>
          <w:rFonts w:ascii="David" w:hAnsi="David"/>
          <w:b/>
          <w:bCs/>
          <w:rtl/>
          <w:lang w:eastAsia="he-IL"/>
        </w:rPr>
        <w:t xml:space="preserve"> מדינת ישראל </w:t>
      </w:r>
      <w:r w:rsidRPr="00F61F94">
        <w:rPr>
          <w:rFonts w:ascii="David" w:hAnsi="David"/>
          <w:rtl/>
          <w:lang w:eastAsia="he-IL"/>
        </w:rPr>
        <w:t>נ'</w:t>
      </w:r>
      <w:r w:rsidRPr="00F61F94">
        <w:rPr>
          <w:rFonts w:ascii="David" w:hAnsi="David"/>
          <w:b/>
          <w:bCs/>
          <w:rtl/>
          <w:lang w:eastAsia="he-IL"/>
        </w:rPr>
        <w:t xml:space="preserve"> טאטור </w:t>
      </w:r>
      <w:r w:rsidRPr="00F61F94">
        <w:rPr>
          <w:rFonts w:ascii="David" w:hAnsi="David"/>
          <w:rtl/>
          <w:lang w:eastAsia="he-IL"/>
        </w:rPr>
        <w:t>[פורסם בנבו] (1.2.2015))</w:t>
      </w:r>
      <w:r w:rsidRPr="00F61F94">
        <w:rPr>
          <w:rFonts w:ascii="David" w:hAnsi="David"/>
          <w:b/>
          <w:bCs/>
          <w:rtl/>
          <w:lang w:eastAsia="he-IL"/>
        </w:rPr>
        <w:t xml:space="preserve">. הכלל של השתת מאסר בפועל לתקופה משמעותית בעבירת החזקת נשק חל גם כאשר מדובר בעבירות שאינן במדרג הגבוה, כמו מקרה זה </w:t>
      </w:r>
      <w:r w:rsidRPr="00F61F94">
        <w:rPr>
          <w:rFonts w:ascii="David" w:hAnsi="David"/>
          <w:rtl/>
          <w:lang w:eastAsia="he-IL"/>
        </w:rPr>
        <w:t>(</w:t>
      </w:r>
      <w:hyperlink r:id="rId26" w:history="1">
        <w:r w:rsidR="00D01033" w:rsidRPr="00D01033">
          <w:rPr>
            <w:rFonts w:ascii="David" w:hAnsi="David"/>
            <w:color w:val="0000FF"/>
            <w:u w:val="single"/>
            <w:rtl/>
            <w:lang w:eastAsia="he-IL"/>
          </w:rPr>
          <w:t>ע"פ 5220/09</w:t>
        </w:r>
      </w:hyperlink>
      <w:r w:rsidRPr="00F61F94">
        <w:rPr>
          <w:rFonts w:ascii="David" w:hAnsi="David"/>
          <w:rtl/>
          <w:lang w:eastAsia="he-IL"/>
        </w:rPr>
        <w:t xml:space="preserve"> </w:t>
      </w:r>
      <w:r w:rsidRPr="00F61F94">
        <w:rPr>
          <w:rFonts w:ascii="David" w:hAnsi="David"/>
          <w:b/>
          <w:bCs/>
          <w:rtl/>
          <w:lang w:eastAsia="he-IL"/>
        </w:rPr>
        <w:t xml:space="preserve">עוואודה </w:t>
      </w:r>
      <w:r w:rsidRPr="00F61F94">
        <w:rPr>
          <w:rFonts w:ascii="David" w:hAnsi="David"/>
          <w:rtl/>
          <w:lang w:eastAsia="he-IL"/>
        </w:rPr>
        <w:t>נ'</w:t>
      </w:r>
      <w:r w:rsidRPr="00F61F94">
        <w:rPr>
          <w:rFonts w:ascii="David" w:hAnsi="David"/>
          <w:b/>
          <w:bCs/>
          <w:rtl/>
          <w:lang w:eastAsia="he-IL"/>
        </w:rPr>
        <w:t xml:space="preserve"> מדינת ישראל </w:t>
      </w:r>
      <w:r w:rsidRPr="00F61F94">
        <w:rPr>
          <w:rFonts w:ascii="David" w:hAnsi="David"/>
          <w:rtl/>
          <w:lang w:eastAsia="he-IL"/>
        </w:rPr>
        <w:t xml:space="preserve">[פורסם בנבו] (30.12.2009); </w:t>
      </w:r>
      <w:hyperlink r:id="rId27" w:history="1">
        <w:r w:rsidR="00D01033" w:rsidRPr="00D01033">
          <w:rPr>
            <w:rFonts w:ascii="David" w:hAnsi="David"/>
            <w:color w:val="0000FF"/>
            <w:u w:val="single"/>
            <w:rtl/>
            <w:lang w:eastAsia="he-IL"/>
          </w:rPr>
          <w:t>ע"פ 2398/14</w:t>
        </w:r>
      </w:hyperlink>
      <w:r w:rsidRPr="00F61F94">
        <w:rPr>
          <w:rFonts w:ascii="David" w:hAnsi="David"/>
          <w:b/>
          <w:bCs/>
          <w:rtl/>
          <w:lang w:eastAsia="he-IL"/>
        </w:rPr>
        <w:t xml:space="preserve"> אלהזייל </w:t>
      </w:r>
      <w:r w:rsidRPr="00F61F94">
        <w:rPr>
          <w:rFonts w:ascii="David" w:hAnsi="David"/>
          <w:rtl/>
          <w:lang w:eastAsia="he-IL"/>
        </w:rPr>
        <w:t>נ'</w:t>
      </w:r>
      <w:r w:rsidRPr="00F61F94">
        <w:rPr>
          <w:rFonts w:ascii="David" w:hAnsi="David"/>
          <w:b/>
          <w:bCs/>
          <w:rtl/>
          <w:lang w:eastAsia="he-IL"/>
        </w:rPr>
        <w:t xml:space="preserve"> מדינת ישראל </w:t>
      </w:r>
      <w:r w:rsidRPr="00F61F94">
        <w:rPr>
          <w:rFonts w:ascii="David" w:hAnsi="David"/>
          <w:rtl/>
          <w:lang w:eastAsia="he-IL"/>
        </w:rPr>
        <w:t xml:space="preserve">[פורסם בנבו] (8.7.2014)). במסגרת זו יש להביא בחשבון כי גם </w:t>
      </w:r>
      <w:r w:rsidRPr="00F61F94">
        <w:rPr>
          <w:rFonts w:ascii="David" w:hAnsi="David"/>
          <w:b/>
          <w:bCs/>
          <w:rtl/>
          <w:lang w:eastAsia="he-IL"/>
        </w:rPr>
        <w:t>פעילות עבריינית הכוללת העברת כלי נשק ממקום למקום באופן בלתי חוקי לרשותו של הנאשם והחזקתו בו למשך זמן, ללא כל פיקוח ובקרה, עשויה להביא בסופו של יום לתוצאות הרות אסון. נוכח היקפן המתרחב של עבירות המבוצעות בנשק, החזקת נשק באופן בלתי חוקי תוך יצירת הפתח והאפשרות הזמינה לשימוש בו, מהווה סיכון של ממש לשלום הציבור</w:t>
      </w:r>
      <w:r w:rsidRPr="00F61F94">
        <w:rPr>
          <w:rFonts w:ascii="David" w:hAnsi="David"/>
          <w:rtl/>
          <w:lang w:eastAsia="he-IL"/>
        </w:rPr>
        <w:t xml:space="preserve"> (ראו גם: </w:t>
      </w:r>
      <w:hyperlink r:id="rId28" w:history="1">
        <w:r w:rsidR="00D01033" w:rsidRPr="00D01033">
          <w:rPr>
            <w:rFonts w:ascii="David" w:hAnsi="David"/>
            <w:color w:val="0000FF"/>
            <w:u w:val="single"/>
            <w:rtl/>
            <w:lang w:eastAsia="he-IL"/>
          </w:rPr>
          <w:t>ע"פ 1903/13</w:t>
        </w:r>
      </w:hyperlink>
      <w:r w:rsidRPr="00F61F94">
        <w:rPr>
          <w:rFonts w:ascii="David" w:hAnsi="David"/>
          <w:rtl/>
          <w:lang w:eastAsia="he-IL"/>
        </w:rPr>
        <w:t xml:space="preserve"> </w:t>
      </w:r>
      <w:r w:rsidRPr="00F61F94">
        <w:rPr>
          <w:rFonts w:ascii="David" w:hAnsi="David"/>
          <w:b/>
          <w:bCs/>
          <w:rtl/>
          <w:lang w:eastAsia="he-IL"/>
        </w:rPr>
        <w:t xml:space="preserve">עיאשה </w:t>
      </w:r>
      <w:r w:rsidRPr="00F61F94">
        <w:rPr>
          <w:rFonts w:ascii="David" w:hAnsi="David"/>
          <w:rtl/>
          <w:lang w:eastAsia="he-IL"/>
        </w:rPr>
        <w:t>נ'</w:t>
      </w:r>
      <w:r w:rsidRPr="00F61F94">
        <w:rPr>
          <w:rFonts w:ascii="David" w:hAnsi="David"/>
          <w:b/>
          <w:bCs/>
          <w:rtl/>
          <w:lang w:eastAsia="he-IL"/>
        </w:rPr>
        <w:t xml:space="preserve"> מדינת ישראל</w:t>
      </w:r>
      <w:r w:rsidRPr="00F61F94">
        <w:rPr>
          <w:rFonts w:ascii="David" w:hAnsi="David"/>
          <w:rtl/>
          <w:lang w:eastAsia="he-IL"/>
        </w:rPr>
        <w:t xml:space="preserve"> [פורסם בנבו] (14.7.2013); </w:t>
      </w:r>
      <w:hyperlink r:id="rId29" w:history="1">
        <w:r w:rsidR="00D01033" w:rsidRPr="00D01033">
          <w:rPr>
            <w:rFonts w:ascii="David" w:hAnsi="David"/>
            <w:color w:val="0000FF"/>
            <w:u w:val="single"/>
            <w:rtl/>
            <w:lang w:eastAsia="he-IL"/>
          </w:rPr>
          <w:t>ע"פ 1323/13</w:t>
        </w:r>
      </w:hyperlink>
      <w:r w:rsidRPr="00F61F94">
        <w:rPr>
          <w:rFonts w:ascii="David" w:hAnsi="David"/>
          <w:rtl/>
          <w:lang w:eastAsia="he-IL"/>
        </w:rPr>
        <w:t xml:space="preserve"> בעניין חסן הנ"ל). זאת על אחת כמה וכמה שעה שמדובר בסוג של כלי נשק שעשוי להביא למותו של אדם." – </w:t>
      </w:r>
      <w:hyperlink r:id="rId30" w:history="1">
        <w:r w:rsidR="00D01033" w:rsidRPr="00D01033">
          <w:rPr>
            <w:rFonts w:ascii="David" w:hAnsi="David"/>
            <w:color w:val="0000FF"/>
            <w:u w:val="single"/>
            <w:rtl/>
            <w:lang w:eastAsia="he-IL"/>
          </w:rPr>
          <w:t>ע"פ 9702/16</w:t>
        </w:r>
      </w:hyperlink>
      <w:r w:rsidRPr="00F61F94">
        <w:rPr>
          <w:rFonts w:ascii="David" w:hAnsi="David"/>
          <w:rtl/>
          <w:lang w:eastAsia="he-IL"/>
        </w:rPr>
        <w:t xml:space="preserve"> </w:t>
      </w:r>
      <w:r w:rsidRPr="00F61F94">
        <w:rPr>
          <w:rFonts w:ascii="David" w:hAnsi="David"/>
          <w:b/>
          <w:bCs/>
          <w:rtl/>
          <w:lang w:eastAsia="he-IL"/>
        </w:rPr>
        <w:t xml:space="preserve">סאמי אבו אלוליאיה </w:t>
      </w:r>
      <w:r w:rsidRPr="00F61F94">
        <w:rPr>
          <w:rFonts w:ascii="David" w:hAnsi="David"/>
          <w:rtl/>
          <w:lang w:eastAsia="he-IL"/>
        </w:rPr>
        <w:t>נ'</w:t>
      </w:r>
      <w:r w:rsidRPr="00F61F94">
        <w:rPr>
          <w:rFonts w:ascii="David" w:hAnsi="David"/>
          <w:b/>
          <w:bCs/>
          <w:rtl/>
          <w:lang w:eastAsia="he-IL"/>
        </w:rPr>
        <w:t xml:space="preserve"> מדינת ישראל</w:t>
      </w:r>
      <w:r w:rsidRPr="00F61F94">
        <w:rPr>
          <w:rFonts w:ascii="David" w:hAnsi="David"/>
          <w:rtl/>
          <w:lang w:eastAsia="he-IL"/>
        </w:rPr>
        <w:t xml:space="preserve">. </w:t>
      </w:r>
      <w:r w:rsidR="00B448A1" w:rsidRPr="00B448A1">
        <w:rPr>
          <w:sz w:val="22"/>
          <w:rtl/>
          <w:lang w:eastAsia="he-IL"/>
        </w:rPr>
        <w:t xml:space="preserve">[פורסם בנבו] </w:t>
      </w:r>
      <w:r w:rsidRPr="00F61F94">
        <w:rPr>
          <w:rFonts w:ascii="David" w:hAnsi="David"/>
          <w:rtl/>
          <w:lang w:eastAsia="he-IL"/>
        </w:rPr>
        <w:t xml:space="preserve">מיום 13.9.17 . </w:t>
      </w:r>
    </w:p>
    <w:p w14:paraId="3488C62E" w14:textId="77777777" w:rsidR="00D10AB8" w:rsidRPr="00F61F94" w:rsidRDefault="00D10AB8" w:rsidP="00D10AB8">
      <w:pPr>
        <w:spacing w:line="360" w:lineRule="auto"/>
        <w:ind w:left="1440"/>
        <w:jc w:val="both"/>
        <w:rPr>
          <w:rFonts w:ascii="David" w:hAnsi="David"/>
          <w:rtl/>
          <w:lang w:eastAsia="he-IL"/>
        </w:rPr>
      </w:pPr>
    </w:p>
    <w:p w14:paraId="7E27A833" w14:textId="77777777" w:rsidR="00D10AB8" w:rsidRPr="00F61F94" w:rsidRDefault="00D10AB8" w:rsidP="00D10AB8">
      <w:pPr>
        <w:spacing w:line="360" w:lineRule="auto"/>
        <w:ind w:left="720" w:hanging="720"/>
        <w:jc w:val="both"/>
        <w:rPr>
          <w:rFonts w:ascii="David" w:hAnsi="David"/>
          <w:lang w:eastAsia="he-IL"/>
        </w:rPr>
      </w:pPr>
      <w:r w:rsidRPr="00F61F94">
        <w:rPr>
          <w:rFonts w:ascii="David" w:hAnsi="David"/>
          <w:rtl/>
        </w:rPr>
        <w:t>4.</w:t>
      </w:r>
      <w:r w:rsidRPr="00F61F94">
        <w:rPr>
          <w:rFonts w:ascii="David" w:hAnsi="David"/>
          <w:rtl/>
        </w:rPr>
        <w:tab/>
      </w:r>
      <w:r w:rsidRPr="00F61F94">
        <w:rPr>
          <w:rFonts w:ascii="David" w:hAnsi="David"/>
          <w:rtl/>
          <w:lang w:eastAsia="he-IL"/>
        </w:rPr>
        <w:t>הלכה למעשה בתי המשפט מטילים עונשי מאסר משמעותיים על נאשמים המורשעים בעבירות נשק, תוך מתן בכורה לשיקולי הגמול וההרתעה על פני נסיבותיו של הנאשם ושיקולי שיקומו. וגם מי שזו עבירתו הראשונה נדון למאסר. (ראה</w:t>
      </w:r>
      <w:r w:rsidRPr="00F61F94">
        <w:rPr>
          <w:rFonts w:ascii="David" w:hAnsi="David"/>
          <w:b/>
          <w:bCs/>
          <w:rtl/>
          <w:lang w:eastAsia="he-IL"/>
        </w:rPr>
        <w:t xml:space="preserve"> </w:t>
      </w:r>
      <w:hyperlink r:id="rId31" w:history="1">
        <w:r w:rsidR="00B448A1" w:rsidRPr="00B448A1">
          <w:rPr>
            <w:rFonts w:ascii="David" w:hAnsi="David"/>
            <w:b/>
            <w:bCs/>
            <w:color w:val="0000FF"/>
            <w:u w:val="single"/>
            <w:rtl/>
            <w:lang w:eastAsia="he-IL"/>
          </w:rPr>
          <w:t>אבו דחאל נ' מדינת ישראל</w:t>
        </w:r>
      </w:hyperlink>
      <w:r w:rsidRPr="00F61F94">
        <w:rPr>
          <w:rFonts w:ascii="David" w:hAnsi="David"/>
          <w:rtl/>
          <w:lang w:eastAsia="he-IL"/>
        </w:rPr>
        <w:t xml:space="preserve"> [פורסם בנבו] (29.3.2004); </w:t>
      </w:r>
      <w:hyperlink r:id="rId32" w:history="1">
        <w:r w:rsidR="00D01033" w:rsidRPr="00D01033">
          <w:rPr>
            <w:rFonts w:ascii="David" w:hAnsi="David"/>
            <w:color w:val="0000FF"/>
            <w:u w:val="single"/>
            <w:rtl/>
            <w:lang w:eastAsia="he-IL"/>
          </w:rPr>
          <w:t>ע"פ 5220/09</w:t>
        </w:r>
      </w:hyperlink>
      <w:r w:rsidRPr="00F61F94">
        <w:rPr>
          <w:rFonts w:ascii="David" w:hAnsi="David"/>
          <w:rtl/>
          <w:lang w:eastAsia="he-IL"/>
        </w:rPr>
        <w:t xml:space="preserve"> </w:t>
      </w:r>
      <w:r w:rsidRPr="00F61F94">
        <w:rPr>
          <w:rFonts w:ascii="David" w:hAnsi="David"/>
          <w:b/>
          <w:bCs/>
          <w:rtl/>
          <w:lang w:eastAsia="he-IL"/>
        </w:rPr>
        <w:t xml:space="preserve">עוואודה </w:t>
      </w:r>
      <w:r w:rsidRPr="00F61F94">
        <w:rPr>
          <w:rFonts w:ascii="David" w:hAnsi="David"/>
          <w:rtl/>
          <w:lang w:eastAsia="he-IL"/>
        </w:rPr>
        <w:t>נ'</w:t>
      </w:r>
      <w:r w:rsidRPr="00F61F94">
        <w:rPr>
          <w:rFonts w:ascii="David" w:hAnsi="David"/>
          <w:b/>
          <w:bCs/>
          <w:rtl/>
          <w:lang w:eastAsia="he-IL"/>
        </w:rPr>
        <w:t xml:space="preserve"> מדינת ישראל</w:t>
      </w:r>
      <w:r w:rsidRPr="00F61F94">
        <w:rPr>
          <w:rFonts w:ascii="David" w:hAnsi="David"/>
          <w:rtl/>
          <w:lang w:eastAsia="he-IL"/>
        </w:rPr>
        <w:t xml:space="preserve"> [פורסם בנבו] (30/12/09)).</w:t>
      </w:r>
    </w:p>
    <w:p w14:paraId="526CB665" w14:textId="77777777" w:rsidR="00D10AB8" w:rsidRPr="00F61F94" w:rsidRDefault="00D10AB8" w:rsidP="00D10AB8">
      <w:pPr>
        <w:spacing w:line="360" w:lineRule="auto"/>
        <w:ind w:left="1440"/>
        <w:jc w:val="both"/>
        <w:rPr>
          <w:rFonts w:ascii="David" w:hAnsi="David"/>
          <w:rtl/>
        </w:rPr>
      </w:pPr>
    </w:p>
    <w:p w14:paraId="2F9E22EC" w14:textId="77777777" w:rsidR="00D10AB8" w:rsidRPr="00F61F94" w:rsidRDefault="00D10AB8" w:rsidP="00D10AB8">
      <w:pPr>
        <w:spacing w:line="360" w:lineRule="auto"/>
        <w:ind w:left="1440"/>
        <w:jc w:val="both"/>
        <w:rPr>
          <w:rFonts w:ascii="David" w:hAnsi="David"/>
          <w:rtl/>
          <w:lang w:eastAsia="he-IL"/>
        </w:rPr>
      </w:pPr>
      <w:r w:rsidRPr="00F61F94">
        <w:rPr>
          <w:rFonts w:ascii="David" w:hAnsi="David"/>
          <w:rtl/>
          <w:lang w:eastAsia="he-IL"/>
        </w:rPr>
        <w:t>ב</w:t>
      </w:r>
      <w:bookmarkStart w:id="7" w:name="Text1"/>
      <w:bookmarkEnd w:id="7"/>
      <w:r w:rsidR="00D01033" w:rsidRPr="00D01033">
        <w:rPr>
          <w:rFonts w:ascii="David" w:hAnsi="David"/>
          <w:color w:val="0000FF"/>
          <w:u w:val="single"/>
          <w:rtl/>
          <w:lang w:eastAsia="he-IL"/>
        </w:rPr>
        <w:fldChar w:fldCharType="begin"/>
      </w:r>
      <w:r w:rsidR="00D01033" w:rsidRPr="00D01033">
        <w:rPr>
          <w:rFonts w:ascii="David" w:hAnsi="David"/>
          <w:color w:val="0000FF"/>
          <w:u w:val="single"/>
          <w:rtl/>
          <w:lang w:eastAsia="he-IL"/>
        </w:rPr>
        <w:instrText xml:space="preserve"> </w:instrText>
      </w:r>
      <w:r w:rsidR="00D01033" w:rsidRPr="00D01033">
        <w:rPr>
          <w:rFonts w:ascii="David" w:hAnsi="David"/>
          <w:color w:val="0000FF"/>
          <w:u w:val="single"/>
          <w:lang w:eastAsia="he-IL"/>
        </w:rPr>
        <w:instrText xml:space="preserve">HYPERLINK </w:instrText>
      </w:r>
      <w:r w:rsidR="00D01033" w:rsidRPr="00D01033">
        <w:rPr>
          <w:rFonts w:ascii="David" w:hAnsi="David"/>
          <w:color w:val="0000FF"/>
          <w:u w:val="single"/>
          <w:rtl/>
          <w:lang w:eastAsia="he-IL"/>
        </w:rPr>
        <w:instrText>"</w:instrText>
      </w:r>
      <w:r w:rsidR="00D01033" w:rsidRPr="00D01033">
        <w:rPr>
          <w:rFonts w:ascii="David" w:hAnsi="David"/>
          <w:color w:val="0000FF"/>
          <w:u w:val="single"/>
          <w:lang w:eastAsia="he-IL"/>
        </w:rPr>
        <w:instrText>http://www.nevo.co.il/case/5878682"</w:instrText>
      </w:r>
      <w:r w:rsidR="00D01033" w:rsidRPr="00D01033">
        <w:rPr>
          <w:rFonts w:ascii="David" w:hAnsi="David"/>
          <w:color w:val="0000FF"/>
          <w:u w:val="single"/>
          <w:rtl/>
          <w:lang w:eastAsia="he-IL"/>
        </w:rPr>
        <w:instrText xml:space="preserve"> </w:instrText>
      </w:r>
      <w:r w:rsidR="00D01033" w:rsidRPr="00D01033">
        <w:rPr>
          <w:rFonts w:ascii="David" w:hAnsi="David"/>
          <w:color w:val="0000FF"/>
          <w:u w:val="single"/>
          <w:rtl/>
          <w:lang w:eastAsia="he-IL"/>
        </w:rPr>
      </w:r>
      <w:r w:rsidR="00D01033" w:rsidRPr="00D01033">
        <w:rPr>
          <w:rFonts w:ascii="David" w:hAnsi="David"/>
          <w:color w:val="0000FF"/>
          <w:u w:val="single"/>
          <w:rtl/>
          <w:lang w:eastAsia="he-IL"/>
        </w:rPr>
        <w:fldChar w:fldCharType="separate"/>
      </w:r>
      <w:r w:rsidR="00D01033" w:rsidRPr="00D01033">
        <w:rPr>
          <w:rFonts w:ascii="David" w:hAnsi="David"/>
          <w:color w:val="0000FF"/>
          <w:u w:val="single"/>
          <w:rtl/>
          <w:lang w:eastAsia="he-IL"/>
        </w:rPr>
        <w:t>ע"פ 3156/11</w:t>
      </w:r>
      <w:r w:rsidR="00D01033" w:rsidRPr="00D01033">
        <w:rPr>
          <w:rFonts w:ascii="David" w:hAnsi="David"/>
          <w:color w:val="0000FF"/>
          <w:u w:val="single"/>
          <w:rtl/>
          <w:lang w:eastAsia="he-IL"/>
        </w:rPr>
        <w:fldChar w:fldCharType="end"/>
      </w:r>
      <w:r w:rsidRPr="00F61F94">
        <w:rPr>
          <w:rFonts w:ascii="David" w:hAnsi="David"/>
          <w:b/>
          <w:bCs/>
          <w:rtl/>
          <w:lang w:eastAsia="he-IL"/>
        </w:rPr>
        <w:t xml:space="preserve"> זראיעה </w:t>
      </w:r>
      <w:r w:rsidRPr="00F61F94">
        <w:rPr>
          <w:rFonts w:ascii="David" w:hAnsi="David"/>
          <w:rtl/>
          <w:lang w:eastAsia="he-IL"/>
        </w:rPr>
        <w:t>נגד</w:t>
      </w:r>
      <w:r w:rsidRPr="00F61F94">
        <w:rPr>
          <w:rFonts w:ascii="David" w:hAnsi="David"/>
          <w:b/>
          <w:bCs/>
          <w:rtl/>
          <w:lang w:eastAsia="he-IL"/>
        </w:rPr>
        <w:t xml:space="preserve"> מדינת ישראל</w:t>
      </w:r>
      <w:r w:rsidRPr="00F61F94">
        <w:rPr>
          <w:rFonts w:ascii="David" w:hAnsi="David"/>
          <w:rtl/>
          <w:lang w:eastAsia="he-IL"/>
        </w:rPr>
        <w:t xml:space="preserve"> (פורסם בנבו, 21.02.2012), המערער </w:t>
      </w:r>
      <w:r w:rsidRPr="00F61F94">
        <w:rPr>
          <w:rFonts w:ascii="David" w:hAnsi="David"/>
          <w:b/>
          <w:bCs/>
          <w:rtl/>
          <w:lang w:eastAsia="he-IL"/>
        </w:rPr>
        <w:t xml:space="preserve">החזיק </w:t>
      </w:r>
      <w:r w:rsidRPr="00F61F94">
        <w:rPr>
          <w:rFonts w:ascii="David" w:hAnsi="David"/>
          <w:rtl/>
          <w:lang w:eastAsia="he-IL"/>
        </w:rPr>
        <w:t xml:space="preserve">ברכבו </w:t>
      </w:r>
      <w:r w:rsidRPr="00F61F94">
        <w:rPr>
          <w:rFonts w:ascii="David" w:hAnsi="David"/>
          <w:b/>
          <w:bCs/>
          <w:rtl/>
          <w:lang w:eastAsia="he-IL"/>
        </w:rPr>
        <w:t>אקדח</w:t>
      </w:r>
      <w:r w:rsidRPr="00F61F94">
        <w:rPr>
          <w:rFonts w:ascii="David" w:hAnsi="David"/>
          <w:rtl/>
          <w:lang w:eastAsia="he-IL"/>
        </w:rPr>
        <w:t xml:space="preserve">, </w:t>
      </w:r>
      <w:r w:rsidRPr="00F61F94">
        <w:rPr>
          <w:rFonts w:ascii="David" w:hAnsi="David"/>
          <w:b/>
          <w:bCs/>
          <w:rtl/>
          <w:lang w:eastAsia="he-IL"/>
        </w:rPr>
        <w:t>מחסנית טעונה</w:t>
      </w:r>
      <w:r w:rsidRPr="00F61F94">
        <w:rPr>
          <w:rFonts w:ascii="David" w:hAnsi="David"/>
          <w:rtl/>
          <w:lang w:eastAsia="he-IL"/>
        </w:rPr>
        <w:t xml:space="preserve"> </w:t>
      </w:r>
      <w:r w:rsidRPr="00F61F94">
        <w:rPr>
          <w:rFonts w:ascii="David" w:hAnsi="David"/>
          <w:b/>
          <w:bCs/>
          <w:rtl/>
          <w:lang w:eastAsia="he-IL"/>
        </w:rPr>
        <w:t>וקופסאות עם כדורי אקדח</w:t>
      </w:r>
      <w:r w:rsidRPr="00F61F94">
        <w:rPr>
          <w:rFonts w:ascii="David" w:hAnsi="David"/>
          <w:rtl/>
          <w:lang w:eastAsia="he-IL"/>
        </w:rPr>
        <w:t xml:space="preserve">, ובית המשפט גזר עליו </w:t>
      </w:r>
      <w:r w:rsidRPr="00F61F94">
        <w:rPr>
          <w:rFonts w:ascii="David" w:hAnsi="David"/>
          <w:b/>
          <w:bCs/>
          <w:rtl/>
          <w:lang w:eastAsia="he-IL"/>
        </w:rPr>
        <w:t>24 חודשי מאסר בפועל</w:t>
      </w:r>
      <w:r w:rsidRPr="00F61F94">
        <w:rPr>
          <w:rFonts w:ascii="David" w:hAnsi="David"/>
          <w:rtl/>
          <w:lang w:eastAsia="he-IL"/>
        </w:rPr>
        <w:t xml:space="preserve">, מאסר על תנאי של 12 חודשים וקנס כספי בסך של 10,000 ש"ח. </w:t>
      </w:r>
    </w:p>
    <w:p w14:paraId="60AE9698" w14:textId="77777777" w:rsidR="00D10AB8" w:rsidRPr="00F61F94" w:rsidRDefault="00D10AB8" w:rsidP="00D10AB8">
      <w:pPr>
        <w:spacing w:line="360" w:lineRule="auto"/>
        <w:ind w:left="1440"/>
        <w:jc w:val="both"/>
        <w:rPr>
          <w:rFonts w:ascii="David" w:hAnsi="David"/>
          <w:b/>
          <w:bCs/>
          <w:rtl/>
          <w:lang w:eastAsia="he-IL"/>
        </w:rPr>
      </w:pPr>
    </w:p>
    <w:p w14:paraId="24D41D69" w14:textId="77777777" w:rsidR="00D10AB8" w:rsidRPr="00F61F94" w:rsidRDefault="00D10AB8" w:rsidP="00D10AB8">
      <w:pPr>
        <w:spacing w:line="360" w:lineRule="auto"/>
        <w:ind w:left="1440"/>
        <w:jc w:val="both"/>
        <w:rPr>
          <w:rFonts w:ascii="David" w:hAnsi="David"/>
          <w:rtl/>
          <w:lang w:eastAsia="he-IL"/>
        </w:rPr>
      </w:pPr>
      <w:r w:rsidRPr="00F61F94">
        <w:rPr>
          <w:rFonts w:ascii="David" w:hAnsi="David"/>
          <w:rtl/>
          <w:lang w:eastAsia="he-IL"/>
        </w:rPr>
        <w:t>ב</w:t>
      </w:r>
      <w:hyperlink r:id="rId33" w:history="1">
        <w:r w:rsidR="00D01033" w:rsidRPr="00D01033">
          <w:rPr>
            <w:rFonts w:ascii="David" w:hAnsi="David"/>
            <w:color w:val="0000FF"/>
            <w:u w:val="single"/>
            <w:rtl/>
            <w:lang w:eastAsia="he-IL"/>
          </w:rPr>
          <w:t>ע"פ 761/07</w:t>
        </w:r>
      </w:hyperlink>
      <w:r w:rsidRPr="00F61F94">
        <w:rPr>
          <w:rFonts w:ascii="David" w:hAnsi="David"/>
          <w:rtl/>
          <w:lang w:eastAsia="he-IL"/>
        </w:rPr>
        <w:t xml:space="preserve"> </w:t>
      </w:r>
      <w:r w:rsidRPr="00F61F94">
        <w:rPr>
          <w:rFonts w:ascii="David" w:hAnsi="David"/>
          <w:b/>
          <w:bCs/>
          <w:rtl/>
          <w:lang w:eastAsia="he-IL"/>
        </w:rPr>
        <w:t>מדינת ישראל</w:t>
      </w:r>
      <w:r w:rsidRPr="00F61F94">
        <w:rPr>
          <w:rFonts w:ascii="David" w:hAnsi="David"/>
          <w:rtl/>
          <w:lang w:eastAsia="he-IL"/>
        </w:rPr>
        <w:t xml:space="preserve"> נגד</w:t>
      </w:r>
      <w:r w:rsidRPr="00F61F94">
        <w:rPr>
          <w:rFonts w:ascii="David" w:hAnsi="David"/>
          <w:b/>
          <w:bCs/>
          <w:rtl/>
          <w:lang w:eastAsia="he-IL"/>
        </w:rPr>
        <w:t xml:space="preserve"> אדרי</w:t>
      </w:r>
      <w:r w:rsidRPr="00F61F94">
        <w:rPr>
          <w:rFonts w:ascii="David" w:hAnsi="David"/>
          <w:rtl/>
          <w:lang w:eastAsia="he-IL"/>
        </w:rPr>
        <w:t xml:space="preserve">, (פורסם בנבו, 22.02.2007) המשיב נהג ברכבו, ובעת בדיקה משטרתית נמצא מחזיק </w:t>
      </w:r>
      <w:r w:rsidRPr="00F61F94">
        <w:rPr>
          <w:rFonts w:ascii="David" w:hAnsi="David"/>
          <w:b/>
          <w:bCs/>
          <w:rtl/>
          <w:lang w:eastAsia="he-IL"/>
        </w:rPr>
        <w:t xml:space="preserve">באקדח, מחסנית ותחמושת </w:t>
      </w:r>
      <w:r w:rsidRPr="00F61F94">
        <w:rPr>
          <w:rFonts w:ascii="David" w:hAnsi="David"/>
          <w:rtl/>
          <w:lang w:eastAsia="he-IL"/>
        </w:rPr>
        <w:t xml:space="preserve">עטופים בגרב ומוסתרים בתחתוניו. בהמשך הוא </w:t>
      </w:r>
      <w:r w:rsidRPr="00F61F94">
        <w:rPr>
          <w:rFonts w:ascii="David" w:hAnsi="David"/>
          <w:b/>
          <w:bCs/>
          <w:rtl/>
          <w:lang w:eastAsia="he-IL"/>
        </w:rPr>
        <w:t>הציג בפני השוטרים תעודת זהות של אחר</w:t>
      </w:r>
      <w:r w:rsidRPr="00F61F94">
        <w:rPr>
          <w:rFonts w:ascii="David" w:hAnsi="David"/>
          <w:rtl/>
          <w:lang w:eastAsia="he-IL"/>
        </w:rPr>
        <w:t xml:space="preserve"> מתוך כוונה להונותם. בית המשפט המחוזי גזר עליו 12 חודשי מאסר בפועל, ובית המשפט העליון </w:t>
      </w:r>
      <w:r w:rsidRPr="00F61F94">
        <w:rPr>
          <w:rFonts w:ascii="David" w:hAnsi="David"/>
          <w:b/>
          <w:bCs/>
          <w:rtl/>
          <w:lang w:eastAsia="he-IL"/>
        </w:rPr>
        <w:t>החמיר את עונשו ל</w:t>
      </w:r>
      <w:r w:rsidRPr="00F61F94">
        <w:rPr>
          <w:rFonts w:ascii="David" w:hAnsi="David"/>
          <w:rtl/>
          <w:lang w:eastAsia="he-IL"/>
        </w:rPr>
        <w:t>-</w:t>
      </w:r>
      <w:r w:rsidRPr="00F61F94">
        <w:rPr>
          <w:rFonts w:ascii="David" w:hAnsi="David"/>
          <w:b/>
          <w:bCs/>
          <w:rtl/>
          <w:lang w:eastAsia="he-IL"/>
        </w:rPr>
        <w:t>24 חודשי מאסר בפועל</w:t>
      </w:r>
      <w:r w:rsidRPr="00F61F94">
        <w:rPr>
          <w:rFonts w:ascii="David" w:hAnsi="David"/>
          <w:rtl/>
          <w:lang w:eastAsia="he-IL"/>
        </w:rPr>
        <w:t xml:space="preserve">. </w:t>
      </w:r>
    </w:p>
    <w:p w14:paraId="787916F7" w14:textId="77777777" w:rsidR="00D10AB8" w:rsidRPr="00F61F94" w:rsidRDefault="00D10AB8" w:rsidP="00D10AB8">
      <w:pPr>
        <w:spacing w:line="360" w:lineRule="auto"/>
        <w:jc w:val="both"/>
        <w:rPr>
          <w:rFonts w:ascii="David" w:hAnsi="David"/>
          <w:rtl/>
        </w:rPr>
      </w:pPr>
    </w:p>
    <w:p w14:paraId="5872E90E" w14:textId="77777777" w:rsidR="00D10AB8" w:rsidRPr="00F61F94" w:rsidRDefault="00D10AB8" w:rsidP="00D10AB8">
      <w:pPr>
        <w:spacing w:line="360" w:lineRule="auto"/>
        <w:ind w:left="1440"/>
        <w:jc w:val="both"/>
        <w:rPr>
          <w:rFonts w:ascii="David" w:hAnsi="David"/>
          <w:rtl/>
          <w:lang w:eastAsia="he-IL"/>
        </w:rPr>
      </w:pPr>
      <w:r w:rsidRPr="00F61F94">
        <w:rPr>
          <w:rFonts w:ascii="David" w:hAnsi="David"/>
          <w:rtl/>
          <w:lang w:eastAsia="he-IL"/>
        </w:rPr>
        <w:t>ב</w:t>
      </w:r>
      <w:hyperlink r:id="rId34" w:history="1">
        <w:r w:rsidR="00D01033" w:rsidRPr="00D01033">
          <w:rPr>
            <w:rFonts w:ascii="David" w:hAnsi="David"/>
            <w:color w:val="0000FF"/>
            <w:u w:val="single"/>
            <w:rtl/>
            <w:lang w:eastAsia="he-IL"/>
          </w:rPr>
          <w:t>ע"פ  135/17</w:t>
        </w:r>
      </w:hyperlink>
      <w:r w:rsidRPr="00F61F94">
        <w:rPr>
          <w:rFonts w:ascii="David" w:hAnsi="David"/>
          <w:rtl/>
          <w:lang w:eastAsia="he-IL"/>
        </w:rPr>
        <w:t xml:space="preserve"> </w:t>
      </w:r>
      <w:r w:rsidRPr="00F61F94">
        <w:rPr>
          <w:rFonts w:ascii="David" w:hAnsi="David"/>
          <w:b/>
          <w:bCs/>
          <w:rtl/>
          <w:lang w:eastAsia="he-IL"/>
        </w:rPr>
        <w:t>מדינת ישראל</w:t>
      </w:r>
      <w:r w:rsidRPr="00F61F94">
        <w:rPr>
          <w:rFonts w:ascii="David" w:hAnsi="David"/>
          <w:rtl/>
          <w:lang w:eastAsia="he-IL"/>
        </w:rPr>
        <w:t xml:space="preserve"> נגד</w:t>
      </w:r>
      <w:r w:rsidRPr="00F61F94">
        <w:rPr>
          <w:rFonts w:ascii="David" w:hAnsi="David"/>
          <w:b/>
          <w:bCs/>
          <w:rtl/>
          <w:lang w:eastAsia="he-IL"/>
        </w:rPr>
        <w:t xml:space="preserve"> סמיר בסל</w:t>
      </w:r>
      <w:r w:rsidRPr="00F61F94">
        <w:rPr>
          <w:rFonts w:ascii="David" w:hAnsi="David"/>
          <w:rtl/>
          <w:lang w:eastAsia="he-IL"/>
        </w:rPr>
        <w:t xml:space="preserve"> (פורסם בנבו, ‏08.03.2017) הורשע המשיב בעבירה של החזקה ונשיאת נשק. נטען כי קרוב משפחתו של המשיב רכש, שלא כדין,  </w:t>
      </w:r>
      <w:r w:rsidRPr="00F61F94">
        <w:rPr>
          <w:rFonts w:ascii="David" w:hAnsi="David"/>
          <w:b/>
          <w:bCs/>
          <w:rtl/>
          <w:lang w:eastAsia="he-IL"/>
        </w:rPr>
        <w:t>תת מקלע מאולתר ומחסנית</w:t>
      </w:r>
      <w:r w:rsidRPr="00F61F94">
        <w:rPr>
          <w:rFonts w:ascii="David" w:hAnsi="David"/>
          <w:rtl/>
          <w:lang w:eastAsia="he-IL"/>
        </w:rPr>
        <w:t xml:space="preserve">, וביקש מהמשיב שיקח את הנשק לחזקתו ויחביא אותו. המשיב הוביל את הנשק והמחסנית למקום מסתור, והחזיק אותם שם כשבוע. אז קרוב משפחה אחר ביקש לקבל את הנשק לידיו, והוא הופנה למשיב וקיבל ממנו את תת המקלע והמחסנית. </w:t>
      </w:r>
    </w:p>
    <w:p w14:paraId="4B63AA82" w14:textId="77777777" w:rsidR="00D10AB8" w:rsidRPr="00F61F94" w:rsidRDefault="00D10AB8" w:rsidP="00D10AB8">
      <w:pPr>
        <w:spacing w:line="360" w:lineRule="auto"/>
        <w:ind w:left="1440"/>
        <w:jc w:val="both"/>
        <w:rPr>
          <w:rFonts w:ascii="David" w:hAnsi="David"/>
          <w:rtl/>
          <w:lang w:eastAsia="he-IL"/>
        </w:rPr>
      </w:pPr>
      <w:r w:rsidRPr="00F61F94">
        <w:rPr>
          <w:rFonts w:ascii="David" w:hAnsi="David"/>
          <w:rtl/>
          <w:lang w:eastAsia="he-IL"/>
        </w:rPr>
        <w:t xml:space="preserve">בית המשפט המחוזי קבע כי </w:t>
      </w:r>
      <w:r w:rsidRPr="00F61F94">
        <w:rPr>
          <w:rFonts w:ascii="David" w:hAnsi="David"/>
          <w:b/>
          <w:bCs/>
          <w:rtl/>
          <w:lang w:eastAsia="he-IL"/>
        </w:rPr>
        <w:t>מתחם העונש ההולם נע בין 9 ל- 36 חודשי מאסר</w:t>
      </w:r>
      <w:r w:rsidRPr="00F61F94">
        <w:rPr>
          <w:rFonts w:ascii="David" w:hAnsi="David"/>
          <w:rtl/>
          <w:lang w:eastAsia="he-IL"/>
        </w:rPr>
        <w:t xml:space="preserve"> וגזר על המשיב </w:t>
      </w:r>
      <w:r w:rsidRPr="00F61F94">
        <w:rPr>
          <w:rFonts w:ascii="David" w:hAnsi="David"/>
          <w:b/>
          <w:bCs/>
          <w:rtl/>
          <w:lang w:eastAsia="he-IL"/>
        </w:rPr>
        <w:t>12 חודשי מאסר בפועל</w:t>
      </w:r>
      <w:r w:rsidRPr="00F61F94">
        <w:rPr>
          <w:rFonts w:ascii="David" w:hAnsi="David"/>
          <w:rtl/>
          <w:lang w:eastAsia="he-IL"/>
        </w:rPr>
        <w:t xml:space="preserve">. </w:t>
      </w:r>
    </w:p>
    <w:p w14:paraId="499110B2" w14:textId="77777777" w:rsidR="00D10AB8" w:rsidRPr="00F61F94" w:rsidRDefault="00D10AB8" w:rsidP="00D10AB8">
      <w:pPr>
        <w:spacing w:line="360" w:lineRule="auto"/>
        <w:ind w:left="720" w:firstLine="720"/>
        <w:jc w:val="both"/>
        <w:rPr>
          <w:rFonts w:ascii="David" w:hAnsi="David"/>
          <w:b/>
          <w:bCs/>
          <w:rtl/>
          <w:lang w:eastAsia="he-IL"/>
        </w:rPr>
      </w:pPr>
      <w:r w:rsidRPr="00F61F94">
        <w:rPr>
          <w:rFonts w:ascii="David" w:hAnsi="David"/>
          <w:rtl/>
          <w:lang w:eastAsia="he-IL"/>
        </w:rPr>
        <w:t xml:space="preserve">בית המשפט העליון החמיר בעונשו והעמידו על </w:t>
      </w:r>
      <w:r w:rsidRPr="00F61F94">
        <w:rPr>
          <w:rFonts w:ascii="David" w:hAnsi="David"/>
          <w:b/>
          <w:bCs/>
          <w:rtl/>
          <w:lang w:eastAsia="he-IL"/>
        </w:rPr>
        <w:t>18 חודשי מאסר בפועל.</w:t>
      </w:r>
    </w:p>
    <w:p w14:paraId="5D3A63D7" w14:textId="77777777" w:rsidR="00D10AB8" w:rsidRPr="00F61F94" w:rsidRDefault="00D10AB8" w:rsidP="00D10AB8">
      <w:pPr>
        <w:spacing w:line="360" w:lineRule="auto"/>
        <w:jc w:val="both"/>
        <w:rPr>
          <w:rFonts w:ascii="David" w:hAnsi="David"/>
          <w:rtl/>
          <w:lang w:eastAsia="he-IL"/>
        </w:rPr>
      </w:pPr>
    </w:p>
    <w:p w14:paraId="24150D84" w14:textId="77777777" w:rsidR="00D10AB8" w:rsidRPr="00F61F94" w:rsidRDefault="00D10AB8" w:rsidP="00D10AB8">
      <w:pPr>
        <w:spacing w:line="360" w:lineRule="auto"/>
        <w:ind w:left="1440"/>
        <w:jc w:val="both"/>
        <w:rPr>
          <w:rFonts w:ascii="David" w:hAnsi="David"/>
          <w:lang w:eastAsia="he-IL"/>
        </w:rPr>
      </w:pPr>
      <w:r w:rsidRPr="00F61F94">
        <w:rPr>
          <w:rFonts w:ascii="David" w:hAnsi="David"/>
          <w:rtl/>
        </w:rPr>
        <w:t>ב</w:t>
      </w:r>
      <w:hyperlink r:id="rId35" w:history="1">
        <w:r w:rsidR="00D01033" w:rsidRPr="00D01033">
          <w:rPr>
            <w:rFonts w:ascii="David" w:hAnsi="David"/>
            <w:color w:val="0000FF"/>
            <w:u w:val="single"/>
            <w:rtl/>
          </w:rPr>
          <w:t>ע"פ 2892/13</w:t>
        </w:r>
      </w:hyperlink>
      <w:r w:rsidRPr="00F61F94">
        <w:rPr>
          <w:rFonts w:ascii="David" w:hAnsi="David"/>
          <w:rtl/>
        </w:rPr>
        <w:t xml:space="preserve"> </w:t>
      </w:r>
      <w:r w:rsidRPr="00F61F94">
        <w:rPr>
          <w:rFonts w:ascii="David" w:hAnsi="David"/>
          <w:b/>
          <w:bCs/>
          <w:rtl/>
        </w:rPr>
        <w:t>מוחמד עודתאללה</w:t>
      </w:r>
      <w:r w:rsidRPr="00F61F94">
        <w:rPr>
          <w:rFonts w:ascii="David" w:hAnsi="David"/>
          <w:rtl/>
        </w:rPr>
        <w:t xml:space="preserve"> נגד </w:t>
      </w:r>
      <w:r w:rsidRPr="00F61F94">
        <w:rPr>
          <w:rFonts w:ascii="David" w:hAnsi="David"/>
          <w:b/>
          <w:bCs/>
          <w:rtl/>
        </w:rPr>
        <w:t>מדינת ישראל</w:t>
      </w:r>
      <w:r w:rsidRPr="00F61F94">
        <w:rPr>
          <w:rFonts w:ascii="David" w:hAnsi="David"/>
          <w:rtl/>
        </w:rPr>
        <w:t xml:space="preserve"> (פורסם בנבו, 29.09.13)- המערער נתפס נוהג ברכב בו היו </w:t>
      </w:r>
      <w:r w:rsidRPr="00F61F94">
        <w:rPr>
          <w:rFonts w:ascii="David" w:hAnsi="David"/>
          <w:b/>
          <w:bCs/>
          <w:rtl/>
        </w:rPr>
        <w:t>אקדח ובו מחסנית ריקה מכדורים</w:t>
      </w:r>
      <w:r w:rsidRPr="00F61F94">
        <w:rPr>
          <w:rFonts w:ascii="David" w:hAnsi="David"/>
          <w:rtl/>
        </w:rPr>
        <w:t>. אין למערער עבר פלילי. בית המשפט המחוזי קבע מתחם ענישה שבין שנה לשלוש שנים וגזר עליו</w:t>
      </w:r>
      <w:r w:rsidRPr="00F61F94">
        <w:rPr>
          <w:rFonts w:ascii="David" w:hAnsi="David"/>
          <w:b/>
          <w:bCs/>
          <w:rtl/>
        </w:rPr>
        <w:t xml:space="preserve"> 21 חודשי מאסר בפועל</w:t>
      </w:r>
      <w:r w:rsidRPr="00F61F94">
        <w:rPr>
          <w:rFonts w:ascii="David" w:hAnsi="David"/>
          <w:rtl/>
        </w:rPr>
        <w:t xml:space="preserve"> והערעור על חומרת העונש נדחה.</w:t>
      </w:r>
    </w:p>
    <w:p w14:paraId="56B455B2" w14:textId="77777777" w:rsidR="00D10AB8" w:rsidRPr="00F61F94" w:rsidRDefault="00D10AB8" w:rsidP="00D10AB8">
      <w:pPr>
        <w:spacing w:line="360" w:lineRule="auto"/>
        <w:ind w:left="720" w:hanging="720"/>
        <w:jc w:val="both"/>
        <w:rPr>
          <w:rFonts w:ascii="David" w:hAnsi="David"/>
          <w:rtl/>
        </w:rPr>
      </w:pPr>
    </w:p>
    <w:p w14:paraId="5F487836" w14:textId="77777777" w:rsidR="00D10AB8" w:rsidRPr="00F61F94" w:rsidRDefault="00D01033" w:rsidP="00D10AB8">
      <w:pPr>
        <w:spacing w:line="360" w:lineRule="auto"/>
        <w:ind w:left="1440"/>
        <w:jc w:val="both"/>
        <w:rPr>
          <w:rFonts w:ascii="David" w:hAnsi="David"/>
          <w:rtl/>
          <w:lang w:eastAsia="he-IL"/>
        </w:rPr>
      </w:pPr>
      <w:hyperlink r:id="rId36" w:history="1">
        <w:r w:rsidRPr="00D01033">
          <w:rPr>
            <w:rFonts w:ascii="David" w:hAnsi="David"/>
            <w:color w:val="0000FF"/>
            <w:u w:val="single"/>
            <w:rtl/>
            <w:lang w:eastAsia="he-IL"/>
          </w:rPr>
          <w:t>ע"פ 2318/19</w:t>
        </w:r>
      </w:hyperlink>
      <w:r w:rsidR="00D10AB8" w:rsidRPr="00F61F94">
        <w:rPr>
          <w:rFonts w:ascii="David" w:hAnsi="David"/>
          <w:rtl/>
          <w:lang w:eastAsia="he-IL"/>
        </w:rPr>
        <w:t xml:space="preserve"> </w:t>
      </w:r>
      <w:r w:rsidR="00D10AB8" w:rsidRPr="00F61F94">
        <w:rPr>
          <w:rFonts w:ascii="David" w:hAnsi="David"/>
          <w:b/>
          <w:bCs/>
          <w:rtl/>
          <w:lang w:eastAsia="he-IL"/>
        </w:rPr>
        <w:t xml:space="preserve">חמדי וחסאם עבדאלקאדר </w:t>
      </w:r>
      <w:r w:rsidR="00D10AB8" w:rsidRPr="00F61F94">
        <w:rPr>
          <w:rFonts w:ascii="David" w:hAnsi="David"/>
          <w:rtl/>
          <w:lang w:eastAsia="he-IL"/>
        </w:rPr>
        <w:t xml:space="preserve"> נ' </w:t>
      </w:r>
      <w:r w:rsidR="00D10AB8" w:rsidRPr="00F61F94">
        <w:rPr>
          <w:rFonts w:ascii="David" w:hAnsi="David"/>
          <w:b/>
          <w:bCs/>
          <w:rtl/>
          <w:lang w:eastAsia="he-IL"/>
        </w:rPr>
        <w:t>מדינת ישראל</w:t>
      </w:r>
      <w:r w:rsidR="00D10AB8" w:rsidRPr="00F61F94">
        <w:rPr>
          <w:rFonts w:ascii="David" w:hAnsi="David"/>
          <w:rtl/>
          <w:lang w:eastAsia="he-IL"/>
        </w:rPr>
        <w:t xml:space="preserve"> (פורסם בנבו, 27.06.19) - דובר בשני מערערים. המערער 1 נפגש עם סוכן משטרתי, הציג לו רובה </w:t>
      </w:r>
      <w:r w:rsidR="00D10AB8" w:rsidRPr="00F61F94">
        <w:rPr>
          <w:rFonts w:ascii="David" w:hAnsi="David"/>
          <w:lang w:eastAsia="he-IL"/>
        </w:rPr>
        <w:t>M16</w:t>
      </w:r>
      <w:r w:rsidR="00D10AB8" w:rsidRPr="00F61F94">
        <w:rPr>
          <w:rFonts w:ascii="David" w:hAnsi="David"/>
          <w:rtl/>
          <w:lang w:eastAsia="he-IL"/>
        </w:rPr>
        <w:t xml:space="preserve">, ונקב במחירו. בהמשך לכך, ולאחר דין ודברים שהסוכן קיים עם אדם אחר שזהותו אינה ידועה, הסוכן הגיע לקלנדיה ושם פגש במערער 2, שהורה לו לנסוע אחריו למקום סמוך, שם עלה למכוניתו של הסוכן וביקש לספור את הכסף. הסוכן ביקש מהמערער 2 לראות את הרובה, והמערער 2 יצא מהרכב ושב אליו כשהרובה ברשותו. לבקשת הסוכן, המערער בדק את הרובה בירי ולאחר שירה מספר כדורים הודיע לסוכן שקיימת תקלה ברובה, שתתוקן עד למחרת. בהמשך לכך, הודיע הסוכן לאדם האחר כי בשל התקלה האמורה, הוא אינו מעוניין עוד בביצוע העסקה. המערער 2 הורשע בעבירת </w:t>
      </w:r>
      <w:r w:rsidR="00D10AB8" w:rsidRPr="00F61F94">
        <w:rPr>
          <w:rFonts w:ascii="David" w:hAnsi="David"/>
          <w:b/>
          <w:bCs/>
          <w:rtl/>
          <w:lang w:eastAsia="he-IL"/>
        </w:rPr>
        <w:t>סיוע לניסיון סחר בנשק</w:t>
      </w:r>
      <w:r w:rsidR="00D10AB8" w:rsidRPr="00F61F94">
        <w:rPr>
          <w:rFonts w:ascii="David" w:hAnsi="David"/>
          <w:rtl/>
          <w:lang w:eastAsia="he-IL"/>
        </w:rPr>
        <w:t xml:space="preserve"> </w:t>
      </w:r>
      <w:r w:rsidR="00D10AB8" w:rsidRPr="00F61F94">
        <w:rPr>
          <w:rFonts w:ascii="David" w:hAnsi="David"/>
          <w:b/>
          <w:bCs/>
          <w:rtl/>
          <w:lang w:eastAsia="he-IL"/>
        </w:rPr>
        <w:t>ובעבירת נשיאה והובלת נשק</w:t>
      </w:r>
      <w:r w:rsidR="00D10AB8" w:rsidRPr="00F61F94">
        <w:rPr>
          <w:rFonts w:ascii="David" w:hAnsi="David"/>
          <w:rtl/>
          <w:lang w:eastAsia="he-IL"/>
        </w:rPr>
        <w:t>. ובית המשפט המחוזי קבע כי</w:t>
      </w:r>
      <w:r w:rsidR="00D10AB8" w:rsidRPr="00F61F94">
        <w:rPr>
          <w:rFonts w:ascii="David" w:hAnsi="David"/>
          <w:b/>
          <w:bCs/>
          <w:rtl/>
          <w:lang w:eastAsia="he-IL"/>
        </w:rPr>
        <w:t xml:space="preserve"> מתחם העונש ההולם למעשה המערער 2 נע בין  שנתיים לארבע שנות מאסר בפועל</w:t>
      </w:r>
      <w:r w:rsidR="00D10AB8" w:rsidRPr="00F61F94">
        <w:rPr>
          <w:rFonts w:ascii="David" w:hAnsi="David"/>
          <w:rtl/>
          <w:lang w:eastAsia="he-IL"/>
        </w:rPr>
        <w:t xml:space="preserve"> וגזר על המערער 2 </w:t>
      </w:r>
      <w:r w:rsidR="00D10AB8" w:rsidRPr="00F61F94">
        <w:rPr>
          <w:rFonts w:ascii="David" w:hAnsi="David"/>
          <w:b/>
          <w:bCs/>
          <w:rtl/>
          <w:lang w:eastAsia="he-IL"/>
        </w:rPr>
        <w:t>שנתיים מאסר בפועל</w:t>
      </w:r>
      <w:r w:rsidR="00D10AB8" w:rsidRPr="00F61F94">
        <w:rPr>
          <w:rFonts w:ascii="David" w:hAnsi="David"/>
          <w:rtl/>
          <w:lang w:eastAsia="he-IL"/>
        </w:rPr>
        <w:t xml:space="preserve">, בצירוף מאסר על תנאי וקנס. </w:t>
      </w:r>
    </w:p>
    <w:p w14:paraId="7A3894B1" w14:textId="77777777" w:rsidR="00D10AB8" w:rsidRPr="00F61F94" w:rsidRDefault="00D10AB8" w:rsidP="00D10AB8">
      <w:pPr>
        <w:spacing w:line="360" w:lineRule="auto"/>
        <w:jc w:val="both"/>
        <w:rPr>
          <w:rFonts w:ascii="David" w:hAnsi="David"/>
          <w:rtl/>
          <w:lang w:eastAsia="he-IL"/>
        </w:rPr>
      </w:pPr>
    </w:p>
    <w:p w14:paraId="67AD4BC6" w14:textId="77777777" w:rsidR="00D10AB8" w:rsidRPr="00F61F94" w:rsidRDefault="00D10AB8" w:rsidP="00D10AB8">
      <w:pPr>
        <w:spacing w:line="360" w:lineRule="auto"/>
        <w:ind w:left="720" w:firstLine="720"/>
        <w:jc w:val="both"/>
        <w:rPr>
          <w:rFonts w:ascii="David" w:hAnsi="David"/>
          <w:rtl/>
          <w:lang w:eastAsia="he-IL"/>
        </w:rPr>
      </w:pPr>
      <w:r w:rsidRPr="00F61F94">
        <w:rPr>
          <w:rFonts w:ascii="David" w:hAnsi="David"/>
          <w:rtl/>
          <w:lang w:eastAsia="he-IL"/>
        </w:rPr>
        <w:t>בית המשפט העליון דחה את הערעור וקבע-</w:t>
      </w:r>
    </w:p>
    <w:p w14:paraId="7E40E655" w14:textId="77777777" w:rsidR="00D10AB8" w:rsidRPr="00F61F94" w:rsidRDefault="00D10AB8" w:rsidP="00D10AB8">
      <w:pPr>
        <w:spacing w:line="360" w:lineRule="auto"/>
        <w:ind w:left="1440"/>
        <w:jc w:val="both"/>
        <w:rPr>
          <w:rFonts w:ascii="David" w:hAnsi="David"/>
          <w:rtl/>
          <w:lang w:eastAsia="he-IL"/>
        </w:rPr>
      </w:pPr>
      <w:r w:rsidRPr="00F61F94">
        <w:rPr>
          <w:rFonts w:ascii="David" w:hAnsi="David"/>
          <w:rtl/>
          <w:lang w:eastAsia="he-IL"/>
        </w:rPr>
        <w:t xml:space="preserve">"שקלנו את טיעוני הצדדים ובחנו את רמת הענישה הנהוגה על פי פסיקתו של בית משפט זה (להבדיל מפסיקה מחוזית שאליה הפנו באי כוחם של המערערים, שעל חלקה תלויים ועומדים ערעורים בבית משפט זה). מבלי לקבוע מסמרות בנוגע לגבולות המדויקים של מתחמי הענישה שנקבעו, מצאנו כי בית המשפט המחוזי סקר את מכלול הנתונים הצריכים לעניין ואיזן בין מכלול השיקולים הרלוונטיים. </w:t>
      </w:r>
      <w:r w:rsidRPr="00F61F94">
        <w:rPr>
          <w:rFonts w:ascii="David" w:hAnsi="David"/>
          <w:b/>
          <w:bCs/>
          <w:rtl/>
          <w:lang w:eastAsia="he-IL"/>
        </w:rPr>
        <w:t>לא מצאנו כי תוצאת האיזון שערך בית המשפט המחוזי בין שיקולי הענישה חורגת מרמת הענישה הראויה במידה שמצדיקה התערבות של ערכאת הערעור".</w:t>
      </w:r>
    </w:p>
    <w:p w14:paraId="1AD1514E" w14:textId="77777777" w:rsidR="00D10AB8" w:rsidRPr="00F61F94" w:rsidRDefault="00D10AB8" w:rsidP="00D10AB8">
      <w:pPr>
        <w:spacing w:line="360" w:lineRule="auto"/>
        <w:ind w:left="720" w:hanging="720"/>
        <w:jc w:val="both"/>
        <w:rPr>
          <w:rFonts w:ascii="David" w:hAnsi="David"/>
          <w:rtl/>
          <w:lang w:eastAsia="he-IL"/>
        </w:rPr>
      </w:pPr>
    </w:p>
    <w:p w14:paraId="6B28CBB7" w14:textId="77777777" w:rsidR="00D10AB8" w:rsidRPr="00F61F94" w:rsidRDefault="00D10AB8" w:rsidP="00D10AB8">
      <w:pPr>
        <w:spacing w:line="360" w:lineRule="auto"/>
        <w:ind w:left="720"/>
        <w:jc w:val="both"/>
        <w:rPr>
          <w:rFonts w:ascii="David" w:hAnsi="David"/>
          <w:lang w:eastAsia="he-IL"/>
        </w:rPr>
      </w:pPr>
      <w:r w:rsidRPr="00F61F94">
        <w:rPr>
          <w:rFonts w:ascii="David" w:hAnsi="David"/>
          <w:rtl/>
          <w:lang w:eastAsia="he-IL"/>
        </w:rPr>
        <w:t>ב</w:t>
      </w:r>
      <w:hyperlink r:id="rId37" w:history="1">
        <w:r w:rsidR="00D01033" w:rsidRPr="00D01033">
          <w:rPr>
            <w:rFonts w:ascii="David" w:hAnsi="David"/>
            <w:color w:val="0000FF"/>
            <w:u w:val="single"/>
            <w:rtl/>
            <w:lang w:eastAsia="he-IL"/>
          </w:rPr>
          <w:t>ע"פ 8045/17</w:t>
        </w:r>
      </w:hyperlink>
      <w:r w:rsidRPr="00F61F94">
        <w:rPr>
          <w:rFonts w:ascii="David" w:hAnsi="David"/>
          <w:rtl/>
          <w:lang w:eastAsia="he-IL"/>
        </w:rPr>
        <w:t xml:space="preserve"> </w:t>
      </w:r>
      <w:r w:rsidRPr="00F61F94">
        <w:rPr>
          <w:rFonts w:ascii="David" w:hAnsi="David"/>
          <w:b/>
          <w:bCs/>
          <w:rtl/>
          <w:lang w:eastAsia="he-IL"/>
        </w:rPr>
        <w:t>בראנסי</w:t>
      </w:r>
      <w:r w:rsidRPr="00F61F94">
        <w:rPr>
          <w:rFonts w:ascii="David" w:hAnsi="David"/>
          <w:rtl/>
          <w:lang w:eastAsia="he-IL"/>
        </w:rPr>
        <w:t xml:space="preserve"> נ' </w:t>
      </w:r>
      <w:r w:rsidRPr="00F61F94">
        <w:rPr>
          <w:rFonts w:ascii="David" w:hAnsi="David"/>
          <w:b/>
          <w:bCs/>
          <w:rtl/>
          <w:lang w:eastAsia="he-IL"/>
        </w:rPr>
        <w:t>מדינת ישראל</w:t>
      </w:r>
      <w:r w:rsidRPr="00F61F94">
        <w:rPr>
          <w:rFonts w:ascii="David" w:hAnsi="David"/>
          <w:rtl/>
          <w:lang w:eastAsia="he-IL"/>
        </w:rPr>
        <w:t xml:space="preserve"> (פורסם בנבו, 16.8.18) –נדונו ערעורים על עונשיהם של אחד-עשר נאשמים שהורשעו בעבירות סחר בנשק, לאחר שמכרו נשק לסוכן משטרה. חלק מהערעורים היו של הנאשמים וחלק של המדינה. כל הערעורים נדחו, למעט אחד שבו בית המשפט התערב בעונש לחומרה. </w:t>
      </w:r>
    </w:p>
    <w:p w14:paraId="171C1608" w14:textId="77777777" w:rsidR="00D10AB8" w:rsidRPr="00F61F94" w:rsidRDefault="00D10AB8" w:rsidP="00D10AB8">
      <w:pPr>
        <w:spacing w:line="360" w:lineRule="auto"/>
        <w:ind w:left="720"/>
        <w:jc w:val="both"/>
        <w:rPr>
          <w:rFonts w:ascii="David" w:hAnsi="David"/>
          <w:lang w:eastAsia="he-IL"/>
        </w:rPr>
      </w:pPr>
    </w:p>
    <w:p w14:paraId="2B85EFC6" w14:textId="77777777" w:rsidR="00D10AB8" w:rsidRPr="00F61F94" w:rsidRDefault="00D10AB8" w:rsidP="00D10AB8">
      <w:pPr>
        <w:spacing w:line="360" w:lineRule="auto"/>
        <w:ind w:left="720"/>
        <w:jc w:val="both"/>
        <w:rPr>
          <w:rFonts w:ascii="David" w:hAnsi="David"/>
          <w:lang w:eastAsia="he-IL"/>
        </w:rPr>
      </w:pPr>
      <w:r w:rsidRPr="00F61F94">
        <w:rPr>
          <w:rFonts w:ascii="David" w:hAnsi="David"/>
          <w:rtl/>
          <w:lang w:eastAsia="he-IL"/>
        </w:rPr>
        <w:t xml:space="preserve">נאשם 15 (פסקאות 84-78) – הורשע בעבירה של </w:t>
      </w:r>
      <w:r w:rsidRPr="00F61F94">
        <w:rPr>
          <w:rFonts w:ascii="David" w:hAnsi="David"/>
          <w:b/>
          <w:bCs/>
          <w:rtl/>
          <w:lang w:eastAsia="he-IL"/>
        </w:rPr>
        <w:t xml:space="preserve">סיוע לסחר בנשק </w:t>
      </w:r>
      <w:r w:rsidRPr="00F61F94">
        <w:rPr>
          <w:rFonts w:ascii="David" w:hAnsi="David"/>
          <w:rtl/>
          <w:lang w:eastAsia="he-IL"/>
        </w:rPr>
        <w:t xml:space="preserve">בקשר לעסקה שבמסגרתה </w:t>
      </w:r>
      <w:r w:rsidRPr="00F61F94">
        <w:rPr>
          <w:rFonts w:ascii="David" w:hAnsi="David"/>
          <w:b/>
          <w:bCs/>
          <w:rtl/>
          <w:lang w:eastAsia="he-IL"/>
        </w:rPr>
        <w:t>נמכרו קלצ'ניקוב ושתי מחסניות תואמות</w:t>
      </w:r>
      <w:r w:rsidRPr="00F61F94">
        <w:rPr>
          <w:rFonts w:ascii="David" w:hAnsi="David"/>
          <w:rtl/>
          <w:lang w:eastAsia="he-IL"/>
        </w:rPr>
        <w:t xml:space="preserve">. </w:t>
      </w:r>
      <w:r w:rsidRPr="00F61F94">
        <w:rPr>
          <w:rFonts w:ascii="David" w:hAnsi="David"/>
          <w:b/>
          <w:bCs/>
          <w:rtl/>
          <w:lang w:eastAsia="he-IL"/>
        </w:rPr>
        <w:t>מתחם העונש הועמד על 20-8 חודשי מאסר</w:t>
      </w:r>
      <w:r w:rsidRPr="00F61F94">
        <w:rPr>
          <w:rFonts w:ascii="David" w:hAnsi="David"/>
          <w:rtl/>
          <w:lang w:eastAsia="he-IL"/>
        </w:rPr>
        <w:t xml:space="preserve">. הושת עונש של </w:t>
      </w:r>
      <w:r w:rsidRPr="00F61F94">
        <w:rPr>
          <w:rFonts w:ascii="David" w:hAnsi="David"/>
          <w:b/>
          <w:bCs/>
          <w:rtl/>
          <w:lang w:eastAsia="he-IL"/>
        </w:rPr>
        <w:t>שנת מאסר בפועל</w:t>
      </w:r>
      <w:r w:rsidRPr="00F61F94">
        <w:rPr>
          <w:rFonts w:ascii="David" w:hAnsi="David"/>
          <w:rtl/>
          <w:lang w:eastAsia="he-IL"/>
        </w:rPr>
        <w:t xml:space="preserve">, מאסר מותנה וקנס. ערעור המדינה על קולת העונש התקבל ובית המשפט העליון הטיל על המשיב </w:t>
      </w:r>
      <w:r w:rsidRPr="00F61F94">
        <w:rPr>
          <w:rFonts w:ascii="David" w:hAnsi="David"/>
          <w:b/>
          <w:bCs/>
          <w:rtl/>
          <w:lang w:eastAsia="he-IL"/>
        </w:rPr>
        <w:t>20 חודש</w:t>
      </w:r>
      <w:r w:rsidRPr="00F61F94">
        <w:rPr>
          <w:rFonts w:ascii="David" w:hAnsi="David"/>
          <w:rtl/>
          <w:lang w:eastAsia="he-IL"/>
        </w:rPr>
        <w:t>י</w:t>
      </w:r>
      <w:r w:rsidRPr="00F61F94">
        <w:rPr>
          <w:rFonts w:ascii="David" w:hAnsi="David"/>
          <w:b/>
          <w:bCs/>
          <w:rtl/>
          <w:lang w:eastAsia="he-IL"/>
        </w:rPr>
        <w:t xml:space="preserve"> מאסר בפועל</w:t>
      </w:r>
      <w:r w:rsidRPr="00F61F94">
        <w:rPr>
          <w:rFonts w:ascii="David" w:hAnsi="David"/>
          <w:rtl/>
          <w:lang w:eastAsia="he-IL"/>
        </w:rPr>
        <w:t>.</w:t>
      </w:r>
    </w:p>
    <w:p w14:paraId="4C4C419E" w14:textId="77777777" w:rsidR="00D10AB8" w:rsidRPr="00F61F94" w:rsidRDefault="00D10AB8" w:rsidP="00D10AB8">
      <w:pPr>
        <w:spacing w:line="360" w:lineRule="auto"/>
        <w:ind w:left="720"/>
        <w:jc w:val="both"/>
        <w:rPr>
          <w:rFonts w:ascii="David" w:hAnsi="David"/>
          <w:rtl/>
          <w:lang w:eastAsia="he-IL"/>
        </w:rPr>
      </w:pPr>
    </w:p>
    <w:p w14:paraId="247E1734" w14:textId="77777777" w:rsidR="00D10AB8" w:rsidRPr="00F61F94" w:rsidRDefault="00D10AB8" w:rsidP="00D10AB8">
      <w:pPr>
        <w:spacing w:line="360" w:lineRule="auto"/>
        <w:jc w:val="both"/>
        <w:rPr>
          <w:rFonts w:ascii="David" w:hAnsi="David"/>
          <w:rtl/>
        </w:rPr>
      </w:pPr>
      <w:r w:rsidRPr="00F61F94">
        <w:rPr>
          <w:rFonts w:ascii="David" w:hAnsi="David"/>
          <w:rtl/>
        </w:rPr>
        <w:t>5.</w:t>
      </w:r>
      <w:r w:rsidRPr="00F61F94">
        <w:rPr>
          <w:rFonts w:ascii="David" w:hAnsi="David"/>
          <w:rtl/>
        </w:rPr>
        <w:tab/>
        <w:t xml:space="preserve">אשר לנסיבות ביצוע העבירות- </w:t>
      </w:r>
    </w:p>
    <w:p w14:paraId="144CE056" w14:textId="77777777" w:rsidR="00D10AB8" w:rsidRPr="00F61F94" w:rsidRDefault="00D10AB8" w:rsidP="00D10AB8">
      <w:pPr>
        <w:spacing w:line="360" w:lineRule="auto"/>
        <w:ind w:left="720"/>
        <w:jc w:val="both"/>
        <w:rPr>
          <w:rFonts w:ascii="David" w:hAnsi="David"/>
          <w:rtl/>
        </w:rPr>
      </w:pPr>
    </w:p>
    <w:p w14:paraId="644710CB" w14:textId="77777777" w:rsidR="00D10AB8" w:rsidRPr="00F61F94" w:rsidRDefault="00D10AB8" w:rsidP="00D10AB8">
      <w:pPr>
        <w:spacing w:line="360" w:lineRule="auto"/>
        <w:ind w:left="720"/>
        <w:jc w:val="both"/>
        <w:rPr>
          <w:rFonts w:ascii="David" w:hAnsi="David"/>
          <w:rtl/>
        </w:rPr>
      </w:pPr>
      <w:r w:rsidRPr="00F61F94">
        <w:rPr>
          <w:rFonts w:ascii="David" w:hAnsi="David"/>
          <w:rtl/>
        </w:rPr>
        <w:t xml:space="preserve">המעשים שהנאשם נטל בהם חלק כרוכים מטבעם בתכנון ובתיאום מראש. </w:t>
      </w:r>
    </w:p>
    <w:p w14:paraId="155C1583" w14:textId="77777777" w:rsidR="00D10AB8" w:rsidRPr="00F61F94" w:rsidRDefault="00D10AB8" w:rsidP="00D10AB8">
      <w:pPr>
        <w:spacing w:line="360" w:lineRule="auto"/>
        <w:ind w:left="720"/>
        <w:jc w:val="both"/>
        <w:rPr>
          <w:rFonts w:ascii="David" w:hAnsi="David"/>
          <w:rtl/>
        </w:rPr>
      </w:pPr>
    </w:p>
    <w:p w14:paraId="08B20D4C" w14:textId="77777777" w:rsidR="00D10AB8" w:rsidRPr="00F61F94" w:rsidRDefault="00D10AB8" w:rsidP="00D10AB8">
      <w:pPr>
        <w:spacing w:line="360" w:lineRule="auto"/>
        <w:ind w:left="720"/>
        <w:jc w:val="both"/>
        <w:rPr>
          <w:rFonts w:ascii="David" w:hAnsi="David"/>
          <w:rtl/>
        </w:rPr>
      </w:pPr>
      <w:r w:rsidRPr="00F61F94">
        <w:rPr>
          <w:rFonts w:ascii="David" w:hAnsi="David"/>
          <w:rtl/>
        </w:rPr>
        <w:t xml:space="preserve">בסופו של דבר עסקת מכירת הנשק לא יצאה אל הפועל בשל אי ההסכמה על מחיר הנשק, אולם הנאשם פעל לקדם את הוצאת מכירת הנשק אל הפועל, כמובן מבלי שידע שהקונה הוא סוכן משטרתי, ואף מבלי להכיר את הקונה לפני העסקה. הסכנות הטבועות במכירת נשק קטלני לזר, ברורות מאליהן. מבחינה זו פוטנציאל הנזק של מעשה הנאשם גדול. </w:t>
      </w:r>
    </w:p>
    <w:p w14:paraId="31B4D3C2" w14:textId="77777777" w:rsidR="00D10AB8" w:rsidRPr="00F61F94" w:rsidRDefault="00D10AB8" w:rsidP="00D10AB8">
      <w:pPr>
        <w:spacing w:line="360" w:lineRule="auto"/>
        <w:ind w:left="720"/>
        <w:jc w:val="both"/>
        <w:rPr>
          <w:rFonts w:ascii="David" w:hAnsi="David"/>
          <w:rtl/>
        </w:rPr>
      </w:pPr>
    </w:p>
    <w:p w14:paraId="012C8755" w14:textId="77777777" w:rsidR="00D10AB8" w:rsidRPr="00F61F94" w:rsidRDefault="00D10AB8" w:rsidP="00D10AB8">
      <w:pPr>
        <w:spacing w:line="360" w:lineRule="auto"/>
        <w:ind w:left="720"/>
        <w:jc w:val="both"/>
        <w:rPr>
          <w:rFonts w:ascii="David" w:hAnsi="David"/>
          <w:rtl/>
        </w:rPr>
      </w:pPr>
      <w:r w:rsidRPr="00F61F94">
        <w:rPr>
          <w:rFonts w:ascii="David" w:hAnsi="David"/>
          <w:rtl/>
        </w:rPr>
        <w:t>אמנם בקשר לעסקה בנשק, חלקו של הנאשם הוגדר כסיוע, אולם, חלקו במהלך כולו היה מרכזי ומשמעותי. הנאשם ואדם הגיעו למקום המפגש ברכבו של הנאשם. הנאשם הוביל את החבורה למקום בו היה אמור להימסר הנשק. הנאשם הרכיב את חלקי הנשק, דרך אותו ומסרו לסוכן. השיח על צילום הנשק התנהל מול הנאשם שהוא זה שאישר את הצילום תוך שהוא מסתיר את המספר הסידורי של הרובה. ובנוסף, הוא נשא והוביל את הנשק.</w:t>
      </w:r>
    </w:p>
    <w:p w14:paraId="245070CB" w14:textId="77777777" w:rsidR="00D10AB8" w:rsidRPr="00F61F94" w:rsidRDefault="00D10AB8" w:rsidP="00D10AB8">
      <w:pPr>
        <w:spacing w:line="360" w:lineRule="auto"/>
        <w:ind w:left="720"/>
        <w:jc w:val="both"/>
        <w:rPr>
          <w:rFonts w:ascii="David" w:hAnsi="David"/>
          <w:rtl/>
        </w:rPr>
      </w:pPr>
    </w:p>
    <w:p w14:paraId="3D03D5F8" w14:textId="77777777" w:rsidR="00D10AB8" w:rsidRPr="00F61F94" w:rsidRDefault="00D10AB8" w:rsidP="00D10AB8">
      <w:pPr>
        <w:spacing w:line="360" w:lineRule="auto"/>
        <w:ind w:left="720"/>
        <w:jc w:val="both"/>
        <w:rPr>
          <w:rFonts w:ascii="David" w:hAnsi="David"/>
          <w:rtl/>
        </w:rPr>
      </w:pPr>
      <w:r w:rsidRPr="00F61F94">
        <w:rPr>
          <w:rFonts w:ascii="David" w:hAnsi="David"/>
          <w:rtl/>
        </w:rPr>
        <w:t xml:space="preserve">הנאשם ביצע את המעשים מתוך רצון להשיג כסף קל.  </w:t>
      </w:r>
    </w:p>
    <w:p w14:paraId="57344F3D" w14:textId="77777777" w:rsidR="00D10AB8" w:rsidRPr="00F61F94" w:rsidRDefault="00D10AB8" w:rsidP="00D10AB8">
      <w:pPr>
        <w:spacing w:line="360" w:lineRule="auto"/>
        <w:ind w:left="720"/>
        <w:jc w:val="both"/>
        <w:rPr>
          <w:rFonts w:ascii="David" w:hAnsi="David"/>
          <w:rtl/>
        </w:rPr>
      </w:pPr>
    </w:p>
    <w:p w14:paraId="0CD0CBE7"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6.</w:t>
      </w:r>
      <w:r w:rsidRPr="00F61F94">
        <w:rPr>
          <w:rFonts w:ascii="David" w:hAnsi="David"/>
          <w:rtl/>
        </w:rPr>
        <w:tab/>
        <w:t xml:space="preserve">בהינתן הסדר הטיעון שבמסגרתו התביעה הגבילה עצמה לבקש להטיל על הנאשם 30 חודשי מאסר, ובהתחשב בכך שאינני עומד להטיל על הנאשם עונש חמור מזה שביקשה התביעה, אין מקום לקבוע את מתחם העונש ההולם, באופן שהדבר נעשה כאשר אין הסדר טיעון המתייחס לעונש.  </w:t>
      </w:r>
    </w:p>
    <w:p w14:paraId="412B103E" w14:textId="77777777" w:rsidR="00D10AB8" w:rsidRPr="00F61F94" w:rsidRDefault="00D10AB8" w:rsidP="00D10AB8">
      <w:pPr>
        <w:spacing w:line="360" w:lineRule="auto"/>
        <w:ind w:left="720" w:hanging="720"/>
        <w:jc w:val="both"/>
        <w:rPr>
          <w:rFonts w:ascii="David" w:hAnsi="David"/>
          <w:rtl/>
        </w:rPr>
      </w:pPr>
    </w:p>
    <w:p w14:paraId="2C1B04A0"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7.</w:t>
      </w:r>
      <w:r w:rsidRPr="00F61F94">
        <w:rPr>
          <w:rFonts w:ascii="David" w:hAnsi="David"/>
          <w:rtl/>
        </w:rPr>
        <w:tab/>
        <w:t xml:space="preserve">הנאשם בן 24, נשוי ואב לילד. נעדר עבר פלילי. החל ללמוד במכללת ספיר במחלקה ללימודים רב תחומיים. </w:t>
      </w:r>
    </w:p>
    <w:p w14:paraId="238D2965" w14:textId="77777777" w:rsidR="00D10AB8" w:rsidRPr="00F61F94" w:rsidRDefault="00D10AB8" w:rsidP="00D10AB8">
      <w:pPr>
        <w:spacing w:line="360" w:lineRule="auto"/>
        <w:ind w:left="720" w:hanging="720"/>
        <w:jc w:val="both"/>
        <w:rPr>
          <w:rFonts w:ascii="David" w:hAnsi="David"/>
          <w:rtl/>
        </w:rPr>
      </w:pPr>
    </w:p>
    <w:p w14:paraId="7979D52A"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8.</w:t>
      </w:r>
      <w:r w:rsidRPr="00F61F94">
        <w:rPr>
          <w:rFonts w:ascii="David" w:hAnsi="David"/>
          <w:rtl/>
        </w:rPr>
        <w:tab/>
        <w:t>בגזירת עונשו של הנאשם אני מביא בחשבון את גילו הצעיר; את הפגיעה הצפויה לו ולמשפחתו ממאסרו; את הודאתו; ואת סיכויי שיקומו וכן את עמדת התביעה לעונש.</w:t>
      </w:r>
    </w:p>
    <w:p w14:paraId="51F3A56B" w14:textId="77777777" w:rsidR="00D10AB8" w:rsidRPr="00F61F94" w:rsidRDefault="00D10AB8" w:rsidP="00D10AB8">
      <w:pPr>
        <w:spacing w:line="360" w:lineRule="auto"/>
        <w:ind w:left="720" w:hanging="720"/>
        <w:jc w:val="both"/>
        <w:rPr>
          <w:rFonts w:ascii="David" w:hAnsi="David"/>
          <w:rtl/>
        </w:rPr>
      </w:pPr>
    </w:p>
    <w:p w14:paraId="0B1DC8C6"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9.</w:t>
      </w:r>
      <w:r w:rsidRPr="00F61F94">
        <w:rPr>
          <w:rFonts w:ascii="David" w:hAnsi="David"/>
          <w:rtl/>
        </w:rPr>
        <w:tab/>
        <w:t xml:space="preserve">נשק הפך לסחורה מבוקשת, עוברת לסוחר, שניתן לקבל עבורה מחיר נכבד. המחיר שהתבקש כאן עבור רובה אחד – 80,000 ₪  - נותן מושג על המחזור הכספי המתגלגל בשוק הזה. הפיתוי גדול והוא מניע עבריינים לבצע עבירות כדי להשיג כלי נשק - גניבה מבסיסי צה"ל, רכישה או גניבה מחיילים, התפרצויות למחסני נשק וכיוב', ומניע גם את גלגלי הייצור של כלי הנשק המאולתרים, הניתנים לרכישה בשטחי הרש"פ. </w:t>
      </w:r>
    </w:p>
    <w:p w14:paraId="10AC11AC" w14:textId="77777777" w:rsidR="00D10AB8" w:rsidRPr="00F61F94" w:rsidRDefault="00D10AB8" w:rsidP="00D10AB8">
      <w:pPr>
        <w:spacing w:line="360" w:lineRule="auto"/>
        <w:ind w:left="720" w:hanging="720"/>
        <w:jc w:val="both"/>
        <w:rPr>
          <w:rFonts w:ascii="David" w:hAnsi="David"/>
          <w:rtl/>
        </w:rPr>
      </w:pPr>
    </w:p>
    <w:p w14:paraId="342EC0BD"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10.</w:t>
      </w:r>
      <w:r w:rsidRPr="00F61F94">
        <w:rPr>
          <w:rFonts w:ascii="David" w:hAnsi="David"/>
          <w:rtl/>
        </w:rPr>
        <w:tab/>
        <w:t xml:space="preserve">היקף כלי הנשק המוחזקים שלא כחוק על ידי אזרחים בישראל, הגיע לממדים מדאיגים. וסוגיית  הנשק הבלתי חוקי, על מרכיביה, הפכה לבעיה לאומית. זעקת הציבור – במיוחד בישובים הערביים – עולה לשמים והעיניים נשואות לרשויות אכיפת החוק ובכללן בית המשפט, שיפעילו את הכלים שברשותם למיתון התופעה. </w:t>
      </w:r>
    </w:p>
    <w:p w14:paraId="00A4D08E" w14:textId="77777777" w:rsidR="00D10AB8" w:rsidRDefault="00D10AB8" w:rsidP="00D10AB8">
      <w:pPr>
        <w:spacing w:line="360" w:lineRule="auto"/>
        <w:jc w:val="both"/>
        <w:rPr>
          <w:rFonts w:ascii="David" w:hAnsi="David"/>
          <w:rtl/>
        </w:rPr>
      </w:pPr>
      <w:r w:rsidRPr="00F61F94">
        <w:rPr>
          <w:rFonts w:ascii="David" w:hAnsi="David"/>
          <w:rtl/>
        </w:rPr>
        <w:tab/>
      </w:r>
    </w:p>
    <w:p w14:paraId="4DE18C69" w14:textId="77777777" w:rsidR="00D10AB8" w:rsidRPr="00F61F94" w:rsidRDefault="00D10AB8" w:rsidP="00D10AB8">
      <w:pPr>
        <w:spacing w:line="360" w:lineRule="auto"/>
        <w:jc w:val="both"/>
        <w:rPr>
          <w:rFonts w:ascii="David" w:hAnsi="David"/>
          <w:rtl/>
        </w:rPr>
      </w:pPr>
      <w:r w:rsidRPr="00F61F94">
        <w:rPr>
          <w:rFonts w:ascii="David" w:hAnsi="David"/>
          <w:rtl/>
        </w:rPr>
        <w:t xml:space="preserve"> </w:t>
      </w:r>
    </w:p>
    <w:p w14:paraId="60D47428" w14:textId="77777777" w:rsidR="00D10AB8" w:rsidRPr="00F61F94" w:rsidRDefault="00D10AB8" w:rsidP="00D10AB8">
      <w:pPr>
        <w:spacing w:line="360" w:lineRule="auto"/>
        <w:ind w:left="720" w:hanging="720"/>
        <w:jc w:val="both"/>
        <w:rPr>
          <w:rFonts w:ascii="David" w:hAnsi="David"/>
          <w:rtl/>
          <w:lang w:eastAsia="he-IL"/>
        </w:rPr>
      </w:pPr>
      <w:r w:rsidRPr="00F61F94">
        <w:rPr>
          <w:rFonts w:ascii="David" w:hAnsi="David"/>
          <w:rtl/>
          <w:lang w:eastAsia="he-IL"/>
        </w:rPr>
        <w:t>11.</w:t>
      </w:r>
      <w:r w:rsidRPr="00F61F94">
        <w:rPr>
          <w:rFonts w:ascii="David" w:hAnsi="David"/>
          <w:rtl/>
          <w:lang w:eastAsia="he-IL"/>
        </w:rPr>
        <w:tab/>
        <w:t xml:space="preserve">אל מול גודל הפיתוי, קולת המעשה, והסכנות הרבות והגדולות הכרוכות בדבר, חייבים להציב ענישה חמורה, שיהיה בה כדי להרתיע מפני ביצוע העבירה. ידעו כל אלה שהרעיון עובר בראשם כי אם יבצעו את זממם יד החוק תכבד עליהם והם יענשו בכל חומר הדין, גם אם זו הסתבכותם הראשונה עם החוק. מי שירחם על אכזרים סופו להתאכזר על הרחמנים. בעבירה חמורה ומסוכנת שכזו יש לתת את הבכורה לשלום הציבור ולדחוק הצידה את ההתחשבות בנסיבות הנאשם. </w:t>
      </w:r>
    </w:p>
    <w:p w14:paraId="517909EE" w14:textId="77777777" w:rsidR="00D10AB8" w:rsidRPr="00F61F94" w:rsidRDefault="00D10AB8" w:rsidP="00D10AB8">
      <w:pPr>
        <w:spacing w:line="360" w:lineRule="auto"/>
        <w:ind w:left="720" w:hanging="720"/>
        <w:jc w:val="both"/>
        <w:rPr>
          <w:rFonts w:ascii="David" w:hAnsi="David"/>
          <w:rtl/>
          <w:lang w:eastAsia="he-IL"/>
        </w:rPr>
      </w:pPr>
    </w:p>
    <w:p w14:paraId="2B7EE2C7" w14:textId="77777777" w:rsidR="00D10AB8" w:rsidRPr="00F61F94" w:rsidRDefault="00D10AB8" w:rsidP="00D10AB8">
      <w:pPr>
        <w:spacing w:line="360" w:lineRule="auto"/>
        <w:ind w:left="720" w:hanging="720"/>
        <w:jc w:val="both"/>
        <w:rPr>
          <w:rFonts w:ascii="David" w:hAnsi="David"/>
          <w:rtl/>
          <w:lang w:eastAsia="he-IL"/>
        </w:rPr>
      </w:pPr>
      <w:r w:rsidRPr="00F61F94">
        <w:rPr>
          <w:rFonts w:ascii="David" w:hAnsi="David"/>
          <w:rtl/>
          <w:lang w:eastAsia="he-IL"/>
        </w:rPr>
        <w:t>12.</w:t>
      </w:r>
      <w:r w:rsidRPr="00F61F94">
        <w:rPr>
          <w:rFonts w:ascii="David" w:hAnsi="David"/>
          <w:rtl/>
          <w:lang w:eastAsia="he-IL"/>
        </w:rPr>
        <w:tab/>
        <w:t xml:space="preserve">לולא הסדר הטיעון, העונש הראוי לנאשם היה 3 שנות מאסר בפועל. נוכח הסדר הטיעון, הנאשם יקבל עונש נמוך מזה הראוי לו. אינני מוצא עילה להקל עם הנאשם מעבר לכך. </w:t>
      </w:r>
    </w:p>
    <w:p w14:paraId="3DCEB4AD" w14:textId="77777777" w:rsidR="00D10AB8" w:rsidRPr="00F61F94" w:rsidRDefault="00D10AB8" w:rsidP="00D10AB8">
      <w:pPr>
        <w:spacing w:line="360" w:lineRule="auto"/>
        <w:ind w:left="720" w:hanging="720"/>
        <w:jc w:val="both"/>
        <w:rPr>
          <w:rFonts w:ascii="David" w:hAnsi="David"/>
          <w:rtl/>
          <w:lang w:eastAsia="he-IL"/>
        </w:rPr>
      </w:pPr>
    </w:p>
    <w:p w14:paraId="3DF61628" w14:textId="77777777" w:rsidR="00D10AB8" w:rsidRDefault="00D10AB8" w:rsidP="00D10AB8">
      <w:pPr>
        <w:spacing w:line="360" w:lineRule="auto"/>
        <w:ind w:left="720" w:hanging="720"/>
        <w:jc w:val="both"/>
        <w:rPr>
          <w:rFonts w:ascii="David" w:hAnsi="David"/>
          <w:rtl/>
        </w:rPr>
      </w:pPr>
      <w:r w:rsidRPr="00F61F94">
        <w:rPr>
          <w:rFonts w:ascii="David" w:hAnsi="David"/>
          <w:rtl/>
        </w:rPr>
        <w:t xml:space="preserve">13. </w:t>
      </w:r>
      <w:r w:rsidRPr="00F61F94">
        <w:rPr>
          <w:rFonts w:ascii="David" w:hAnsi="David"/>
          <w:rtl/>
        </w:rPr>
        <w:tab/>
        <w:t>בהתחשב בכל האמור, אני גוזר על הנאשם את  העונשים הבאים:</w:t>
      </w:r>
    </w:p>
    <w:p w14:paraId="24BCD70C" w14:textId="77777777" w:rsidR="00D10AB8" w:rsidRPr="00F61F94" w:rsidRDefault="00D10AB8" w:rsidP="00D10AB8">
      <w:pPr>
        <w:spacing w:line="360" w:lineRule="auto"/>
        <w:ind w:left="720" w:hanging="720"/>
        <w:jc w:val="both"/>
        <w:rPr>
          <w:rFonts w:ascii="David" w:hAnsi="David"/>
          <w:rtl/>
        </w:rPr>
      </w:pPr>
    </w:p>
    <w:p w14:paraId="7B92AB04" w14:textId="77777777" w:rsidR="00D10AB8" w:rsidRPr="00F61F94" w:rsidRDefault="00D10AB8" w:rsidP="00D10AB8">
      <w:pPr>
        <w:spacing w:line="360" w:lineRule="auto"/>
        <w:ind w:left="1440" w:hanging="720"/>
        <w:jc w:val="both"/>
        <w:rPr>
          <w:rFonts w:ascii="David" w:hAnsi="David"/>
          <w:rtl/>
        </w:rPr>
      </w:pPr>
      <w:r w:rsidRPr="00F61F94">
        <w:rPr>
          <w:rFonts w:ascii="David" w:hAnsi="David"/>
          <w:rtl/>
        </w:rPr>
        <w:t>א.</w:t>
      </w:r>
      <w:r w:rsidRPr="00F61F94">
        <w:rPr>
          <w:rFonts w:ascii="David" w:hAnsi="David"/>
          <w:rtl/>
        </w:rPr>
        <w:tab/>
        <w:t xml:space="preserve">30 חודשי מאסר בפועל, בניכוי ימי מעצרו. </w:t>
      </w:r>
    </w:p>
    <w:p w14:paraId="44B7B97B" w14:textId="77777777" w:rsidR="00D10AB8" w:rsidRPr="00F61F94" w:rsidRDefault="00D10AB8" w:rsidP="00D10AB8">
      <w:pPr>
        <w:spacing w:line="360" w:lineRule="auto"/>
        <w:ind w:left="1440" w:hanging="720"/>
        <w:jc w:val="both"/>
        <w:rPr>
          <w:rFonts w:ascii="David" w:hAnsi="David"/>
          <w:rtl/>
        </w:rPr>
      </w:pPr>
      <w:r w:rsidRPr="00F61F94">
        <w:rPr>
          <w:rFonts w:ascii="David" w:hAnsi="David"/>
          <w:rtl/>
        </w:rPr>
        <w:t>ב.</w:t>
      </w:r>
      <w:r w:rsidRPr="00F61F94">
        <w:rPr>
          <w:rFonts w:ascii="David" w:hAnsi="David"/>
          <w:rtl/>
        </w:rPr>
        <w:tab/>
        <w:t>12 חודשי מאסר על תנאי למשך שלוש שנים מיום שחרורו מהמאסר, שלא יעבור עבירת נשק המסווגת כפשע.</w:t>
      </w:r>
    </w:p>
    <w:p w14:paraId="5753756E" w14:textId="77777777" w:rsidR="00D10AB8" w:rsidRPr="00F61F94" w:rsidRDefault="00D10AB8" w:rsidP="00D10AB8">
      <w:pPr>
        <w:spacing w:line="360" w:lineRule="auto"/>
        <w:ind w:left="1440" w:hanging="720"/>
        <w:jc w:val="both"/>
        <w:rPr>
          <w:rFonts w:ascii="David" w:hAnsi="David"/>
          <w:rtl/>
        </w:rPr>
      </w:pPr>
      <w:r w:rsidRPr="00F61F94">
        <w:rPr>
          <w:rFonts w:ascii="David" w:hAnsi="David"/>
          <w:rtl/>
        </w:rPr>
        <w:t>ג.</w:t>
      </w:r>
      <w:r w:rsidRPr="00F61F94">
        <w:rPr>
          <w:rFonts w:ascii="David" w:hAnsi="David"/>
          <w:rtl/>
        </w:rPr>
        <w:tab/>
        <w:t xml:space="preserve">קנס בסך 15,000 ₪ או 45 ימי מאסר תחתיו. </w:t>
      </w:r>
    </w:p>
    <w:p w14:paraId="37CCDD52" w14:textId="77777777" w:rsidR="00D10AB8" w:rsidRPr="00F61F94" w:rsidRDefault="00D10AB8" w:rsidP="00D10AB8">
      <w:pPr>
        <w:spacing w:line="360" w:lineRule="auto"/>
        <w:ind w:left="1440" w:hanging="720"/>
        <w:jc w:val="both"/>
        <w:rPr>
          <w:rFonts w:ascii="David" w:hAnsi="David"/>
          <w:rtl/>
        </w:rPr>
      </w:pPr>
      <w:r w:rsidRPr="00F61F94">
        <w:rPr>
          <w:rFonts w:ascii="David" w:hAnsi="David"/>
          <w:rtl/>
        </w:rPr>
        <w:t>ד.</w:t>
      </w:r>
      <w:r w:rsidRPr="00F61F94">
        <w:rPr>
          <w:rFonts w:ascii="David" w:hAnsi="David"/>
          <w:rtl/>
        </w:rPr>
        <w:tab/>
        <w:t xml:space="preserve">רכב מסוג פורד פוקוס מ.ר. 1728376 יחולט לטובת המדינה. </w:t>
      </w:r>
    </w:p>
    <w:p w14:paraId="49535CE5" w14:textId="77777777" w:rsidR="00D10AB8" w:rsidRPr="00D01033" w:rsidRDefault="00D01033" w:rsidP="00D10AB8">
      <w:pPr>
        <w:spacing w:line="360" w:lineRule="auto"/>
        <w:ind w:left="1440" w:hanging="720"/>
        <w:jc w:val="both"/>
        <w:rPr>
          <w:rFonts w:ascii="David" w:hAnsi="David"/>
          <w:color w:val="FFFFFF"/>
          <w:sz w:val="2"/>
          <w:szCs w:val="2"/>
          <w:rtl/>
        </w:rPr>
      </w:pPr>
      <w:r w:rsidRPr="00D01033">
        <w:rPr>
          <w:rFonts w:ascii="David" w:hAnsi="David"/>
          <w:color w:val="FFFFFF"/>
          <w:sz w:val="2"/>
          <w:szCs w:val="2"/>
          <w:rtl/>
        </w:rPr>
        <w:t>5129371</w:t>
      </w:r>
    </w:p>
    <w:p w14:paraId="1E1F8952" w14:textId="77777777" w:rsidR="00D10AB8" w:rsidRPr="00D01033" w:rsidRDefault="00D01033" w:rsidP="00D10AB8">
      <w:pPr>
        <w:spacing w:line="360" w:lineRule="auto"/>
        <w:jc w:val="both"/>
        <w:rPr>
          <w:rFonts w:ascii="David" w:hAnsi="David"/>
          <w:color w:val="FFFFFF"/>
          <w:sz w:val="2"/>
          <w:szCs w:val="2"/>
          <w:rtl/>
        </w:rPr>
      </w:pPr>
      <w:r w:rsidRPr="00D01033">
        <w:rPr>
          <w:rFonts w:ascii="David" w:hAnsi="David"/>
          <w:color w:val="FFFFFF"/>
          <w:sz w:val="2"/>
          <w:szCs w:val="2"/>
          <w:rtl/>
        </w:rPr>
        <w:t>54678313</w:t>
      </w:r>
    </w:p>
    <w:p w14:paraId="3AE3D73F" w14:textId="77777777" w:rsidR="00D10AB8" w:rsidRPr="00F61F94" w:rsidRDefault="00D10AB8" w:rsidP="00D10AB8">
      <w:pPr>
        <w:spacing w:line="360" w:lineRule="auto"/>
        <w:jc w:val="both"/>
        <w:rPr>
          <w:rFonts w:ascii="David" w:hAnsi="David"/>
          <w:b/>
          <w:bCs/>
          <w:rtl/>
        </w:rPr>
      </w:pPr>
      <w:r w:rsidRPr="00F61F94">
        <w:rPr>
          <w:rFonts w:ascii="David" w:hAnsi="David"/>
          <w:b/>
          <w:bCs/>
          <w:rtl/>
        </w:rPr>
        <w:t>זכות ערעור תוך 45 יום.</w:t>
      </w:r>
    </w:p>
    <w:p w14:paraId="51C5582A" w14:textId="77777777" w:rsidR="00D10AB8" w:rsidRPr="00F61F94" w:rsidRDefault="00D10AB8" w:rsidP="00D10AB8">
      <w:pPr>
        <w:spacing w:line="360" w:lineRule="auto"/>
        <w:jc w:val="both"/>
        <w:rPr>
          <w:rFonts w:ascii="David" w:hAnsi="David"/>
          <w:rtl/>
        </w:rPr>
      </w:pPr>
    </w:p>
    <w:p w14:paraId="1AD419A7" w14:textId="77777777" w:rsidR="00D10AB8" w:rsidRPr="00F61F94" w:rsidRDefault="00D10AB8" w:rsidP="00D10AB8">
      <w:pPr>
        <w:spacing w:line="360" w:lineRule="auto"/>
        <w:jc w:val="both"/>
        <w:rPr>
          <w:rFonts w:ascii="David" w:hAnsi="David"/>
          <w:rtl/>
        </w:rPr>
      </w:pPr>
    </w:p>
    <w:p w14:paraId="55E8DFB4" w14:textId="77777777" w:rsidR="00DB46DE" w:rsidRPr="00D01033" w:rsidRDefault="00D01033" w:rsidP="00D01033">
      <w:pPr>
        <w:keepNext/>
        <w:rPr>
          <w:rFonts w:ascii="David" w:hAnsi="David"/>
          <w:color w:val="000000"/>
          <w:sz w:val="22"/>
          <w:szCs w:val="22"/>
        </w:rPr>
      </w:pPr>
      <w:bookmarkStart w:id="8" w:name="Nitan"/>
      <w:r>
        <w:rPr>
          <w:rFonts w:ascii="David" w:hAnsi="David"/>
          <w:b/>
          <w:bCs/>
          <w:rtl/>
        </w:rPr>
        <w:t xml:space="preserve">ניתן היום,  כ"ד כסלו תש"פ, 22 דצמבר 2019, בנוכחות הצדדים. </w:t>
      </w:r>
      <w:bookmarkEnd w:id="8"/>
    </w:p>
    <w:p w14:paraId="61DAD388" w14:textId="77777777" w:rsidR="00D01033" w:rsidRPr="00D01033" w:rsidRDefault="00D01033" w:rsidP="00D01033">
      <w:pPr>
        <w:keepNext/>
        <w:rPr>
          <w:rFonts w:ascii="David" w:hAnsi="David"/>
          <w:color w:val="000000"/>
          <w:sz w:val="22"/>
          <w:szCs w:val="22"/>
          <w:rtl/>
        </w:rPr>
      </w:pPr>
      <w:r w:rsidRPr="00D01033">
        <w:rPr>
          <w:rFonts w:ascii="David" w:hAnsi="David"/>
          <w:color w:val="000000"/>
          <w:sz w:val="22"/>
          <w:szCs w:val="22"/>
          <w:rtl/>
        </w:rPr>
        <w:t>אליהו ביתן 54678313</w:t>
      </w:r>
    </w:p>
    <w:p w14:paraId="22F1EBC3" w14:textId="77777777" w:rsidR="00D01033" w:rsidRDefault="00D01033" w:rsidP="00D01033">
      <w:r w:rsidRPr="00D01033">
        <w:rPr>
          <w:color w:val="000000"/>
          <w:rtl/>
        </w:rPr>
        <w:t>נוסח מסמך זה כפוף לשינויי ניסוח ועריכה</w:t>
      </w:r>
    </w:p>
    <w:p w14:paraId="35EE6C23" w14:textId="77777777" w:rsidR="00D01033" w:rsidRDefault="00D01033" w:rsidP="00D01033">
      <w:pPr>
        <w:rPr>
          <w:rtl/>
        </w:rPr>
      </w:pPr>
    </w:p>
    <w:p w14:paraId="16B73B75" w14:textId="77777777" w:rsidR="00D01033" w:rsidRDefault="00D01033" w:rsidP="00D0103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0E70A896" w14:textId="77777777" w:rsidR="00D01033" w:rsidRPr="00D01033" w:rsidRDefault="00D01033" w:rsidP="00D01033">
      <w:pPr>
        <w:jc w:val="center"/>
        <w:rPr>
          <w:color w:val="0000FF"/>
          <w:u w:val="single"/>
        </w:rPr>
      </w:pPr>
    </w:p>
    <w:sectPr w:rsidR="00D01033" w:rsidRPr="00D01033" w:rsidSect="00D01033">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185B0" w14:textId="77777777" w:rsidR="00EE43CF" w:rsidRDefault="00EE43CF" w:rsidP="00EB1124">
      <w:r>
        <w:separator/>
      </w:r>
    </w:p>
  </w:endnote>
  <w:endnote w:type="continuationSeparator" w:id="0">
    <w:p w14:paraId="611CAAF3" w14:textId="77777777" w:rsidR="00EE43CF" w:rsidRDefault="00EE43CF" w:rsidP="00EB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5C8B9" w14:textId="77777777" w:rsidR="00B448A1" w:rsidRDefault="00B448A1" w:rsidP="00D010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E2398B" w14:textId="77777777" w:rsidR="00B448A1" w:rsidRPr="00D01033" w:rsidRDefault="00B448A1" w:rsidP="00D0103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07FA2" w14:textId="77777777" w:rsidR="00B448A1" w:rsidRDefault="00B448A1" w:rsidP="00D010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0C2E">
      <w:rPr>
        <w:rFonts w:ascii="FrankRuehl" w:hAnsi="FrankRuehl" w:cs="FrankRuehl"/>
        <w:noProof/>
        <w:rtl/>
      </w:rPr>
      <w:t>1</w:t>
    </w:r>
    <w:r>
      <w:rPr>
        <w:rFonts w:ascii="FrankRuehl" w:hAnsi="FrankRuehl" w:cs="FrankRuehl"/>
        <w:rtl/>
      </w:rPr>
      <w:fldChar w:fldCharType="end"/>
    </w:r>
  </w:p>
  <w:p w14:paraId="64AD3E85" w14:textId="77777777" w:rsidR="00B448A1" w:rsidRPr="00D01033" w:rsidRDefault="00B448A1" w:rsidP="00D0103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DC33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DDE73" w14:textId="77777777" w:rsidR="00EE43CF" w:rsidRDefault="00EE43CF" w:rsidP="00EB1124">
      <w:r>
        <w:separator/>
      </w:r>
    </w:p>
  </w:footnote>
  <w:footnote w:type="continuationSeparator" w:id="0">
    <w:p w14:paraId="4FDFF6CF" w14:textId="77777777" w:rsidR="00EE43CF" w:rsidRDefault="00EE43CF" w:rsidP="00EB1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CF80" w14:textId="77777777" w:rsidR="00B448A1" w:rsidRPr="00D01033" w:rsidRDefault="00B448A1" w:rsidP="00D010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27929-03-19</w:t>
    </w:r>
    <w:r>
      <w:rPr>
        <w:rFonts w:ascii="David" w:hAnsi="David"/>
        <w:color w:val="000000"/>
        <w:sz w:val="22"/>
        <w:szCs w:val="22"/>
        <w:rtl/>
      </w:rPr>
      <w:tab/>
      <w:t xml:space="preserve"> מדינת ישראל נ' עימאד אבו כף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3D3FF" w14:textId="77777777" w:rsidR="00B448A1" w:rsidRPr="00D01033" w:rsidRDefault="00B448A1" w:rsidP="00D010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27929-03-19</w:t>
    </w:r>
    <w:r>
      <w:rPr>
        <w:rFonts w:ascii="David" w:hAnsi="David"/>
        <w:color w:val="000000"/>
        <w:sz w:val="22"/>
        <w:szCs w:val="22"/>
        <w:rtl/>
      </w:rPr>
      <w:tab/>
      <w:t xml:space="preserve"> מדינת ישראל נ' עימאד אבו כף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0AB8"/>
    <w:rsid w:val="0002243F"/>
    <w:rsid w:val="0004400C"/>
    <w:rsid w:val="000523A6"/>
    <w:rsid w:val="00127D27"/>
    <w:rsid w:val="00294C2D"/>
    <w:rsid w:val="00601CCC"/>
    <w:rsid w:val="00726D08"/>
    <w:rsid w:val="0088421F"/>
    <w:rsid w:val="008D738D"/>
    <w:rsid w:val="00AF0C2E"/>
    <w:rsid w:val="00B448A1"/>
    <w:rsid w:val="00B85F95"/>
    <w:rsid w:val="00CB63BD"/>
    <w:rsid w:val="00D01033"/>
    <w:rsid w:val="00D10AB8"/>
    <w:rsid w:val="00D9145A"/>
    <w:rsid w:val="00DB46DE"/>
    <w:rsid w:val="00EB1124"/>
    <w:rsid w:val="00EE43CF"/>
    <w:rsid w:val="00F941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379353"/>
  <w15:chartTrackingRefBased/>
  <w15:docId w15:val="{BF07C3CF-FD04-45D8-91C8-26E4C153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0A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0AB8"/>
    <w:pPr>
      <w:tabs>
        <w:tab w:val="center" w:pos="4153"/>
        <w:tab w:val="right" w:pos="8306"/>
      </w:tabs>
    </w:pPr>
  </w:style>
  <w:style w:type="character" w:customStyle="1" w:styleId="a4">
    <w:name w:val="כותרת עליונה תו"/>
    <w:link w:val="a3"/>
    <w:rsid w:val="00D10AB8"/>
    <w:rPr>
      <w:rFonts w:ascii="Times New Roman" w:eastAsia="Times New Roman" w:hAnsi="Times New Roman" w:cs="David"/>
      <w:sz w:val="24"/>
      <w:szCs w:val="24"/>
    </w:rPr>
  </w:style>
  <w:style w:type="paragraph" w:styleId="a5">
    <w:name w:val="footer"/>
    <w:basedOn w:val="a"/>
    <w:link w:val="a6"/>
    <w:rsid w:val="00D10AB8"/>
    <w:pPr>
      <w:tabs>
        <w:tab w:val="center" w:pos="4153"/>
        <w:tab w:val="right" w:pos="8306"/>
      </w:tabs>
    </w:pPr>
  </w:style>
  <w:style w:type="character" w:customStyle="1" w:styleId="a6">
    <w:name w:val="כותרת תחתונה תו"/>
    <w:link w:val="a5"/>
    <w:rsid w:val="00D10AB8"/>
    <w:rPr>
      <w:rFonts w:ascii="Times New Roman" w:eastAsia="Times New Roman" w:hAnsi="Times New Roman" w:cs="David"/>
      <w:sz w:val="24"/>
      <w:szCs w:val="24"/>
    </w:rPr>
  </w:style>
  <w:style w:type="table" w:styleId="a7">
    <w:name w:val="Table Grid"/>
    <w:basedOn w:val="a1"/>
    <w:rsid w:val="00D10A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0AB8"/>
  </w:style>
  <w:style w:type="character" w:styleId="Hyperlink">
    <w:name w:val="Hyperlink"/>
    <w:rsid w:val="00D0103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case/25268053" TargetMode="External"/><Relationship Id="rId26" Type="http://schemas.openxmlformats.org/officeDocument/2006/relationships/hyperlink" Target="http://www.nevo.co.il/case/6000182" TargetMode="External"/><Relationship Id="rId39" Type="http://schemas.openxmlformats.org/officeDocument/2006/relationships/header" Target="header1.xml"/><Relationship Id="rId21" Type="http://schemas.openxmlformats.org/officeDocument/2006/relationships/hyperlink" Target="http://www.nevo.co.il/case/5821327" TargetMode="External"/><Relationship Id="rId34" Type="http://schemas.openxmlformats.org/officeDocument/2006/relationships/hyperlink" Target="http://www.nevo.co.il/case/22006503" TargetMode="External"/><Relationship Id="rId42" Type="http://schemas.openxmlformats.org/officeDocument/2006/relationships/footer" Target="footer2.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7791493" TargetMode="External"/><Relationship Id="rId29" Type="http://schemas.openxmlformats.org/officeDocument/2006/relationships/hyperlink" Target="http://www.nevo.co.il/case/6473037"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0817891" TargetMode="External"/><Relationship Id="rId32" Type="http://schemas.openxmlformats.org/officeDocument/2006/relationships/hyperlink" Target="http://www.nevo.co.il/case/6000182" TargetMode="External"/><Relationship Id="rId37" Type="http://schemas.openxmlformats.org/officeDocument/2006/relationships/hyperlink" Target="http://www.nevo.co.il/case/23750625"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6824952" TargetMode="External"/><Relationship Id="rId36" Type="http://schemas.openxmlformats.org/officeDocument/2006/relationships/hyperlink" Target="http://www.nevo.co.il/case/25585373"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case/5852404"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1" TargetMode="External"/><Relationship Id="rId14" Type="http://schemas.openxmlformats.org/officeDocument/2006/relationships/hyperlink" Target="http://www.nevo.co.il/law/70301/25" TargetMode="External"/><Relationship Id="rId22" Type="http://schemas.openxmlformats.org/officeDocument/2006/relationships/hyperlink" Target="http://www.nevo.co.il/case/5594385" TargetMode="External"/><Relationship Id="rId27" Type="http://schemas.openxmlformats.org/officeDocument/2006/relationships/hyperlink" Target="http://www.nevo.co.il/case/13093744" TargetMode="External"/><Relationship Id="rId30" Type="http://schemas.openxmlformats.org/officeDocument/2006/relationships/hyperlink" Target="http://www.nevo.co.il/case/21771409" TargetMode="External"/><Relationship Id="rId35" Type="http://schemas.openxmlformats.org/officeDocument/2006/relationships/hyperlink" Target="http://www.nevo.co.il/case/6949290" TargetMode="External"/><Relationship Id="rId43" Type="http://schemas.openxmlformats.org/officeDocument/2006/relationships/fontTable" Target="fontTable.xml"/><Relationship Id="rId8" Type="http://schemas.openxmlformats.org/officeDocument/2006/relationships/hyperlink" Target="http://www.nevo.co.il/law/70301/29" TargetMode="Externa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17954222" TargetMode="External"/><Relationship Id="rId33" Type="http://schemas.openxmlformats.org/officeDocument/2006/relationships/hyperlink" Target="http://www.nevo.co.il/case/572436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3291</Words>
  <Characters>16458</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19710</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3604596</vt:i4>
      </vt:variant>
      <vt:variant>
        <vt:i4>96</vt:i4>
      </vt:variant>
      <vt:variant>
        <vt:i4>0</vt:i4>
      </vt:variant>
      <vt:variant>
        <vt:i4>5</vt:i4>
      </vt:variant>
      <vt:variant>
        <vt:lpwstr>http://www.nevo.co.il/case/23750625</vt:lpwstr>
      </vt:variant>
      <vt:variant>
        <vt:lpwstr/>
      </vt:variant>
      <vt:variant>
        <vt:i4>3473530</vt:i4>
      </vt:variant>
      <vt:variant>
        <vt:i4>93</vt:i4>
      </vt:variant>
      <vt:variant>
        <vt:i4>0</vt:i4>
      </vt:variant>
      <vt:variant>
        <vt:i4>5</vt:i4>
      </vt:variant>
      <vt:variant>
        <vt:lpwstr>http://www.nevo.co.il/case/25585373</vt:lpwstr>
      </vt:variant>
      <vt:variant>
        <vt:lpwstr/>
      </vt:variant>
      <vt:variant>
        <vt:i4>3145853</vt:i4>
      </vt:variant>
      <vt:variant>
        <vt:i4>90</vt:i4>
      </vt:variant>
      <vt:variant>
        <vt:i4>0</vt:i4>
      </vt:variant>
      <vt:variant>
        <vt:i4>5</vt:i4>
      </vt:variant>
      <vt:variant>
        <vt:lpwstr>http://www.nevo.co.il/case/6949290</vt:lpwstr>
      </vt:variant>
      <vt:variant>
        <vt:lpwstr/>
      </vt:variant>
      <vt:variant>
        <vt:i4>3407987</vt:i4>
      </vt:variant>
      <vt:variant>
        <vt:i4>87</vt:i4>
      </vt:variant>
      <vt:variant>
        <vt:i4>0</vt:i4>
      </vt:variant>
      <vt:variant>
        <vt:i4>5</vt:i4>
      </vt:variant>
      <vt:variant>
        <vt:lpwstr>http://www.nevo.co.il/case/22006503</vt:lpwstr>
      </vt:variant>
      <vt:variant>
        <vt:lpwstr/>
      </vt:variant>
      <vt:variant>
        <vt:i4>3145841</vt:i4>
      </vt:variant>
      <vt:variant>
        <vt:i4>84</vt:i4>
      </vt:variant>
      <vt:variant>
        <vt:i4>0</vt:i4>
      </vt:variant>
      <vt:variant>
        <vt:i4>5</vt:i4>
      </vt:variant>
      <vt:variant>
        <vt:lpwstr>http://www.nevo.co.il/case/5724364</vt:lpwstr>
      </vt:variant>
      <vt:variant>
        <vt:lpwstr/>
      </vt:variant>
      <vt:variant>
        <vt:i4>3539068</vt:i4>
      </vt:variant>
      <vt:variant>
        <vt:i4>81</vt:i4>
      </vt:variant>
      <vt:variant>
        <vt:i4>0</vt:i4>
      </vt:variant>
      <vt:variant>
        <vt:i4>5</vt:i4>
      </vt:variant>
      <vt:variant>
        <vt:lpwstr>http://www.nevo.co.il/case/5878682</vt:lpwstr>
      </vt:variant>
      <vt:variant>
        <vt:lpwstr/>
      </vt:variant>
      <vt:variant>
        <vt:i4>3473532</vt:i4>
      </vt:variant>
      <vt:variant>
        <vt:i4>78</vt:i4>
      </vt:variant>
      <vt:variant>
        <vt:i4>0</vt:i4>
      </vt:variant>
      <vt:variant>
        <vt:i4>5</vt:i4>
      </vt:variant>
      <vt:variant>
        <vt:lpwstr>http://www.nevo.co.il/case/6000182</vt:lpwstr>
      </vt:variant>
      <vt:variant>
        <vt:lpwstr/>
      </vt:variant>
      <vt:variant>
        <vt:i4>3145854</vt:i4>
      </vt:variant>
      <vt:variant>
        <vt:i4>75</vt:i4>
      </vt:variant>
      <vt:variant>
        <vt:i4>0</vt:i4>
      </vt:variant>
      <vt:variant>
        <vt:i4>5</vt:i4>
      </vt:variant>
      <vt:variant>
        <vt:lpwstr>http://www.nevo.co.il/case/5852404</vt:lpwstr>
      </vt:variant>
      <vt:variant>
        <vt:lpwstr/>
      </vt:variant>
      <vt:variant>
        <vt:i4>3407990</vt:i4>
      </vt:variant>
      <vt:variant>
        <vt:i4>72</vt:i4>
      </vt:variant>
      <vt:variant>
        <vt:i4>0</vt:i4>
      </vt:variant>
      <vt:variant>
        <vt:i4>5</vt:i4>
      </vt:variant>
      <vt:variant>
        <vt:lpwstr>http://www.nevo.co.il/case/21771409</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4128893</vt:i4>
      </vt:variant>
      <vt:variant>
        <vt:i4>66</vt:i4>
      </vt:variant>
      <vt:variant>
        <vt:i4>0</vt:i4>
      </vt:variant>
      <vt:variant>
        <vt:i4>5</vt:i4>
      </vt:variant>
      <vt:variant>
        <vt:lpwstr>http://www.nevo.co.il/case/6824952</vt:lpwstr>
      </vt:variant>
      <vt:variant>
        <vt:lpwstr/>
      </vt:variant>
      <vt:variant>
        <vt:i4>3539065</vt:i4>
      </vt:variant>
      <vt:variant>
        <vt:i4>63</vt:i4>
      </vt:variant>
      <vt:variant>
        <vt:i4>0</vt:i4>
      </vt:variant>
      <vt:variant>
        <vt:i4>5</vt:i4>
      </vt:variant>
      <vt:variant>
        <vt:lpwstr>http://www.nevo.co.il/case/13093744</vt:lpwstr>
      </vt:variant>
      <vt:variant>
        <vt:lpwstr/>
      </vt:variant>
      <vt:variant>
        <vt:i4>3473532</vt:i4>
      </vt:variant>
      <vt:variant>
        <vt:i4>60</vt:i4>
      </vt:variant>
      <vt:variant>
        <vt:i4>0</vt:i4>
      </vt:variant>
      <vt:variant>
        <vt:i4>5</vt:i4>
      </vt:variant>
      <vt:variant>
        <vt:lpwstr>http://www.nevo.co.il/case/6000182</vt:lpwstr>
      </vt:variant>
      <vt:variant>
        <vt:lpwstr/>
      </vt:variant>
      <vt:variant>
        <vt:i4>4063348</vt:i4>
      </vt:variant>
      <vt:variant>
        <vt:i4>57</vt:i4>
      </vt:variant>
      <vt:variant>
        <vt:i4>0</vt:i4>
      </vt:variant>
      <vt:variant>
        <vt:i4>5</vt:i4>
      </vt:variant>
      <vt:variant>
        <vt:lpwstr>http://www.nevo.co.il/case/17954222</vt:lpwstr>
      </vt:variant>
      <vt:variant>
        <vt:lpwstr/>
      </vt:variant>
      <vt:variant>
        <vt:i4>3407997</vt:i4>
      </vt:variant>
      <vt:variant>
        <vt:i4>54</vt:i4>
      </vt:variant>
      <vt:variant>
        <vt:i4>0</vt:i4>
      </vt:variant>
      <vt:variant>
        <vt:i4>5</vt:i4>
      </vt:variant>
      <vt:variant>
        <vt:lpwstr>http://www.nevo.co.il/case/20817891</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3801213</vt:i4>
      </vt:variant>
      <vt:variant>
        <vt:i4>48</vt:i4>
      </vt:variant>
      <vt:variant>
        <vt:i4>0</vt:i4>
      </vt:variant>
      <vt:variant>
        <vt:i4>5</vt:i4>
      </vt:variant>
      <vt:variant>
        <vt:lpwstr>http://www.nevo.co.il/case/5594385</vt:lpwstr>
      </vt:variant>
      <vt:variant>
        <vt:lpwstr/>
      </vt:variant>
      <vt:variant>
        <vt:i4>3342463</vt:i4>
      </vt:variant>
      <vt:variant>
        <vt:i4>45</vt:i4>
      </vt:variant>
      <vt:variant>
        <vt:i4>0</vt:i4>
      </vt:variant>
      <vt:variant>
        <vt:i4>5</vt:i4>
      </vt:variant>
      <vt:variant>
        <vt:lpwstr>http://www.nevo.co.il/case/5821327</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3997815</vt:i4>
      </vt:variant>
      <vt:variant>
        <vt:i4>36</vt:i4>
      </vt:variant>
      <vt:variant>
        <vt:i4>0</vt:i4>
      </vt:variant>
      <vt:variant>
        <vt:i4>5</vt:i4>
      </vt:variant>
      <vt:variant>
        <vt:lpwstr>http://www.nevo.co.il/case/25268053</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2023-12-07T12:15:00Z</dcterms:created>
  <dcterms:modified xsi:type="dcterms:W3CDTF">2023-12-07T12:15:00Z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27929</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עימאד אבו כף</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20191222</vt:lpwstr>
  </property>
  <property fmtid="{D5CDD505-2E9C-101B-9397-08002B2CF9AE}" pid="13" name="TYPE_N_DATE">
    <vt:lpwstr>39020191222</vt:lpwstr>
  </property>
  <property fmtid="{D5CDD505-2E9C-101B-9397-08002B2CF9AE}" pid="14" name="WORDNUMPAGES">
    <vt:lpwstr>10</vt:lpwstr>
  </property>
  <property fmtid="{D5CDD505-2E9C-101B-9397-08002B2CF9AE}" pid="15" name="TYPE_ABS_DATE">
    <vt:lpwstr>390120191222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25268053;7791493;5821327;5594385;6473037:2;20817891;17954222;6000182:2;13093744;6824952;21771409;5852404;5878682;5724364;22006503;6949290;25585373;23750625</vt:lpwstr>
  </property>
  <property fmtid="{D5CDD505-2E9C-101B-9397-08002B2CF9AE}" pid="36" name="LAWLISTTMP1">
    <vt:lpwstr>70301/144.b2;031;025;029;144.b</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20200115</vt:lpwstr>
  </property>
  <property fmtid="{D5CDD505-2E9C-101B-9397-08002B2CF9AE}" pid="71" name="METAKZER">
    <vt:lpwstr>קרן</vt:lpwstr>
  </property>
</Properties>
</file>