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9224" w:type="dxa"/>
        <w:jc w:val="center"/>
        <w:tblLook w:val="0000" w:firstRow="0" w:lastRow="0" w:firstColumn="0" w:lastColumn="0" w:noHBand="0" w:noVBand="0"/>
      </w:tblPr>
      <w:tblGrid>
        <w:gridCol w:w="3671"/>
        <w:gridCol w:w="1256"/>
        <w:gridCol w:w="4297"/>
      </w:tblGrid>
      <w:tr w:rsidR="00BE39B1" w:rsidRPr="00AF4EEE" w14:paraId="0CA1493B" w14:textId="77777777" w:rsidTr="002173AE">
        <w:trPr>
          <w:trHeight w:hRule="exact" w:val="1262"/>
          <w:jc w:val="center"/>
        </w:trPr>
        <w:tc>
          <w:tcPr>
            <w:tcW w:w="9224" w:type="dxa"/>
            <w:gridSpan w:val="3"/>
          </w:tcPr>
          <w:p w14:paraId="32990071" w14:textId="77777777" w:rsidR="002173AE" w:rsidRPr="002173AE" w:rsidRDefault="002173AE" w:rsidP="00FB060B">
            <w:pPr>
              <w:pStyle w:val="a3"/>
              <w:jc w:val="center"/>
              <w:rPr>
                <w:rFonts w:ascii="Tahoma" w:hAnsi="Tahoma"/>
                <w:rtl/>
              </w:rPr>
            </w:pPr>
            <w:bookmarkStart w:id="0" w:name="LastJudge"/>
            <w:bookmarkStart w:id="1" w:name="LawTable_End"/>
            <w:bookmarkEnd w:id="1"/>
          </w:p>
          <w:p w14:paraId="32B2B39C" w14:textId="77777777" w:rsidR="00BE39B1" w:rsidRPr="00AF4EEE" w:rsidRDefault="00BE39B1" w:rsidP="00FB060B">
            <w:pPr>
              <w:pStyle w:val="a3"/>
              <w:jc w:val="center"/>
              <w:rPr>
                <w:rFonts w:ascii="Tahoma" w:hAnsi="Tahoma"/>
                <w:rtl/>
              </w:rPr>
            </w:pPr>
            <w:r w:rsidRPr="00AF4EEE">
              <w:rPr>
                <w:rFonts w:ascii="Tahoma" w:hAnsi="Tahoma" w:hint="cs"/>
                <w:b/>
                <w:bCs/>
                <w:rtl/>
              </w:rPr>
              <w:t>בתי המשפט</w:t>
            </w:r>
          </w:p>
        </w:tc>
      </w:tr>
      <w:tr w:rsidR="00BE39B1" w:rsidRPr="00AF4EEE" w14:paraId="5F352DF2" w14:textId="77777777" w:rsidTr="00FB060B">
        <w:trPr>
          <w:trHeight w:val="337"/>
          <w:jc w:val="center"/>
        </w:trPr>
        <w:tc>
          <w:tcPr>
            <w:tcW w:w="4927" w:type="dxa"/>
            <w:gridSpan w:val="2"/>
          </w:tcPr>
          <w:p w14:paraId="228322F1" w14:textId="77777777" w:rsidR="00BE39B1" w:rsidRPr="00AF4EEE" w:rsidRDefault="00BE39B1" w:rsidP="00FB060B">
            <w:pPr>
              <w:pStyle w:val="a3"/>
              <w:rPr>
                <w:b/>
                <w:bCs/>
                <w:sz w:val="32"/>
                <w:szCs w:val="32"/>
                <w:rtl/>
              </w:rPr>
            </w:pPr>
            <w:r w:rsidRPr="00AF4EEE">
              <w:rPr>
                <w:rFonts w:hint="cs"/>
                <w:b/>
                <w:bCs/>
                <w:sz w:val="32"/>
                <w:szCs w:val="32"/>
                <w:rtl/>
              </w:rPr>
              <w:t>בבית המשפט המחוזי</w:t>
            </w:r>
          </w:p>
          <w:p w14:paraId="1BE04E78" w14:textId="77777777" w:rsidR="00BE39B1" w:rsidRPr="00AF4EEE" w:rsidRDefault="00BE39B1" w:rsidP="00FB060B">
            <w:pPr>
              <w:pStyle w:val="a3"/>
              <w:rPr>
                <w:sz w:val="28"/>
                <w:szCs w:val="28"/>
                <w:rtl/>
              </w:rPr>
            </w:pPr>
            <w:r w:rsidRPr="00AF4EEE">
              <w:rPr>
                <w:rFonts w:hint="cs"/>
                <w:b/>
                <w:bCs/>
                <w:sz w:val="32"/>
                <w:szCs w:val="32"/>
                <w:rtl/>
              </w:rPr>
              <w:t>בירושלים</w:t>
            </w:r>
          </w:p>
        </w:tc>
        <w:tc>
          <w:tcPr>
            <w:tcW w:w="4297" w:type="dxa"/>
          </w:tcPr>
          <w:p w14:paraId="072F200C" w14:textId="77777777" w:rsidR="00BE39B1" w:rsidRPr="00AF4EEE" w:rsidRDefault="00BE39B1" w:rsidP="00FB060B">
            <w:pPr>
              <w:jc w:val="right"/>
              <w:rPr>
                <w:b/>
                <w:bCs/>
                <w:sz w:val="32"/>
                <w:szCs w:val="32"/>
                <w:rtl/>
              </w:rPr>
            </w:pPr>
            <w:r w:rsidRPr="00AF4EEE">
              <w:rPr>
                <w:b/>
                <w:bCs/>
                <w:sz w:val="32"/>
                <w:szCs w:val="32"/>
                <w:rtl/>
              </w:rPr>
              <w:t>ת"פ</w:t>
            </w:r>
            <w:r w:rsidRPr="00AF4EEE">
              <w:rPr>
                <w:rFonts w:hint="cs"/>
                <w:b/>
                <w:bCs/>
                <w:sz w:val="32"/>
                <w:szCs w:val="32"/>
                <w:rtl/>
              </w:rPr>
              <w:t xml:space="preserve"> </w:t>
            </w:r>
            <w:r w:rsidRPr="00AF4EEE">
              <w:rPr>
                <w:b/>
                <w:bCs/>
                <w:sz w:val="32"/>
                <w:szCs w:val="32"/>
                <w:rtl/>
              </w:rPr>
              <w:t>35683-04-18</w:t>
            </w:r>
            <w:r w:rsidRPr="00AF4EEE">
              <w:rPr>
                <w:rFonts w:hint="cs"/>
                <w:b/>
                <w:bCs/>
                <w:sz w:val="32"/>
                <w:szCs w:val="32"/>
                <w:rtl/>
              </w:rPr>
              <w:t xml:space="preserve"> </w:t>
            </w:r>
          </w:p>
          <w:p w14:paraId="35ED26A8" w14:textId="77777777" w:rsidR="00BE39B1" w:rsidRPr="00AF4EEE" w:rsidRDefault="00BE39B1" w:rsidP="00FB060B">
            <w:pPr>
              <w:pStyle w:val="a3"/>
              <w:jc w:val="right"/>
              <w:rPr>
                <w:rtl/>
              </w:rPr>
            </w:pPr>
          </w:p>
          <w:p w14:paraId="65F0BAA5" w14:textId="77777777" w:rsidR="00BE39B1" w:rsidRPr="00AF4EEE" w:rsidRDefault="00BE39B1" w:rsidP="00FB060B">
            <w:pPr>
              <w:pStyle w:val="a3"/>
              <w:jc w:val="right"/>
              <w:rPr>
                <w:b/>
                <w:bCs/>
                <w:sz w:val="32"/>
                <w:szCs w:val="32"/>
                <w:rtl/>
              </w:rPr>
            </w:pPr>
          </w:p>
        </w:tc>
      </w:tr>
      <w:tr w:rsidR="00BE39B1" w:rsidRPr="00AF4EEE" w14:paraId="0F7409B1" w14:textId="77777777" w:rsidTr="00FB060B">
        <w:trPr>
          <w:trHeight w:val="337"/>
          <w:jc w:val="center"/>
        </w:trPr>
        <w:tc>
          <w:tcPr>
            <w:tcW w:w="3671" w:type="dxa"/>
          </w:tcPr>
          <w:p w14:paraId="16308D3C" w14:textId="77777777" w:rsidR="00BE39B1" w:rsidRPr="00AF4EEE" w:rsidRDefault="00BE39B1" w:rsidP="00FB060B">
            <w:pPr>
              <w:rPr>
                <w:rFonts w:ascii="Arial" w:hAnsi="Arial"/>
                <w:b/>
                <w:bCs/>
                <w:sz w:val="28"/>
                <w:szCs w:val="28"/>
                <w:rtl/>
              </w:rPr>
            </w:pPr>
          </w:p>
          <w:p w14:paraId="5FA6F4FC" w14:textId="77777777" w:rsidR="00BE39B1" w:rsidRPr="00AF4EEE" w:rsidRDefault="00BE39B1" w:rsidP="00FB060B">
            <w:r w:rsidRPr="00AF4EEE">
              <w:rPr>
                <w:rFonts w:ascii="Arial" w:hAnsi="Arial" w:hint="cs"/>
                <w:b/>
                <w:bCs/>
                <w:sz w:val="28"/>
                <w:szCs w:val="28"/>
                <w:rtl/>
              </w:rPr>
              <w:t>ב</w:t>
            </w:r>
            <w:r w:rsidRPr="00AF4EEE">
              <w:rPr>
                <w:rFonts w:ascii="Arial" w:hAnsi="Arial"/>
                <w:b/>
                <w:bCs/>
                <w:sz w:val="28"/>
                <w:szCs w:val="28"/>
                <w:rtl/>
              </w:rPr>
              <w:t>פני</w:t>
            </w:r>
            <w:r w:rsidRPr="00AF4EEE">
              <w:rPr>
                <w:rFonts w:ascii="Arial" w:hAnsi="Arial" w:hint="cs"/>
                <w:b/>
                <w:bCs/>
                <w:sz w:val="28"/>
                <w:szCs w:val="28"/>
                <w:rtl/>
              </w:rPr>
              <w:t>: כב' ה</w:t>
            </w:r>
            <w:r w:rsidRPr="00AF4EEE">
              <w:rPr>
                <w:rFonts w:ascii="Arial" w:hAnsi="Arial"/>
                <w:b/>
                <w:bCs/>
                <w:sz w:val="28"/>
                <w:szCs w:val="28"/>
                <w:rtl/>
              </w:rPr>
              <w:t>שופט</w:t>
            </w:r>
            <w:r w:rsidRPr="00AF4EEE">
              <w:rPr>
                <w:rFonts w:ascii="Arial" w:hAnsi="Arial" w:hint="cs"/>
                <w:b/>
                <w:bCs/>
                <w:sz w:val="28"/>
                <w:szCs w:val="28"/>
                <w:rtl/>
              </w:rPr>
              <w:t xml:space="preserve"> </w:t>
            </w:r>
            <w:r w:rsidRPr="00AF4EEE">
              <w:rPr>
                <w:rFonts w:ascii="Arial" w:hAnsi="Arial"/>
                <w:b/>
                <w:bCs/>
                <w:sz w:val="28"/>
                <w:szCs w:val="28"/>
                <w:rtl/>
              </w:rPr>
              <w:t>אלכסנדר רון</w:t>
            </w:r>
          </w:p>
          <w:p w14:paraId="23115E9C" w14:textId="77777777" w:rsidR="00BE39B1" w:rsidRPr="00AF4EEE" w:rsidRDefault="00BE39B1" w:rsidP="00FB060B">
            <w:pPr>
              <w:jc w:val="right"/>
              <w:rPr>
                <w:b/>
                <w:bCs/>
                <w:sz w:val="32"/>
                <w:szCs w:val="32"/>
              </w:rPr>
            </w:pPr>
          </w:p>
        </w:tc>
        <w:tc>
          <w:tcPr>
            <w:tcW w:w="5553" w:type="dxa"/>
            <w:gridSpan w:val="2"/>
          </w:tcPr>
          <w:p w14:paraId="6C675232" w14:textId="77777777" w:rsidR="00BE39B1" w:rsidRPr="00AF4EEE" w:rsidRDefault="00BE39B1" w:rsidP="00FB060B">
            <w:pPr>
              <w:jc w:val="right"/>
              <w:rPr>
                <w:b/>
                <w:bCs/>
                <w:sz w:val="28"/>
                <w:szCs w:val="28"/>
                <w:rtl/>
              </w:rPr>
            </w:pPr>
          </w:p>
          <w:p w14:paraId="52C94BF6" w14:textId="77777777" w:rsidR="00BE39B1" w:rsidRPr="00AF4EEE" w:rsidRDefault="00BE39B1" w:rsidP="00FB060B">
            <w:pPr>
              <w:jc w:val="right"/>
              <w:rPr>
                <w:b/>
                <w:bCs/>
                <w:sz w:val="32"/>
                <w:szCs w:val="32"/>
                <w:rtl/>
              </w:rPr>
            </w:pPr>
            <w:r w:rsidRPr="00AF4EEE">
              <w:rPr>
                <w:rFonts w:hint="cs"/>
                <w:b/>
                <w:bCs/>
                <w:sz w:val="28"/>
                <w:szCs w:val="28"/>
                <w:rtl/>
              </w:rPr>
              <w:t>תאריך: כ"ו טבת תשע"ט, 03 ינואר 2019</w:t>
            </w:r>
          </w:p>
        </w:tc>
      </w:tr>
    </w:tbl>
    <w:p w14:paraId="71A47F4C" w14:textId="77777777" w:rsidR="00BE39B1" w:rsidRPr="00AF4EEE" w:rsidRDefault="00BE39B1" w:rsidP="00BE39B1">
      <w:pPr>
        <w:pStyle w:val="a3"/>
        <w:rPr>
          <w:rtl/>
        </w:rPr>
      </w:pPr>
      <w:r w:rsidRPr="00AF4EEE">
        <w:rPr>
          <w:rFonts w:hint="cs"/>
          <w:rtl/>
        </w:rPr>
        <w:t xml:space="preserve"> </w:t>
      </w:r>
    </w:p>
    <w:p w14:paraId="4EB4890F" w14:textId="77777777" w:rsidR="00BE39B1" w:rsidRPr="00AF4EEE" w:rsidRDefault="00BE39B1" w:rsidP="00BE39B1">
      <w:pPr>
        <w:spacing w:line="360" w:lineRule="auto"/>
        <w:rPr>
          <w:rFonts w:ascii="Arial" w:hAnsi="Arial"/>
          <w:b/>
          <w:bCs/>
          <w:rtl/>
        </w:rPr>
      </w:pPr>
    </w:p>
    <w:tbl>
      <w:tblPr>
        <w:bidiVisual/>
        <w:tblW w:w="8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3705"/>
        <w:gridCol w:w="4321"/>
      </w:tblGrid>
      <w:tr w:rsidR="00BE39B1" w:rsidRPr="00AF4EEE" w14:paraId="7A8D3EC6" w14:textId="77777777" w:rsidTr="00BE39B1">
        <w:trPr>
          <w:trHeight w:val="395"/>
          <w:jc w:val="center"/>
        </w:trPr>
        <w:tc>
          <w:tcPr>
            <w:tcW w:w="8867" w:type="dxa"/>
            <w:gridSpan w:val="3"/>
            <w:tcBorders>
              <w:top w:val="nil"/>
              <w:left w:val="nil"/>
              <w:bottom w:val="nil"/>
              <w:right w:val="nil"/>
            </w:tcBorders>
            <w:shd w:val="clear" w:color="auto" w:fill="auto"/>
          </w:tcPr>
          <w:p w14:paraId="7EFAE76D" w14:textId="77777777" w:rsidR="00BE39B1" w:rsidRPr="00AF4EEE" w:rsidRDefault="00BE39B1" w:rsidP="00BE39B1">
            <w:pPr>
              <w:spacing w:line="360" w:lineRule="auto"/>
              <w:jc w:val="right"/>
              <w:rPr>
                <w:rFonts w:ascii="Arial" w:hAnsi="Arial"/>
                <w:b/>
                <w:bCs/>
                <w:rtl/>
              </w:rPr>
            </w:pPr>
          </w:p>
        </w:tc>
      </w:tr>
      <w:tr w:rsidR="00BE39B1" w:rsidRPr="00AF4EEE" w14:paraId="762863FC" w14:textId="77777777" w:rsidTr="00BE39B1">
        <w:trPr>
          <w:trHeight w:val="355"/>
          <w:jc w:val="center"/>
        </w:trPr>
        <w:tc>
          <w:tcPr>
            <w:tcW w:w="841" w:type="dxa"/>
            <w:tcBorders>
              <w:top w:val="nil"/>
              <w:left w:val="nil"/>
              <w:bottom w:val="nil"/>
              <w:right w:val="nil"/>
            </w:tcBorders>
            <w:shd w:val="clear" w:color="auto" w:fill="auto"/>
          </w:tcPr>
          <w:p w14:paraId="17AE2DA4" w14:textId="77777777" w:rsidR="00BE39B1" w:rsidRPr="00AF4EEE" w:rsidRDefault="00BE39B1" w:rsidP="00BE39B1">
            <w:pPr>
              <w:spacing w:line="360" w:lineRule="auto"/>
              <w:jc w:val="both"/>
              <w:rPr>
                <w:rFonts w:ascii="Arial" w:hAnsi="Arial"/>
                <w:b/>
                <w:bCs/>
              </w:rPr>
            </w:pPr>
            <w:bookmarkStart w:id="2" w:name="FirstAppellant"/>
            <w:r w:rsidRPr="00AF4EEE">
              <w:rPr>
                <w:rFonts w:ascii="Arial" w:hAnsi="Arial" w:hint="cs"/>
                <w:b/>
                <w:bCs/>
                <w:rtl/>
              </w:rPr>
              <w:t>בעניין:</w:t>
            </w:r>
          </w:p>
        </w:tc>
        <w:tc>
          <w:tcPr>
            <w:tcW w:w="3705" w:type="dxa"/>
            <w:tcBorders>
              <w:top w:val="nil"/>
              <w:left w:val="nil"/>
              <w:bottom w:val="nil"/>
              <w:right w:val="nil"/>
            </w:tcBorders>
            <w:shd w:val="clear" w:color="auto" w:fill="auto"/>
          </w:tcPr>
          <w:p w14:paraId="10199BDC" w14:textId="77777777" w:rsidR="00BE39B1" w:rsidRPr="00AF4EEE" w:rsidRDefault="00BE39B1" w:rsidP="00BE39B1">
            <w:pPr>
              <w:spacing w:line="360" w:lineRule="auto"/>
              <w:rPr>
                <w:b/>
                <w:bCs/>
              </w:rPr>
            </w:pPr>
            <w:r w:rsidRPr="00AF4EEE">
              <w:rPr>
                <w:rFonts w:ascii="Arial" w:hAnsi="Arial"/>
                <w:b/>
                <w:bCs/>
                <w:rtl/>
              </w:rPr>
              <w:t>מדינת ישראל</w:t>
            </w:r>
          </w:p>
        </w:tc>
        <w:tc>
          <w:tcPr>
            <w:tcW w:w="4321" w:type="dxa"/>
            <w:tcBorders>
              <w:top w:val="nil"/>
              <w:left w:val="nil"/>
              <w:bottom w:val="nil"/>
              <w:right w:val="nil"/>
            </w:tcBorders>
            <w:shd w:val="clear" w:color="auto" w:fill="auto"/>
            <w:vAlign w:val="bottom"/>
          </w:tcPr>
          <w:p w14:paraId="417D1200" w14:textId="77777777" w:rsidR="00BE39B1" w:rsidRPr="00AF4EEE" w:rsidRDefault="00BE39B1" w:rsidP="00BE39B1">
            <w:pPr>
              <w:spacing w:line="360" w:lineRule="auto"/>
              <w:rPr>
                <w:rFonts w:ascii="Arial" w:hAnsi="Arial"/>
              </w:rPr>
            </w:pPr>
            <w:r w:rsidRPr="00AF4EEE">
              <w:rPr>
                <w:rFonts w:ascii="Arial" w:hAnsi="Arial" w:hint="cs"/>
                <w:b/>
                <w:bCs/>
                <w:rtl/>
              </w:rPr>
              <w:t>ה</w:t>
            </w:r>
            <w:r w:rsidRPr="00AF4EEE">
              <w:rPr>
                <w:rFonts w:ascii="Arial" w:hAnsi="Arial"/>
                <w:b/>
                <w:bCs/>
                <w:rtl/>
              </w:rPr>
              <w:t>מאשימה</w:t>
            </w:r>
          </w:p>
        </w:tc>
      </w:tr>
      <w:bookmarkEnd w:id="2"/>
      <w:tr w:rsidR="00BE39B1" w:rsidRPr="00AF4EEE" w14:paraId="6E068C99" w14:textId="77777777" w:rsidTr="00BE39B1">
        <w:trPr>
          <w:trHeight w:val="355"/>
          <w:jc w:val="center"/>
        </w:trPr>
        <w:tc>
          <w:tcPr>
            <w:tcW w:w="841" w:type="dxa"/>
            <w:tcBorders>
              <w:top w:val="nil"/>
              <w:left w:val="nil"/>
              <w:bottom w:val="nil"/>
              <w:right w:val="nil"/>
            </w:tcBorders>
            <w:shd w:val="clear" w:color="auto" w:fill="auto"/>
          </w:tcPr>
          <w:p w14:paraId="0690C086" w14:textId="77777777" w:rsidR="00BE39B1" w:rsidRPr="00AF4EEE" w:rsidRDefault="00BE39B1" w:rsidP="00BE39B1">
            <w:pPr>
              <w:spacing w:line="360" w:lineRule="auto"/>
              <w:jc w:val="both"/>
              <w:rPr>
                <w:rFonts w:ascii="Arial" w:hAnsi="Arial" w:cs="FrankRuehl"/>
                <w:sz w:val="28"/>
                <w:szCs w:val="28"/>
                <w:rtl/>
              </w:rPr>
            </w:pPr>
          </w:p>
        </w:tc>
        <w:tc>
          <w:tcPr>
            <w:tcW w:w="8026" w:type="dxa"/>
            <w:gridSpan w:val="2"/>
            <w:tcBorders>
              <w:top w:val="nil"/>
              <w:left w:val="nil"/>
              <w:bottom w:val="nil"/>
              <w:right w:val="nil"/>
            </w:tcBorders>
            <w:shd w:val="clear" w:color="auto" w:fill="auto"/>
          </w:tcPr>
          <w:p w14:paraId="7A367F76" w14:textId="77777777" w:rsidR="00BE39B1" w:rsidRPr="00AF4EEE" w:rsidRDefault="00BE39B1" w:rsidP="00BE39B1">
            <w:pPr>
              <w:spacing w:line="360" w:lineRule="auto"/>
              <w:jc w:val="center"/>
              <w:rPr>
                <w:rFonts w:ascii="Arial" w:hAnsi="Arial"/>
                <w:b/>
                <w:bCs/>
                <w:rtl/>
              </w:rPr>
            </w:pPr>
          </w:p>
          <w:p w14:paraId="17C4C735" w14:textId="77777777" w:rsidR="00BE39B1" w:rsidRPr="00AF4EEE" w:rsidRDefault="00BE39B1" w:rsidP="00BE39B1">
            <w:pPr>
              <w:spacing w:line="360" w:lineRule="auto"/>
              <w:jc w:val="center"/>
              <w:rPr>
                <w:rFonts w:ascii="Arial" w:hAnsi="Arial"/>
                <w:b/>
                <w:bCs/>
                <w:rtl/>
              </w:rPr>
            </w:pPr>
            <w:r w:rsidRPr="00AF4EEE">
              <w:rPr>
                <w:rFonts w:ascii="Arial" w:hAnsi="Arial"/>
                <w:b/>
                <w:bCs/>
                <w:rtl/>
              </w:rPr>
              <w:t>נ</w:t>
            </w:r>
            <w:r w:rsidRPr="00AF4EEE">
              <w:rPr>
                <w:rFonts w:ascii="Arial" w:hAnsi="Arial" w:hint="cs"/>
                <w:b/>
                <w:bCs/>
                <w:rtl/>
              </w:rPr>
              <w:t xml:space="preserve"> </w:t>
            </w:r>
            <w:r w:rsidRPr="00AF4EEE">
              <w:rPr>
                <w:rFonts w:ascii="Arial" w:hAnsi="Arial"/>
                <w:b/>
                <w:bCs/>
                <w:rtl/>
              </w:rPr>
              <w:t>ג</w:t>
            </w:r>
            <w:r w:rsidRPr="00AF4EEE">
              <w:rPr>
                <w:rFonts w:ascii="Arial" w:hAnsi="Arial" w:hint="cs"/>
                <w:b/>
                <w:bCs/>
                <w:rtl/>
              </w:rPr>
              <w:t xml:space="preserve"> </w:t>
            </w:r>
            <w:r w:rsidRPr="00AF4EEE">
              <w:rPr>
                <w:rFonts w:ascii="Arial" w:hAnsi="Arial"/>
                <w:b/>
                <w:bCs/>
                <w:rtl/>
              </w:rPr>
              <w:t>ד</w:t>
            </w:r>
          </w:p>
          <w:p w14:paraId="731B011C" w14:textId="77777777" w:rsidR="00BE39B1" w:rsidRPr="00AF4EEE" w:rsidRDefault="00BE39B1" w:rsidP="00BE39B1">
            <w:pPr>
              <w:spacing w:line="360" w:lineRule="auto"/>
              <w:jc w:val="both"/>
              <w:rPr>
                <w:rFonts w:ascii="Arial" w:hAnsi="Arial"/>
              </w:rPr>
            </w:pPr>
          </w:p>
        </w:tc>
      </w:tr>
      <w:tr w:rsidR="00BE39B1" w:rsidRPr="00AF4EEE" w14:paraId="3A8F61E4" w14:textId="77777777" w:rsidTr="00BE39B1">
        <w:trPr>
          <w:trHeight w:val="355"/>
          <w:jc w:val="center"/>
        </w:trPr>
        <w:tc>
          <w:tcPr>
            <w:tcW w:w="841" w:type="dxa"/>
            <w:tcBorders>
              <w:top w:val="nil"/>
              <w:left w:val="nil"/>
              <w:bottom w:val="nil"/>
              <w:right w:val="nil"/>
            </w:tcBorders>
            <w:shd w:val="clear" w:color="auto" w:fill="auto"/>
          </w:tcPr>
          <w:p w14:paraId="0C4CCC7C" w14:textId="77777777" w:rsidR="00BE39B1" w:rsidRPr="00AF4EEE" w:rsidRDefault="00BE39B1" w:rsidP="00BE39B1">
            <w:pPr>
              <w:spacing w:line="360" w:lineRule="auto"/>
              <w:jc w:val="both"/>
              <w:rPr>
                <w:rFonts w:ascii="Arial" w:hAnsi="Arial" w:cs="FrankRuehl"/>
                <w:sz w:val="28"/>
                <w:szCs w:val="28"/>
                <w:rtl/>
              </w:rPr>
            </w:pPr>
          </w:p>
        </w:tc>
        <w:tc>
          <w:tcPr>
            <w:tcW w:w="3705" w:type="dxa"/>
            <w:tcBorders>
              <w:top w:val="nil"/>
              <w:left w:val="nil"/>
              <w:bottom w:val="nil"/>
              <w:right w:val="nil"/>
            </w:tcBorders>
            <w:shd w:val="clear" w:color="auto" w:fill="auto"/>
          </w:tcPr>
          <w:p w14:paraId="794D711B" w14:textId="77777777" w:rsidR="00BE39B1" w:rsidRPr="00AF4EEE" w:rsidRDefault="00BE39B1" w:rsidP="00BE39B1">
            <w:pPr>
              <w:spacing w:line="360" w:lineRule="auto"/>
              <w:rPr>
                <w:b/>
                <w:bCs/>
                <w:rtl/>
              </w:rPr>
            </w:pPr>
            <w:r w:rsidRPr="00AF4EEE">
              <w:rPr>
                <w:rFonts w:ascii="Arial" w:hAnsi="Arial"/>
                <w:b/>
                <w:bCs/>
                <w:rtl/>
              </w:rPr>
              <w:t>1</w:t>
            </w:r>
            <w:r w:rsidRPr="00AF4EEE">
              <w:rPr>
                <w:rFonts w:ascii="Arial" w:hAnsi="Arial" w:hint="cs"/>
                <w:b/>
                <w:bCs/>
                <w:rtl/>
              </w:rPr>
              <w:t>.</w:t>
            </w:r>
            <w:r w:rsidRPr="00AF4EEE">
              <w:rPr>
                <w:rFonts w:ascii="Arial" w:hAnsi="Arial"/>
                <w:b/>
                <w:bCs/>
                <w:rtl/>
              </w:rPr>
              <w:t xml:space="preserve">יזן עבד אל לטיף </w:t>
            </w:r>
          </w:p>
          <w:p w14:paraId="2AF924A0" w14:textId="77777777" w:rsidR="00BE39B1" w:rsidRPr="00AF4EEE" w:rsidRDefault="00BE39B1" w:rsidP="00BE39B1">
            <w:pPr>
              <w:spacing w:line="360" w:lineRule="auto"/>
              <w:rPr>
                <w:b/>
                <w:bCs/>
                <w:rtl/>
              </w:rPr>
            </w:pPr>
            <w:r w:rsidRPr="00AF4EEE">
              <w:rPr>
                <w:rFonts w:ascii="Arial" w:hAnsi="Arial"/>
                <w:b/>
                <w:bCs/>
                <w:rtl/>
              </w:rPr>
              <w:t>2</w:t>
            </w:r>
            <w:r w:rsidRPr="00AF4EEE">
              <w:rPr>
                <w:rFonts w:ascii="Arial" w:hAnsi="Arial" w:hint="cs"/>
                <w:b/>
                <w:bCs/>
                <w:rtl/>
              </w:rPr>
              <w:t>.</w:t>
            </w:r>
            <w:r w:rsidRPr="00AF4EEE">
              <w:rPr>
                <w:rFonts w:ascii="Arial" w:hAnsi="Arial"/>
                <w:b/>
                <w:bCs/>
                <w:rtl/>
              </w:rPr>
              <w:t xml:space="preserve">גהאד אלסלואדי </w:t>
            </w:r>
          </w:p>
          <w:p w14:paraId="32FEE5DE" w14:textId="77777777" w:rsidR="00BE39B1" w:rsidRPr="00AF4EEE" w:rsidRDefault="00BE39B1" w:rsidP="00BE39B1">
            <w:pPr>
              <w:spacing w:line="360" w:lineRule="auto"/>
              <w:rPr>
                <w:b/>
                <w:bCs/>
                <w:rtl/>
              </w:rPr>
            </w:pPr>
            <w:r w:rsidRPr="00AF4EEE">
              <w:rPr>
                <w:rFonts w:ascii="Arial" w:hAnsi="Arial"/>
                <w:b/>
                <w:bCs/>
                <w:rtl/>
              </w:rPr>
              <w:t>3</w:t>
            </w:r>
            <w:r w:rsidRPr="00AF4EEE">
              <w:rPr>
                <w:rFonts w:ascii="Arial" w:hAnsi="Arial" w:hint="cs"/>
                <w:b/>
                <w:bCs/>
                <w:rtl/>
              </w:rPr>
              <w:t>.</w:t>
            </w:r>
            <w:r w:rsidRPr="00AF4EEE">
              <w:rPr>
                <w:rFonts w:ascii="Arial" w:hAnsi="Arial"/>
                <w:b/>
                <w:bCs/>
                <w:rtl/>
              </w:rPr>
              <w:t xml:space="preserve">דיא שחאדה </w:t>
            </w:r>
          </w:p>
          <w:p w14:paraId="77C54405" w14:textId="77777777" w:rsidR="00BE39B1" w:rsidRPr="00AF4EEE" w:rsidRDefault="00BE39B1" w:rsidP="00BE39B1">
            <w:pPr>
              <w:spacing w:line="360" w:lineRule="auto"/>
              <w:rPr>
                <w:b/>
                <w:bCs/>
                <w:rtl/>
              </w:rPr>
            </w:pPr>
            <w:r w:rsidRPr="00AF4EEE">
              <w:rPr>
                <w:rFonts w:ascii="Arial" w:hAnsi="Arial"/>
                <w:b/>
                <w:bCs/>
                <w:rtl/>
              </w:rPr>
              <w:t>4</w:t>
            </w:r>
            <w:r w:rsidRPr="00AF4EEE">
              <w:rPr>
                <w:rFonts w:ascii="Arial" w:hAnsi="Arial" w:hint="cs"/>
                <w:b/>
                <w:bCs/>
                <w:rtl/>
              </w:rPr>
              <w:t>.</w:t>
            </w:r>
            <w:r w:rsidRPr="00AF4EEE">
              <w:rPr>
                <w:rFonts w:ascii="Arial" w:hAnsi="Arial"/>
                <w:b/>
                <w:bCs/>
                <w:rtl/>
              </w:rPr>
              <w:t xml:space="preserve">עדנאן ערמין </w:t>
            </w:r>
          </w:p>
          <w:p w14:paraId="65CF73DE" w14:textId="77777777" w:rsidR="00BE39B1" w:rsidRPr="00AF4EEE" w:rsidRDefault="00BE39B1" w:rsidP="00BE39B1">
            <w:pPr>
              <w:spacing w:line="360" w:lineRule="auto"/>
              <w:rPr>
                <w:b/>
                <w:bCs/>
                <w:rtl/>
              </w:rPr>
            </w:pPr>
            <w:r w:rsidRPr="00AF4EEE">
              <w:rPr>
                <w:rFonts w:ascii="Arial" w:hAnsi="Arial"/>
                <w:b/>
                <w:bCs/>
                <w:rtl/>
              </w:rPr>
              <w:t>5</w:t>
            </w:r>
            <w:r w:rsidRPr="00AF4EEE">
              <w:rPr>
                <w:rFonts w:ascii="Arial" w:hAnsi="Arial" w:hint="cs"/>
                <w:b/>
                <w:bCs/>
                <w:rtl/>
              </w:rPr>
              <w:t>.</w:t>
            </w:r>
            <w:r w:rsidRPr="00AF4EEE">
              <w:rPr>
                <w:rFonts w:ascii="Arial" w:hAnsi="Arial"/>
                <w:b/>
                <w:bCs/>
                <w:rtl/>
              </w:rPr>
              <w:t xml:space="preserve">ראמי ערמין </w:t>
            </w:r>
          </w:p>
        </w:tc>
        <w:tc>
          <w:tcPr>
            <w:tcW w:w="4321" w:type="dxa"/>
            <w:tcBorders>
              <w:top w:val="nil"/>
              <w:left w:val="nil"/>
              <w:bottom w:val="nil"/>
              <w:right w:val="nil"/>
            </w:tcBorders>
            <w:shd w:val="clear" w:color="auto" w:fill="auto"/>
            <w:vAlign w:val="bottom"/>
          </w:tcPr>
          <w:p w14:paraId="629CF5D2" w14:textId="77777777" w:rsidR="00BE39B1" w:rsidRPr="00AF4EEE" w:rsidRDefault="00BE39B1" w:rsidP="00BE39B1">
            <w:pPr>
              <w:spacing w:line="360" w:lineRule="auto"/>
              <w:rPr>
                <w:rFonts w:ascii="Arial" w:hAnsi="Arial"/>
              </w:rPr>
            </w:pPr>
            <w:r w:rsidRPr="00AF4EEE">
              <w:rPr>
                <w:rFonts w:ascii="Arial" w:hAnsi="Arial" w:hint="cs"/>
                <w:b/>
                <w:bCs/>
                <w:rtl/>
              </w:rPr>
              <w:t>הנאשמים</w:t>
            </w:r>
          </w:p>
        </w:tc>
      </w:tr>
    </w:tbl>
    <w:p w14:paraId="29AB312F" w14:textId="77777777" w:rsidR="00BE39B1" w:rsidRPr="00AF4EEE" w:rsidRDefault="00BE39B1" w:rsidP="00BE39B1">
      <w:pPr>
        <w:spacing w:line="360" w:lineRule="auto"/>
        <w:rPr>
          <w:rFonts w:ascii="Arial" w:hAnsi="Arial"/>
          <w:b/>
          <w:bCs/>
          <w:rtl/>
        </w:rPr>
      </w:pPr>
    </w:p>
    <w:p w14:paraId="278AAB3F" w14:textId="77777777" w:rsidR="00BE39B1" w:rsidRPr="00AF4EEE" w:rsidRDefault="00BE39B1" w:rsidP="00BE39B1">
      <w:pPr>
        <w:spacing w:line="360" w:lineRule="auto"/>
        <w:rPr>
          <w:rFonts w:ascii="Arial" w:hAnsi="Arial"/>
          <w:b/>
          <w:bCs/>
          <w:rtl/>
        </w:rPr>
      </w:pPr>
      <w:r w:rsidRPr="00AF4EEE">
        <w:rPr>
          <w:rFonts w:ascii="Arial" w:hAnsi="Arial" w:hint="cs"/>
          <w:b/>
          <w:bCs/>
          <w:rtl/>
        </w:rPr>
        <w:t>נוכחים:</w:t>
      </w:r>
    </w:p>
    <w:p w14:paraId="0DD85B31" w14:textId="77777777" w:rsidR="00BE39B1" w:rsidRPr="00AF4EEE" w:rsidRDefault="00BE39B1" w:rsidP="00BE39B1">
      <w:pPr>
        <w:spacing w:line="360" w:lineRule="auto"/>
        <w:rPr>
          <w:rFonts w:ascii="Arial" w:hAnsi="Arial"/>
          <w:b/>
          <w:bCs/>
          <w:rtl/>
        </w:rPr>
      </w:pPr>
      <w:bookmarkStart w:id="3" w:name="FirstLawyer"/>
      <w:r w:rsidRPr="00AF4EEE">
        <w:rPr>
          <w:rFonts w:ascii="Arial" w:hAnsi="Arial" w:hint="cs"/>
          <w:b/>
          <w:bCs/>
          <w:rtl/>
        </w:rPr>
        <w:t>ב"כ</w:t>
      </w:r>
      <w:bookmarkEnd w:id="3"/>
      <w:r w:rsidRPr="00AF4EEE">
        <w:rPr>
          <w:rFonts w:ascii="Arial" w:hAnsi="Arial" w:hint="cs"/>
          <w:b/>
          <w:bCs/>
          <w:rtl/>
        </w:rPr>
        <w:t xml:space="preserve"> המאשימה עו"ד גלבוע </w:t>
      </w:r>
    </w:p>
    <w:p w14:paraId="402F2F55" w14:textId="77777777" w:rsidR="00BE39B1" w:rsidRPr="00AF4EEE" w:rsidRDefault="00BE39B1" w:rsidP="00BE39B1">
      <w:pPr>
        <w:spacing w:line="360" w:lineRule="auto"/>
        <w:rPr>
          <w:rFonts w:ascii="Arial" w:hAnsi="Arial"/>
          <w:b/>
          <w:bCs/>
          <w:rtl/>
        </w:rPr>
      </w:pPr>
      <w:r w:rsidRPr="00AF4EEE">
        <w:rPr>
          <w:rFonts w:ascii="Arial" w:hAnsi="Arial" w:hint="cs"/>
          <w:b/>
          <w:bCs/>
          <w:rtl/>
        </w:rPr>
        <w:t xml:space="preserve">הנאשם 1 וב"כ עו"ד עוואוודה </w:t>
      </w:r>
    </w:p>
    <w:p w14:paraId="6D37A31F" w14:textId="77777777" w:rsidR="00BE39B1" w:rsidRPr="00AF4EEE" w:rsidRDefault="00BE39B1" w:rsidP="00BE39B1">
      <w:pPr>
        <w:spacing w:line="360" w:lineRule="auto"/>
        <w:rPr>
          <w:rFonts w:ascii="Arial" w:hAnsi="Arial"/>
          <w:b/>
          <w:bCs/>
          <w:rtl/>
        </w:rPr>
      </w:pPr>
      <w:r w:rsidRPr="00AF4EEE">
        <w:rPr>
          <w:rFonts w:ascii="Arial" w:hAnsi="Arial" w:hint="cs"/>
          <w:b/>
          <w:bCs/>
          <w:rtl/>
        </w:rPr>
        <w:t>הנאשם 2 וב"כ עו"ד אזברג'ה</w:t>
      </w:r>
    </w:p>
    <w:p w14:paraId="0A79D4E6" w14:textId="77777777" w:rsidR="00BE39B1" w:rsidRPr="00AF4EEE" w:rsidRDefault="00BE39B1" w:rsidP="00BE39B1">
      <w:pPr>
        <w:spacing w:line="360" w:lineRule="auto"/>
        <w:rPr>
          <w:rFonts w:ascii="Arial" w:hAnsi="Arial"/>
          <w:b/>
          <w:bCs/>
          <w:rtl/>
        </w:rPr>
      </w:pPr>
      <w:r w:rsidRPr="00AF4EEE">
        <w:rPr>
          <w:rFonts w:ascii="Arial" w:hAnsi="Arial" w:hint="cs"/>
          <w:b/>
          <w:bCs/>
          <w:rtl/>
        </w:rPr>
        <w:t>הנאשם 3 וב"כ עו"ד חלבי</w:t>
      </w:r>
    </w:p>
    <w:p w14:paraId="7EE9401C" w14:textId="77777777" w:rsidR="00BE39B1" w:rsidRPr="00AF4EEE" w:rsidRDefault="00BE39B1" w:rsidP="00BE39B1">
      <w:pPr>
        <w:spacing w:line="360" w:lineRule="auto"/>
        <w:rPr>
          <w:rFonts w:ascii="Arial" w:hAnsi="Arial"/>
          <w:b/>
          <w:bCs/>
          <w:rtl/>
        </w:rPr>
      </w:pPr>
      <w:r w:rsidRPr="00AF4EEE">
        <w:rPr>
          <w:rFonts w:ascii="Arial" w:hAnsi="Arial" w:hint="cs"/>
          <w:b/>
          <w:bCs/>
          <w:rtl/>
        </w:rPr>
        <w:t xml:space="preserve">הנאשם 5 וב"כ עו"ד דכוור </w:t>
      </w:r>
    </w:p>
    <w:p w14:paraId="554D7A17" w14:textId="77777777" w:rsidR="00BE39B1" w:rsidRPr="00AF4EEE" w:rsidRDefault="00BE39B1" w:rsidP="00BE39B1">
      <w:pPr>
        <w:spacing w:line="360" w:lineRule="auto"/>
        <w:rPr>
          <w:rFonts w:ascii="Arial" w:hAnsi="Arial"/>
          <w:b/>
          <w:bCs/>
          <w:rtl/>
        </w:rPr>
      </w:pPr>
      <w:r w:rsidRPr="00AF4EEE">
        <w:rPr>
          <w:rFonts w:ascii="Arial" w:hAnsi="Arial" w:hint="cs"/>
          <w:b/>
          <w:bCs/>
          <w:rtl/>
        </w:rPr>
        <w:t xml:space="preserve">מתורגמן בית המשפט </w:t>
      </w:r>
    </w:p>
    <w:p w14:paraId="1851B161" w14:textId="77777777" w:rsidR="002173AE" w:rsidRPr="00AF4EEE" w:rsidRDefault="002173AE" w:rsidP="002173AE">
      <w:pPr>
        <w:pStyle w:val="a3"/>
        <w:spacing w:after="120" w:line="240" w:lineRule="exact"/>
        <w:ind w:left="283" w:hanging="283"/>
        <w:jc w:val="both"/>
        <w:rPr>
          <w:rFonts w:ascii="FrankRuehl" w:hAnsi="FrankRuehl" w:cs="FrankRuehl"/>
          <w:rtl/>
        </w:rPr>
      </w:pPr>
    </w:p>
    <w:p w14:paraId="110E94BB" w14:textId="77777777" w:rsidR="002173AE" w:rsidRPr="002173AE" w:rsidRDefault="002173AE" w:rsidP="002173AE">
      <w:pPr>
        <w:pStyle w:val="a3"/>
        <w:spacing w:after="120" w:line="240" w:lineRule="exact"/>
        <w:ind w:left="283" w:hanging="283"/>
        <w:jc w:val="both"/>
        <w:rPr>
          <w:rFonts w:ascii="FrankRuehl" w:hAnsi="FrankRuehl" w:cs="FrankRuehl"/>
          <w:rtl/>
        </w:rPr>
      </w:pPr>
    </w:p>
    <w:p w14:paraId="776C9023" w14:textId="77777777" w:rsidR="002173AE" w:rsidRPr="002173AE" w:rsidRDefault="002173AE" w:rsidP="002173AE">
      <w:pPr>
        <w:pStyle w:val="a3"/>
        <w:spacing w:after="120" w:line="240" w:lineRule="exact"/>
        <w:ind w:left="283" w:hanging="283"/>
        <w:jc w:val="both"/>
        <w:rPr>
          <w:rFonts w:ascii="FrankRuehl" w:hAnsi="FrankRuehl" w:cs="FrankRuehl"/>
          <w:rtl/>
        </w:rPr>
      </w:pPr>
      <w:r w:rsidRPr="002173AE">
        <w:rPr>
          <w:rFonts w:ascii="FrankRuehl" w:hAnsi="FrankRuehl" w:cs="FrankRuehl"/>
          <w:rtl/>
        </w:rPr>
        <w:t xml:space="preserve">חקיקה שאוזכרה: </w:t>
      </w:r>
    </w:p>
    <w:p w14:paraId="1AE2967D" w14:textId="77777777" w:rsidR="002173AE" w:rsidRPr="002173AE" w:rsidRDefault="002173AE" w:rsidP="002173AE">
      <w:pPr>
        <w:pStyle w:val="a3"/>
        <w:spacing w:after="120" w:line="240" w:lineRule="exact"/>
        <w:ind w:left="283" w:hanging="283"/>
        <w:jc w:val="both"/>
        <w:rPr>
          <w:rFonts w:ascii="FrankRuehl" w:hAnsi="FrankRuehl" w:cs="FrankRuehl"/>
          <w:rtl/>
        </w:rPr>
      </w:pPr>
      <w:hyperlink r:id="rId6" w:history="1">
        <w:r w:rsidRPr="002173AE">
          <w:rPr>
            <w:rFonts w:ascii="FrankRuehl" w:hAnsi="FrankRuehl" w:cs="FrankRuehl"/>
            <w:color w:val="0000FF"/>
            <w:u w:val="single"/>
            <w:rtl/>
          </w:rPr>
          <w:t>חוק העונשין, תשל"ז-1977</w:t>
        </w:r>
      </w:hyperlink>
      <w:r w:rsidRPr="002173AE">
        <w:rPr>
          <w:rFonts w:ascii="FrankRuehl" w:hAnsi="FrankRuehl" w:cs="FrankRuehl"/>
          <w:rtl/>
        </w:rPr>
        <w:t xml:space="preserve">: סע'  </w:t>
      </w:r>
      <w:hyperlink r:id="rId7" w:history="1">
        <w:r w:rsidRPr="002173AE">
          <w:rPr>
            <w:rFonts w:ascii="FrankRuehl" w:hAnsi="FrankRuehl" w:cs="FrankRuehl"/>
            <w:color w:val="0000FF"/>
            <w:u w:val="single"/>
            <w:rtl/>
          </w:rPr>
          <w:t>25</w:t>
        </w:r>
      </w:hyperlink>
      <w:r w:rsidRPr="002173AE">
        <w:rPr>
          <w:rFonts w:ascii="FrankRuehl" w:hAnsi="FrankRuehl" w:cs="FrankRuehl"/>
          <w:rtl/>
        </w:rPr>
        <w:t xml:space="preserve">, </w:t>
      </w:r>
      <w:hyperlink r:id="rId8" w:history="1">
        <w:r w:rsidRPr="002173AE">
          <w:rPr>
            <w:rFonts w:ascii="FrankRuehl" w:hAnsi="FrankRuehl" w:cs="FrankRuehl"/>
            <w:color w:val="0000FF"/>
            <w:u w:val="single"/>
            <w:rtl/>
          </w:rPr>
          <w:t>31</w:t>
        </w:r>
      </w:hyperlink>
      <w:r w:rsidRPr="002173AE">
        <w:rPr>
          <w:rFonts w:ascii="FrankRuehl" w:hAnsi="FrankRuehl" w:cs="FrankRuehl"/>
          <w:rtl/>
        </w:rPr>
        <w:t xml:space="preserve">, </w:t>
      </w:r>
      <w:hyperlink r:id="rId9" w:history="1">
        <w:r w:rsidRPr="002173AE">
          <w:rPr>
            <w:rFonts w:ascii="FrankRuehl" w:hAnsi="FrankRuehl" w:cs="FrankRuehl"/>
            <w:color w:val="0000FF"/>
            <w:u w:val="single"/>
            <w:rtl/>
          </w:rPr>
          <w:t>144</w:t>
        </w:r>
      </w:hyperlink>
      <w:r w:rsidRPr="002173AE">
        <w:rPr>
          <w:rFonts w:ascii="FrankRuehl" w:hAnsi="FrankRuehl" w:cs="FrankRuehl"/>
          <w:rtl/>
        </w:rPr>
        <w:t xml:space="preserve">, </w:t>
      </w:r>
      <w:hyperlink r:id="rId10" w:history="1">
        <w:r w:rsidRPr="002173AE">
          <w:rPr>
            <w:rFonts w:ascii="FrankRuehl" w:hAnsi="FrankRuehl" w:cs="FrankRuehl"/>
            <w:color w:val="0000FF"/>
            <w:u w:val="single"/>
            <w:rtl/>
          </w:rPr>
          <w:t>144(ב2)</w:t>
        </w:r>
      </w:hyperlink>
      <w:r w:rsidRPr="002173AE">
        <w:rPr>
          <w:rFonts w:ascii="FrankRuehl" w:hAnsi="FrankRuehl" w:cs="FrankRuehl"/>
          <w:rtl/>
        </w:rPr>
        <w:t xml:space="preserve">, </w:t>
      </w:r>
      <w:hyperlink r:id="rId11" w:history="1">
        <w:r w:rsidRPr="002173AE">
          <w:rPr>
            <w:rFonts w:ascii="FrankRuehl" w:hAnsi="FrankRuehl" w:cs="FrankRuehl"/>
            <w:color w:val="0000FF"/>
            <w:u w:val="single"/>
            <w:rtl/>
          </w:rPr>
          <w:t>244</w:t>
        </w:r>
      </w:hyperlink>
    </w:p>
    <w:p w14:paraId="01B3F1FC" w14:textId="77777777" w:rsidR="002173AE" w:rsidRPr="002173AE" w:rsidRDefault="00CA5E0D" w:rsidP="002173AE">
      <w:pPr>
        <w:pStyle w:val="a3"/>
        <w:spacing w:after="120" w:line="240" w:lineRule="exact"/>
        <w:ind w:left="283" w:hanging="283"/>
        <w:jc w:val="both"/>
        <w:rPr>
          <w:rFonts w:ascii="FrankRuehl" w:hAnsi="FrankRuehl" w:cs="FrankRuehl" w:hint="cs"/>
          <w:rtl/>
        </w:rPr>
      </w:pPr>
      <w:r>
        <w:rPr>
          <w:rFonts w:ascii="FrankRuehl" w:hAnsi="FrankRuehl" w:cs="FrankRuehl" w:hint="cs"/>
          <w:rtl/>
        </w:rPr>
        <w:t xml:space="preserve">   </w:t>
      </w:r>
    </w:p>
    <w:p w14:paraId="6F570957" w14:textId="77777777" w:rsidR="002173AE" w:rsidRPr="00AF4EEE" w:rsidRDefault="002173AE" w:rsidP="002173AE">
      <w:pPr>
        <w:pStyle w:val="a3"/>
        <w:spacing w:after="120" w:line="240" w:lineRule="exact"/>
        <w:ind w:left="283" w:hanging="283"/>
        <w:jc w:val="both"/>
        <w:rPr>
          <w:rFonts w:ascii="FrankRuehl" w:hAnsi="FrankRuehl" w:cs="FrankRuehl"/>
          <w:rtl/>
        </w:rPr>
      </w:pPr>
    </w:p>
    <w:p w14:paraId="790E42AB" w14:textId="77777777" w:rsidR="002173AE" w:rsidRDefault="002173AE" w:rsidP="00BE39B1">
      <w:pPr>
        <w:spacing w:line="480" w:lineRule="auto"/>
        <w:jc w:val="center"/>
        <w:rPr>
          <w:rFonts w:ascii="Arial" w:hAnsi="Arial" w:hint="cs"/>
          <w:b/>
          <w:bCs/>
          <w:sz w:val="36"/>
          <w:szCs w:val="36"/>
          <w:rtl/>
        </w:rPr>
      </w:pPr>
    </w:p>
    <w:p w14:paraId="332098D3" w14:textId="77777777" w:rsidR="002173AE" w:rsidRDefault="002173AE" w:rsidP="00BE39B1">
      <w:pPr>
        <w:spacing w:line="480" w:lineRule="auto"/>
        <w:jc w:val="center"/>
        <w:rPr>
          <w:rFonts w:ascii="Arial" w:hAnsi="Arial" w:hint="cs"/>
          <w:b/>
          <w:bCs/>
          <w:sz w:val="36"/>
          <w:szCs w:val="36"/>
          <w:rtl/>
        </w:rPr>
      </w:pPr>
    </w:p>
    <w:p w14:paraId="0493B67D" w14:textId="77777777" w:rsidR="00BE39B1" w:rsidRPr="00AF4EEE" w:rsidRDefault="00BE39B1" w:rsidP="00BE39B1">
      <w:pPr>
        <w:spacing w:line="480" w:lineRule="auto"/>
        <w:jc w:val="center"/>
        <w:rPr>
          <w:rFonts w:ascii="Arial" w:hAnsi="Arial" w:cs="FrankRuehl"/>
          <w:sz w:val="28"/>
          <w:szCs w:val="28"/>
          <w:rtl/>
        </w:rPr>
      </w:pPr>
      <w:bookmarkStart w:id="4" w:name="PsakDin"/>
      <w:r w:rsidRPr="00AF4EEE">
        <w:rPr>
          <w:rFonts w:ascii="Arial" w:hAnsi="Arial" w:hint="cs"/>
          <w:b/>
          <w:bCs/>
          <w:sz w:val="36"/>
          <w:szCs w:val="36"/>
          <w:rtl/>
        </w:rPr>
        <w:lastRenderedPageBreak/>
        <w:t xml:space="preserve">גזר דין </w:t>
      </w:r>
      <w:bookmarkEnd w:id="4"/>
      <w:r w:rsidRPr="00AF4EEE">
        <w:rPr>
          <w:rFonts w:ascii="Arial" w:hAnsi="Arial" w:hint="cs"/>
          <w:b/>
          <w:bCs/>
          <w:sz w:val="36"/>
          <w:szCs w:val="36"/>
          <w:rtl/>
        </w:rPr>
        <w:t xml:space="preserve">לנאשמים 1 -3 ,5 </w:t>
      </w:r>
    </w:p>
    <w:p w14:paraId="31CC991A" w14:textId="77777777" w:rsidR="00BE39B1" w:rsidRPr="00AF4EEE" w:rsidRDefault="00BE39B1" w:rsidP="00BE39B1">
      <w:pPr>
        <w:spacing w:line="480" w:lineRule="auto"/>
        <w:jc w:val="center"/>
        <w:rPr>
          <w:rFonts w:ascii="Arial" w:hAnsi="Arial" w:cs="FrankRuehl"/>
          <w:sz w:val="28"/>
          <w:szCs w:val="28"/>
          <w:rtl/>
        </w:rPr>
      </w:pPr>
    </w:p>
    <w:p w14:paraId="111A3D0F" w14:textId="77777777" w:rsidR="00BE39B1" w:rsidRPr="00AF4EEE" w:rsidRDefault="00BE39B1" w:rsidP="00BE39B1">
      <w:pPr>
        <w:spacing w:line="480" w:lineRule="auto"/>
        <w:ind w:left="510" w:hanging="510"/>
        <w:jc w:val="both"/>
        <w:rPr>
          <w:b/>
          <w:bCs/>
          <w:rtl/>
        </w:rPr>
      </w:pPr>
      <w:r w:rsidRPr="00AF4EEE">
        <w:rPr>
          <w:rtl/>
        </w:rPr>
        <w:t>1.</w:t>
      </w:r>
      <w:r w:rsidRPr="00AF4EEE">
        <w:rPr>
          <w:rFonts w:hint="cs"/>
          <w:rtl/>
        </w:rPr>
        <w:tab/>
      </w:r>
      <w:r w:rsidRPr="00AF4EEE">
        <w:rPr>
          <w:rFonts w:hint="cs"/>
          <w:b/>
          <w:bCs/>
          <w:rtl/>
        </w:rPr>
        <w:t>כללי</w:t>
      </w:r>
    </w:p>
    <w:p w14:paraId="36A52E49" w14:textId="77777777" w:rsidR="00BE39B1" w:rsidRPr="00AF4EEE" w:rsidRDefault="00BE39B1" w:rsidP="00BE39B1">
      <w:pPr>
        <w:spacing w:line="480" w:lineRule="auto"/>
        <w:ind w:left="510" w:hanging="510"/>
        <w:jc w:val="both"/>
        <w:rPr>
          <w:rtl/>
        </w:rPr>
      </w:pPr>
    </w:p>
    <w:bookmarkEnd w:id="0"/>
    <w:p w14:paraId="79ED6515" w14:textId="77777777" w:rsidR="00BE39B1" w:rsidRDefault="00BE39B1" w:rsidP="00BE39B1">
      <w:pPr>
        <w:spacing w:line="480" w:lineRule="auto"/>
        <w:ind w:left="510" w:hanging="510"/>
        <w:jc w:val="both"/>
        <w:rPr>
          <w:rtl/>
        </w:rPr>
      </w:pPr>
      <w:r>
        <w:rPr>
          <w:rtl/>
        </w:rPr>
        <w:tab/>
      </w:r>
      <w:r>
        <w:rPr>
          <w:rFonts w:hint="cs"/>
          <w:rtl/>
        </w:rPr>
        <w:t xml:space="preserve">גזר </w:t>
      </w:r>
      <w:bookmarkStart w:id="5" w:name="ABSTRACT_START"/>
      <w:bookmarkEnd w:id="5"/>
      <w:r>
        <w:rPr>
          <w:rFonts w:hint="cs"/>
          <w:rtl/>
        </w:rPr>
        <w:t>דין בעניינם של ארבעה  מבין חמישה נאשמים, שהודו במסגרת ארבעה  הסדרי טיעון נפרדים בעבירות שעיקרן בסחר בנשק או בעסקה אחרת בנשק לצד עבירות נלוות ביחס לחלק מהנאשמים</w:t>
      </w:r>
      <w:bookmarkStart w:id="6" w:name="ABSTRACT_END"/>
      <w:bookmarkEnd w:id="6"/>
      <w:r>
        <w:rPr>
          <w:rFonts w:hint="cs"/>
          <w:rtl/>
        </w:rPr>
        <w:t xml:space="preserve">. </w:t>
      </w:r>
    </w:p>
    <w:p w14:paraId="234BCA2C" w14:textId="77777777" w:rsidR="00BE39B1" w:rsidRDefault="00BE39B1" w:rsidP="00BE39B1">
      <w:pPr>
        <w:spacing w:line="480" w:lineRule="auto"/>
        <w:jc w:val="both"/>
        <w:rPr>
          <w:rtl/>
        </w:rPr>
      </w:pPr>
    </w:p>
    <w:p w14:paraId="2D97B10F" w14:textId="77777777" w:rsidR="00BE39B1" w:rsidRDefault="00BE39B1" w:rsidP="00BE39B1">
      <w:pPr>
        <w:spacing w:line="480" w:lineRule="auto"/>
        <w:ind w:left="510" w:hanging="510"/>
        <w:jc w:val="both"/>
        <w:rPr>
          <w:rtl/>
        </w:rPr>
      </w:pPr>
      <w:r>
        <w:rPr>
          <w:rtl/>
        </w:rPr>
        <w:t>2.</w:t>
      </w:r>
      <w:r>
        <w:rPr>
          <w:rFonts w:hint="cs"/>
          <w:rtl/>
        </w:rPr>
        <w:tab/>
      </w:r>
      <w:r w:rsidRPr="00FF75A2">
        <w:rPr>
          <w:rFonts w:hint="cs"/>
          <w:b/>
          <w:bCs/>
          <w:u w:val="single"/>
          <w:rtl/>
        </w:rPr>
        <w:t>כתבי האישום (המתוקנים)</w:t>
      </w:r>
    </w:p>
    <w:p w14:paraId="2F705355" w14:textId="77777777" w:rsidR="00BE39B1" w:rsidRDefault="00BE39B1" w:rsidP="00BE39B1">
      <w:pPr>
        <w:spacing w:line="480" w:lineRule="auto"/>
        <w:ind w:left="510" w:hanging="510"/>
        <w:jc w:val="both"/>
        <w:rPr>
          <w:rtl/>
        </w:rPr>
      </w:pPr>
    </w:p>
    <w:p w14:paraId="0339B747" w14:textId="77777777" w:rsidR="00BE39B1" w:rsidRDefault="00BE39B1" w:rsidP="00BE39B1">
      <w:pPr>
        <w:spacing w:line="480" w:lineRule="auto"/>
        <w:ind w:left="510" w:hanging="510"/>
        <w:jc w:val="both"/>
        <w:rPr>
          <w:rtl/>
        </w:rPr>
      </w:pPr>
      <w:r>
        <w:rPr>
          <w:rtl/>
        </w:rPr>
        <w:tab/>
      </w:r>
      <w:r>
        <w:rPr>
          <w:rFonts w:hint="cs"/>
          <w:rtl/>
        </w:rPr>
        <w:t xml:space="preserve">ביחס לכל אחד מבין הנאשמים הוגש כתב אישום מתוקן ועם זאת, באשר על הפרק אותה פרשה ואין ההבדלים ניכרים, מצאתי לנכון לפרט בתמצית את האמור בכתבי האישום המתוקנים, ביחס לארבעת הנאשמים ביחד. להיבטים הנוגעים לדיון הפרטני בכל אחד מהנאשמים אתייחס בנפרד. העיקרי שבאישומים הינו אישום מספר אחד הנוגע לנאשמים 3-1 ולצדו, ביחס לנאשמים 1 ו </w:t>
      </w:r>
      <w:r>
        <w:rPr>
          <w:rtl/>
        </w:rPr>
        <w:t>–</w:t>
      </w:r>
      <w:r>
        <w:rPr>
          <w:rFonts w:hint="cs"/>
          <w:rtl/>
        </w:rPr>
        <w:t xml:space="preserve"> 5 אישום נוסף (המתייחס גם לנאשם 4 שההליך בעניינו עדין מתנהל). מים 4 ו-5 שההליך בעניינם עדיין מתנהל).</w:t>
      </w:r>
    </w:p>
    <w:p w14:paraId="5838D8A3" w14:textId="77777777" w:rsidR="00BE39B1" w:rsidRDefault="00BE39B1" w:rsidP="00BE39B1">
      <w:pPr>
        <w:spacing w:line="480" w:lineRule="auto"/>
        <w:ind w:left="510" w:hanging="510"/>
        <w:jc w:val="both"/>
        <w:rPr>
          <w:rtl/>
        </w:rPr>
      </w:pPr>
    </w:p>
    <w:p w14:paraId="17DBC7C0" w14:textId="77777777" w:rsidR="00BE39B1" w:rsidRPr="00FF75A2" w:rsidRDefault="00BE39B1" w:rsidP="00BE39B1">
      <w:pPr>
        <w:spacing w:line="480" w:lineRule="auto"/>
        <w:ind w:left="510"/>
        <w:jc w:val="both"/>
        <w:rPr>
          <w:u w:val="single"/>
          <w:rtl/>
        </w:rPr>
      </w:pPr>
      <w:r>
        <w:rPr>
          <w:rFonts w:hint="cs"/>
          <w:u w:val="single"/>
          <w:rtl/>
        </w:rPr>
        <w:t xml:space="preserve">הנאשמים 1 </w:t>
      </w:r>
      <w:r>
        <w:rPr>
          <w:u w:val="single"/>
          <w:rtl/>
        </w:rPr>
        <w:t>–</w:t>
      </w:r>
      <w:r>
        <w:rPr>
          <w:rFonts w:hint="cs"/>
          <w:u w:val="single"/>
          <w:rtl/>
        </w:rPr>
        <w:t xml:space="preserve"> 3: </w:t>
      </w:r>
      <w:r w:rsidRPr="00FF75A2">
        <w:rPr>
          <w:rFonts w:hint="cs"/>
          <w:u w:val="single"/>
          <w:rtl/>
        </w:rPr>
        <w:t>אישום ראשון</w:t>
      </w:r>
    </w:p>
    <w:p w14:paraId="658AD5C2" w14:textId="77777777" w:rsidR="00BE39B1" w:rsidRDefault="00BE39B1" w:rsidP="00BE39B1">
      <w:pPr>
        <w:spacing w:line="480" w:lineRule="auto"/>
        <w:ind w:left="510" w:hanging="510"/>
        <w:jc w:val="both"/>
        <w:rPr>
          <w:rtl/>
        </w:rPr>
      </w:pPr>
    </w:p>
    <w:p w14:paraId="1A37587C" w14:textId="77777777" w:rsidR="00BE39B1" w:rsidRDefault="00BE39B1" w:rsidP="00BE39B1">
      <w:pPr>
        <w:spacing w:line="480" w:lineRule="auto"/>
        <w:ind w:left="1440" w:hanging="930"/>
        <w:jc w:val="both"/>
        <w:rPr>
          <w:rtl/>
        </w:rPr>
      </w:pPr>
      <w:r>
        <w:rPr>
          <w:rFonts w:hint="cs"/>
          <w:rtl/>
        </w:rPr>
        <w:t>א.</w:t>
      </w:r>
      <w:r>
        <w:rPr>
          <w:rtl/>
        </w:rPr>
        <w:tab/>
      </w:r>
      <w:r>
        <w:rPr>
          <w:rFonts w:hint="cs"/>
          <w:rtl/>
        </w:rPr>
        <w:t xml:space="preserve">על פי סעיף 1 לפרק העובדות, שכאמור דומה בעיקרו ביחס לשלושת הנאשמים דנן, ביום 10.2.18 פגש הסוכן בנאשם 3 (השניים, גיסים). הנאשם 3 נשאל ע"י הסוכן ביחס לאפשרות לרכוש נשק ובתשובה השיב לו כי יש לו חבר שניתן לסמוך עליו וכי הוא מוכר נשק ובאפשרותו לתווך בין השניים. על פי סעיף 2, בחלוף כחצי שעה, לאחר שהתקשר אליו הנאשם 3, הגיע למקום הנאשם 1. במפגש בו נכחו שלושת הנ"ל, הציע נאשם 1 לסוכן אקדח "14" תמורת 34,000 ₪, והוסיף שיש לו אקדח אחר, "16", שמחירו 38,000 ₪. לפרטי המשא ומתן לא מצאתי טעם להתייחס, אך ראוי, בפרט ביחס לנאשם 3, לציין שאמר הוא לסוכן שברצונו לקבל תמורה בגין חלקו בעסקה, ככל שתצא לפועל. </w:t>
      </w:r>
    </w:p>
    <w:p w14:paraId="584A3AD4" w14:textId="77777777" w:rsidR="00BE39B1" w:rsidRDefault="00BE39B1" w:rsidP="00BE39B1">
      <w:pPr>
        <w:spacing w:line="480" w:lineRule="auto"/>
        <w:ind w:left="1440" w:hanging="930"/>
        <w:jc w:val="both"/>
        <w:rPr>
          <w:rtl/>
        </w:rPr>
      </w:pPr>
    </w:p>
    <w:p w14:paraId="32BFB02E" w14:textId="77777777" w:rsidR="00BE39B1" w:rsidRDefault="00BE39B1" w:rsidP="00BE39B1">
      <w:pPr>
        <w:spacing w:line="480" w:lineRule="auto"/>
        <w:ind w:left="1440" w:hanging="930"/>
        <w:jc w:val="both"/>
        <w:rPr>
          <w:rtl/>
        </w:rPr>
      </w:pPr>
      <w:r>
        <w:rPr>
          <w:rFonts w:hint="cs"/>
          <w:rtl/>
        </w:rPr>
        <w:t>ב.</w:t>
      </w:r>
      <w:r>
        <w:rPr>
          <w:rFonts w:hint="cs"/>
          <w:rtl/>
        </w:rPr>
        <w:tab/>
        <w:t xml:space="preserve">על פי סעיף 4 לפרק העובדות של כתבי האישום, כארבעה ימים לאחר מכן, שלח הנאשם 1 באמצעות תוכנת הווטסאפ לסוכן שלוש תמונות של אקדחים. בימים הבאים, התקדם המשא ומתן, נקבעו פגישות ונדחו, ולכל זאת לא מצאתי טעם להתייחס. </w:t>
      </w:r>
    </w:p>
    <w:p w14:paraId="7ED6B464" w14:textId="77777777" w:rsidR="00BE39B1" w:rsidRDefault="00BE39B1" w:rsidP="00BE39B1">
      <w:pPr>
        <w:spacing w:line="480" w:lineRule="auto"/>
        <w:ind w:left="1440" w:hanging="930"/>
        <w:jc w:val="both"/>
        <w:rPr>
          <w:rtl/>
        </w:rPr>
      </w:pPr>
    </w:p>
    <w:p w14:paraId="0DD35ECF" w14:textId="77777777" w:rsidR="00BE39B1" w:rsidRDefault="00BE39B1" w:rsidP="00BE39B1">
      <w:pPr>
        <w:spacing w:line="480" w:lineRule="auto"/>
        <w:ind w:left="1440" w:hanging="930"/>
        <w:jc w:val="both"/>
        <w:rPr>
          <w:rtl/>
        </w:rPr>
      </w:pPr>
      <w:r>
        <w:rPr>
          <w:rFonts w:hint="cs"/>
          <w:rtl/>
        </w:rPr>
        <w:t>ג.</w:t>
      </w:r>
      <w:r>
        <w:rPr>
          <w:rFonts w:hint="cs"/>
          <w:rtl/>
        </w:rPr>
        <w:tab/>
        <w:t>כך התנהלו הדברים עד ליום 19.2.18. על פי סעיף 7 לפרק העובדות, במועד זה, התקשר הסוכן לנאשם 1, שאף עירב במו"מ אדם נוסף אותו הציג כבן דודו. הסוכן ציין בפני השניים, שברצונו לרכוש את האקדח שהוצע תמורת 34,000 ₪, והשלושה קבעו להיפגש באותו ערב בשועפט. על פי סעיף 10 לפרק העובדות של כתב האישום, בשעות הערב של התאריך הנ"ל, נקבעה פגישה בה הגיע הסוכן לתחנת דלק בשייח ג'ראח, שם פגש בנאשם 1, ואלה נסעו למחנה הפליטים בשועפט ופגשו בנאשם 2.</w:t>
      </w:r>
    </w:p>
    <w:p w14:paraId="00E8F60F" w14:textId="77777777" w:rsidR="00BE39B1" w:rsidRDefault="00BE39B1" w:rsidP="00BE39B1">
      <w:pPr>
        <w:spacing w:line="480" w:lineRule="auto"/>
        <w:ind w:left="1440" w:hanging="930"/>
        <w:jc w:val="both"/>
        <w:rPr>
          <w:rtl/>
        </w:rPr>
      </w:pPr>
    </w:p>
    <w:p w14:paraId="04343C2C" w14:textId="77777777" w:rsidR="00BE39B1" w:rsidRDefault="00BE39B1" w:rsidP="00BE39B1">
      <w:pPr>
        <w:spacing w:line="480" w:lineRule="auto"/>
        <w:ind w:left="1440" w:hanging="930"/>
        <w:jc w:val="both"/>
        <w:rPr>
          <w:rtl/>
        </w:rPr>
      </w:pPr>
      <w:r>
        <w:rPr>
          <w:rFonts w:hint="cs"/>
          <w:rtl/>
        </w:rPr>
        <w:t>ד.</w:t>
      </w:r>
      <w:r>
        <w:rPr>
          <w:rFonts w:hint="cs"/>
          <w:rtl/>
        </w:rPr>
        <w:tab/>
        <w:t>עם הגעת הנ"ל למחנה הפליטים שועפט, עצר הנאשם 1 את רכבו סמוך לבית קפה ולמכונית נכנס הנאשם 2, בו ישבו, כאמור, הנאשם 1 והסוכן. הנאשם 2 מסר לסוכן אקדח חצי אוטומטי שפרטיו בכתב האישום, וכן מחסנית תואמת שבתוכה כדורים. הסוכן בדק את האקדח והשלושה המשיכו לביתו של הנאשם 1.</w:t>
      </w:r>
    </w:p>
    <w:p w14:paraId="62F52998" w14:textId="77777777" w:rsidR="00BE39B1" w:rsidRDefault="00BE39B1" w:rsidP="00BE39B1">
      <w:pPr>
        <w:spacing w:line="480" w:lineRule="auto"/>
        <w:ind w:left="1440" w:hanging="930"/>
        <w:jc w:val="both"/>
        <w:rPr>
          <w:rtl/>
        </w:rPr>
      </w:pPr>
    </w:p>
    <w:p w14:paraId="724987BC" w14:textId="77777777" w:rsidR="00BE39B1" w:rsidRDefault="00BE39B1" w:rsidP="00BE39B1">
      <w:pPr>
        <w:spacing w:line="480" w:lineRule="auto"/>
        <w:ind w:left="1440" w:hanging="930"/>
        <w:jc w:val="both"/>
        <w:rPr>
          <w:rtl/>
        </w:rPr>
      </w:pPr>
      <w:r>
        <w:rPr>
          <w:rFonts w:hint="cs"/>
          <w:rtl/>
        </w:rPr>
        <w:t>ה.</w:t>
      </w:r>
      <w:r>
        <w:rPr>
          <w:rFonts w:hint="cs"/>
          <w:rtl/>
        </w:rPr>
        <w:tab/>
        <w:t xml:space="preserve">על פי סעיף 12 לפרק העובדות, במהלך הנסיעה, ניהל הסוכן עם הנאשמים 1 ו-2 ששהו, כאמור, ברכב, מו"מ ביחס למחירו של האקדח ואף סיכמו את מחירו </w:t>
      </w:r>
      <w:r>
        <w:rPr>
          <w:rtl/>
        </w:rPr>
        <w:t>–</w:t>
      </w:r>
      <w:r>
        <w:rPr>
          <w:rFonts w:hint="cs"/>
          <w:rtl/>
        </w:rPr>
        <w:t xml:space="preserve"> 33,000 ₪. </w:t>
      </w:r>
    </w:p>
    <w:p w14:paraId="09E93E3F" w14:textId="77777777" w:rsidR="00BE39B1" w:rsidRDefault="00BE39B1" w:rsidP="00BE39B1">
      <w:pPr>
        <w:spacing w:line="480" w:lineRule="auto"/>
        <w:ind w:left="1440" w:hanging="930"/>
        <w:jc w:val="both"/>
        <w:rPr>
          <w:rtl/>
        </w:rPr>
      </w:pPr>
    </w:p>
    <w:p w14:paraId="5405AF9B" w14:textId="77777777" w:rsidR="00BE39B1" w:rsidRDefault="00BE39B1" w:rsidP="00BE39B1">
      <w:pPr>
        <w:spacing w:line="480" w:lineRule="auto"/>
        <w:ind w:left="1440" w:hanging="930"/>
        <w:jc w:val="both"/>
        <w:rPr>
          <w:rtl/>
        </w:rPr>
      </w:pPr>
      <w:r>
        <w:rPr>
          <w:rFonts w:hint="cs"/>
          <w:rtl/>
        </w:rPr>
        <w:t>ו.</w:t>
      </w:r>
      <w:r>
        <w:rPr>
          <w:rFonts w:hint="cs"/>
          <w:rtl/>
        </w:rPr>
        <w:tab/>
        <w:t xml:space="preserve">סעיף 14 לפרק העובדות מתאר את ליבת עסקת מכירת האקדח. הנאשם 2 עטה כפפות על ידיו, החל לנקות את האקדח במטרה שלא להשאיר סימנים על האקדח ובמקביל ביקש מהסוכן לספור את הכסף. הסוכן העביר את הכסף לידי הנאשם 2, וזה האחרון העביר את הסכום לאחר ששהה בבית ושזהותו אינה ידועה למאשימה, אשר בדק את השטרות. לאחר מכן, הנאשם 2 מסר את האקדח לסוכן. </w:t>
      </w:r>
    </w:p>
    <w:p w14:paraId="792EBA67" w14:textId="77777777" w:rsidR="00BE39B1" w:rsidRDefault="00BE39B1" w:rsidP="00BE39B1">
      <w:pPr>
        <w:spacing w:line="480" w:lineRule="auto"/>
        <w:ind w:left="1440" w:hanging="930"/>
        <w:jc w:val="both"/>
        <w:rPr>
          <w:rtl/>
        </w:rPr>
      </w:pPr>
    </w:p>
    <w:p w14:paraId="10B1ED3E" w14:textId="77777777" w:rsidR="00BE39B1" w:rsidRDefault="00BE39B1" w:rsidP="00BE39B1">
      <w:pPr>
        <w:spacing w:line="480" w:lineRule="auto"/>
        <w:ind w:left="1440" w:hanging="930"/>
        <w:jc w:val="both"/>
        <w:rPr>
          <w:rtl/>
        </w:rPr>
      </w:pPr>
      <w:r>
        <w:rPr>
          <w:rFonts w:hint="cs"/>
          <w:rtl/>
        </w:rPr>
        <w:t>ז.</w:t>
      </w:r>
      <w:r>
        <w:rPr>
          <w:rFonts w:hint="cs"/>
          <w:rtl/>
        </w:rPr>
        <w:tab/>
        <w:t xml:space="preserve">לאחר זאת חזרו הסוכן והנאשם 1 לרכב, ובמהלך הנסיעה לאזור העיר העתיקה שאל הנאשם 1 את הסוכן ביחס לחלקו בעסקה. ואכן, הסוכן העביר לידי הנאשם 1 סך של 1,400 ₪ תמורת חלקו בעסקה. </w:t>
      </w:r>
    </w:p>
    <w:p w14:paraId="14E725B0" w14:textId="77777777" w:rsidR="00BE39B1" w:rsidRDefault="00BE39B1" w:rsidP="00BE39B1">
      <w:pPr>
        <w:spacing w:line="480" w:lineRule="auto"/>
        <w:ind w:left="1440" w:hanging="930"/>
        <w:jc w:val="both"/>
        <w:rPr>
          <w:rtl/>
        </w:rPr>
      </w:pPr>
    </w:p>
    <w:p w14:paraId="029D9354" w14:textId="77777777" w:rsidR="00BE39B1" w:rsidRDefault="00BE39B1" w:rsidP="00BE39B1">
      <w:pPr>
        <w:spacing w:line="480" w:lineRule="auto"/>
        <w:ind w:left="1440" w:hanging="930"/>
        <w:jc w:val="both"/>
        <w:rPr>
          <w:rtl/>
        </w:rPr>
      </w:pPr>
      <w:r>
        <w:rPr>
          <w:rFonts w:hint="cs"/>
          <w:rtl/>
        </w:rPr>
        <w:t>ח.</w:t>
      </w:r>
      <w:r>
        <w:rPr>
          <w:rFonts w:hint="cs"/>
          <w:rtl/>
        </w:rPr>
        <w:tab/>
        <w:t xml:space="preserve">על פי כתב האישום המתוקן בעניינו של הנאשם 1, הורשע הוא בסחר בנשק, עבירה לפי </w:t>
      </w:r>
      <w:hyperlink r:id="rId12" w:history="1">
        <w:r w:rsidR="002173AE" w:rsidRPr="002173AE">
          <w:rPr>
            <w:color w:val="0000FF"/>
            <w:u w:val="single"/>
            <w:rtl/>
          </w:rPr>
          <w:t>סעיף 144(ב2)</w:t>
        </w:r>
      </w:hyperlink>
      <w:r>
        <w:rPr>
          <w:rFonts w:hint="cs"/>
          <w:rtl/>
        </w:rPr>
        <w:t xml:space="preserve"> ל</w:t>
      </w:r>
      <w:hyperlink r:id="rId13" w:history="1">
        <w:r w:rsidR="00AF4EEE" w:rsidRPr="00AF4EEE">
          <w:rPr>
            <w:color w:val="0000FF"/>
            <w:u w:val="single"/>
            <w:rtl/>
          </w:rPr>
          <w:t>חוק העונשין</w:t>
        </w:r>
      </w:hyperlink>
      <w:r>
        <w:rPr>
          <w:rFonts w:hint="cs"/>
          <w:rtl/>
        </w:rPr>
        <w:t xml:space="preserve"> [להלן: "</w:t>
      </w:r>
      <w:r w:rsidRPr="00216E28">
        <w:rPr>
          <w:rFonts w:hint="cs"/>
          <w:b/>
          <w:bCs/>
          <w:rtl/>
        </w:rPr>
        <w:t>החוק</w:t>
      </w:r>
      <w:r>
        <w:rPr>
          <w:rFonts w:hint="cs"/>
          <w:rtl/>
        </w:rPr>
        <w:t xml:space="preserve">"]. </w:t>
      </w:r>
    </w:p>
    <w:p w14:paraId="7229AE71" w14:textId="77777777" w:rsidR="00BE39B1" w:rsidRDefault="00BE39B1" w:rsidP="00BE39B1">
      <w:pPr>
        <w:spacing w:line="480" w:lineRule="auto"/>
        <w:ind w:left="1440" w:hanging="930"/>
        <w:jc w:val="both"/>
        <w:rPr>
          <w:rtl/>
        </w:rPr>
      </w:pPr>
    </w:p>
    <w:p w14:paraId="44161658" w14:textId="77777777" w:rsidR="00BE39B1" w:rsidRDefault="00BE39B1" w:rsidP="00BE39B1">
      <w:pPr>
        <w:spacing w:line="480" w:lineRule="auto"/>
        <w:ind w:left="1440" w:hanging="930"/>
        <w:jc w:val="both"/>
        <w:rPr>
          <w:rtl/>
        </w:rPr>
      </w:pPr>
      <w:r>
        <w:rPr>
          <w:rFonts w:hint="cs"/>
          <w:rtl/>
        </w:rPr>
        <w:t>ט.</w:t>
      </w:r>
      <w:r>
        <w:rPr>
          <w:rFonts w:hint="cs"/>
          <w:rtl/>
        </w:rPr>
        <w:tab/>
        <w:t xml:space="preserve">על פי כתב האישום המתוקן בעניינו של הנאשם 2, הורשע הוא בסחר בנשק, עבירה לפי </w:t>
      </w:r>
      <w:hyperlink r:id="rId14" w:history="1">
        <w:r w:rsidR="002173AE" w:rsidRPr="002173AE">
          <w:rPr>
            <w:color w:val="0000FF"/>
            <w:u w:val="single"/>
            <w:rtl/>
          </w:rPr>
          <w:t>סעיף 144(ב2)</w:t>
        </w:r>
      </w:hyperlink>
      <w:r>
        <w:rPr>
          <w:rFonts w:hint="cs"/>
          <w:rtl/>
        </w:rPr>
        <w:t xml:space="preserve"> לחוק ובשיבוש מהלכי משפט, עבירה לפי </w:t>
      </w:r>
      <w:hyperlink r:id="rId15" w:history="1">
        <w:r w:rsidR="002173AE" w:rsidRPr="002173AE">
          <w:rPr>
            <w:color w:val="0000FF"/>
            <w:u w:val="single"/>
            <w:rtl/>
          </w:rPr>
          <w:t>סעיף 244</w:t>
        </w:r>
      </w:hyperlink>
      <w:r>
        <w:rPr>
          <w:rFonts w:hint="cs"/>
          <w:rtl/>
        </w:rPr>
        <w:t xml:space="preserve"> לחוק. </w:t>
      </w:r>
    </w:p>
    <w:p w14:paraId="1E64111A" w14:textId="77777777" w:rsidR="00BE39B1" w:rsidRDefault="00BE39B1" w:rsidP="00BE39B1">
      <w:pPr>
        <w:spacing w:line="480" w:lineRule="auto"/>
        <w:ind w:left="1440" w:hanging="930"/>
        <w:jc w:val="both"/>
        <w:rPr>
          <w:rtl/>
        </w:rPr>
      </w:pPr>
    </w:p>
    <w:p w14:paraId="7FF0D1D5" w14:textId="77777777" w:rsidR="00BE39B1" w:rsidRDefault="00BE39B1" w:rsidP="00BE39B1">
      <w:pPr>
        <w:spacing w:line="480" w:lineRule="auto"/>
        <w:ind w:left="1440" w:hanging="930"/>
        <w:jc w:val="both"/>
        <w:rPr>
          <w:rtl/>
        </w:rPr>
      </w:pPr>
      <w:r>
        <w:rPr>
          <w:rFonts w:hint="cs"/>
          <w:rtl/>
        </w:rPr>
        <w:t>י.</w:t>
      </w:r>
      <w:r>
        <w:rPr>
          <w:rFonts w:hint="cs"/>
          <w:rtl/>
        </w:rPr>
        <w:tab/>
        <w:t xml:space="preserve">ועל פי כתב האישום המתוקן בעניינו של הנאשם 3, הורשע הוא בסיוע לעסקה אחרת בנשק, עבירה לפי </w:t>
      </w:r>
      <w:hyperlink r:id="rId16" w:history="1">
        <w:r w:rsidR="002173AE" w:rsidRPr="002173AE">
          <w:rPr>
            <w:color w:val="0000FF"/>
            <w:u w:val="single"/>
            <w:rtl/>
          </w:rPr>
          <w:t>סעיף 144(ב2)</w:t>
        </w:r>
      </w:hyperlink>
      <w:r>
        <w:rPr>
          <w:rFonts w:hint="cs"/>
          <w:rtl/>
        </w:rPr>
        <w:t xml:space="preserve"> לחוק בצירוף </w:t>
      </w:r>
      <w:hyperlink r:id="rId17" w:history="1">
        <w:r w:rsidR="002173AE" w:rsidRPr="002173AE">
          <w:rPr>
            <w:color w:val="0000FF"/>
            <w:u w:val="single"/>
            <w:rtl/>
          </w:rPr>
          <w:t>סעיף 31</w:t>
        </w:r>
      </w:hyperlink>
      <w:r>
        <w:rPr>
          <w:rFonts w:hint="cs"/>
          <w:rtl/>
        </w:rPr>
        <w:t xml:space="preserve"> לחוק. </w:t>
      </w:r>
    </w:p>
    <w:p w14:paraId="54AECBD8" w14:textId="77777777" w:rsidR="00BE39B1" w:rsidRDefault="00BE39B1" w:rsidP="00BE39B1">
      <w:pPr>
        <w:spacing w:line="480" w:lineRule="auto"/>
        <w:ind w:left="1440" w:hanging="930"/>
        <w:jc w:val="both"/>
        <w:rPr>
          <w:rtl/>
        </w:rPr>
      </w:pPr>
    </w:p>
    <w:p w14:paraId="50CEF3DC" w14:textId="77777777" w:rsidR="00BE39B1" w:rsidRPr="00D51458" w:rsidRDefault="00BE39B1" w:rsidP="00BE39B1">
      <w:pPr>
        <w:spacing w:line="480" w:lineRule="auto"/>
        <w:ind w:firstLine="510"/>
        <w:jc w:val="both"/>
        <w:rPr>
          <w:u w:val="single"/>
          <w:rtl/>
        </w:rPr>
      </w:pPr>
      <w:r>
        <w:rPr>
          <w:rFonts w:hint="cs"/>
          <w:u w:val="single"/>
          <w:rtl/>
        </w:rPr>
        <w:t>הנאשמים 1, 5 -</w:t>
      </w:r>
      <w:r w:rsidRPr="00D51458">
        <w:rPr>
          <w:rFonts w:hint="cs"/>
          <w:u w:val="single"/>
          <w:rtl/>
        </w:rPr>
        <w:t xml:space="preserve"> אישום שני </w:t>
      </w:r>
    </w:p>
    <w:p w14:paraId="2E6E2952" w14:textId="77777777" w:rsidR="00BE39B1" w:rsidRDefault="00BE39B1" w:rsidP="00BE39B1">
      <w:pPr>
        <w:spacing w:line="480" w:lineRule="auto"/>
        <w:ind w:left="1440" w:hanging="930"/>
        <w:jc w:val="both"/>
        <w:rPr>
          <w:b/>
          <w:bCs/>
          <w:u w:val="single"/>
          <w:rtl/>
        </w:rPr>
      </w:pPr>
    </w:p>
    <w:p w14:paraId="533405EE" w14:textId="77777777" w:rsidR="00BE39B1" w:rsidRDefault="00BE39B1" w:rsidP="00BE39B1">
      <w:pPr>
        <w:spacing w:line="480" w:lineRule="auto"/>
        <w:ind w:left="1440" w:hanging="930"/>
        <w:jc w:val="both"/>
        <w:rPr>
          <w:rtl/>
        </w:rPr>
      </w:pPr>
      <w:r>
        <w:rPr>
          <w:rFonts w:hint="cs"/>
          <w:rtl/>
        </w:rPr>
        <w:t>א.</w:t>
      </w:r>
      <w:r>
        <w:rPr>
          <w:rtl/>
        </w:rPr>
        <w:tab/>
      </w:r>
      <w:r>
        <w:rPr>
          <w:rFonts w:hint="cs"/>
          <w:rtl/>
        </w:rPr>
        <w:t xml:space="preserve">על פי סעיף 1 לפרק העובדות של אישום זה, שוחח הנאשם 1 עם הסוכן ביום 26.2.18 מספר פעמים, תוך שאמר לו הנאשם 1 שיציג בפניו באותו יום מספר אקדחים לבחירתו. השניים קבעו להיפגש כשעה לאחר מכן בתחנת דלק. </w:t>
      </w:r>
    </w:p>
    <w:p w14:paraId="0DD45ED2" w14:textId="77777777" w:rsidR="00BE39B1" w:rsidRDefault="00BE39B1" w:rsidP="00BE39B1">
      <w:pPr>
        <w:spacing w:line="480" w:lineRule="auto"/>
        <w:ind w:left="1440" w:hanging="930"/>
        <w:jc w:val="both"/>
        <w:rPr>
          <w:rtl/>
        </w:rPr>
      </w:pPr>
    </w:p>
    <w:p w14:paraId="27464C39" w14:textId="77777777" w:rsidR="00BE39B1" w:rsidRDefault="00BE39B1" w:rsidP="00BE39B1">
      <w:pPr>
        <w:spacing w:line="480" w:lineRule="auto"/>
        <w:ind w:left="1440" w:hanging="930"/>
        <w:jc w:val="both"/>
        <w:rPr>
          <w:rtl/>
        </w:rPr>
      </w:pPr>
      <w:r>
        <w:rPr>
          <w:rFonts w:hint="cs"/>
          <w:rtl/>
        </w:rPr>
        <w:t>ב.</w:t>
      </w:r>
      <w:r>
        <w:rPr>
          <w:rFonts w:hint="cs"/>
          <w:rtl/>
        </w:rPr>
        <w:tab/>
        <w:t xml:space="preserve">הסוכן והנאשם 1 אכן נפגשו בהמשך היום ונסעו לשועפט ברכב משותף. עם הגיעם, יצא הנאשם 1 מהרכב ובחלוף מספר דקות שב ואמר לסוכן, שלבן דודתו יש מספר אקדחים טובים שמחירם עד 30,000 ₪. נאמר לסוכן שביום למחרת יוכל לפגוש בבן הדודה. </w:t>
      </w:r>
    </w:p>
    <w:p w14:paraId="4EE6E772" w14:textId="77777777" w:rsidR="00BE39B1" w:rsidRDefault="00BE39B1" w:rsidP="00BE39B1">
      <w:pPr>
        <w:spacing w:line="480" w:lineRule="auto"/>
        <w:ind w:left="1440" w:hanging="930"/>
        <w:jc w:val="both"/>
        <w:rPr>
          <w:rtl/>
        </w:rPr>
      </w:pPr>
    </w:p>
    <w:p w14:paraId="0B49D7DC" w14:textId="77777777" w:rsidR="00BE39B1" w:rsidRDefault="00BE39B1" w:rsidP="00BE39B1">
      <w:pPr>
        <w:spacing w:line="480" w:lineRule="auto"/>
        <w:ind w:left="1440" w:hanging="930"/>
        <w:jc w:val="both"/>
        <w:rPr>
          <w:rtl/>
        </w:rPr>
      </w:pPr>
      <w:r>
        <w:rPr>
          <w:rFonts w:hint="cs"/>
          <w:rtl/>
        </w:rPr>
        <w:t>ג.</w:t>
      </w:r>
      <w:r>
        <w:rPr>
          <w:rFonts w:hint="cs"/>
          <w:rtl/>
        </w:rPr>
        <w:tab/>
        <w:t xml:space="preserve">ביום המחרת שוחחו הנאשם 1 והסוכן מספר פעמים, וביחס לאקדח עליו דובר עדכן הנאשם 1 את הסוכן שהאקדח מוכן ומחירו </w:t>
      </w:r>
      <w:r>
        <w:rPr>
          <w:rtl/>
        </w:rPr>
        <w:t>–</w:t>
      </w:r>
      <w:r>
        <w:rPr>
          <w:rFonts w:hint="cs"/>
          <w:rtl/>
        </w:rPr>
        <w:t xml:space="preserve"> 33,000 ₪. בהמשך עדכן הנאשם 1 את הסוכן בדבר פגישה מתוכננת של שניהם עם בן דודתו, ואמר כי לפגישה יביא עמו שני אקדחים. </w:t>
      </w:r>
    </w:p>
    <w:p w14:paraId="2AEAC56D" w14:textId="77777777" w:rsidR="00BE39B1" w:rsidRDefault="00BE39B1" w:rsidP="00BE39B1">
      <w:pPr>
        <w:spacing w:line="480" w:lineRule="auto"/>
        <w:ind w:left="1440" w:hanging="930"/>
        <w:jc w:val="both"/>
        <w:rPr>
          <w:rtl/>
        </w:rPr>
      </w:pPr>
    </w:p>
    <w:p w14:paraId="0BA4AA69" w14:textId="77777777" w:rsidR="00BE39B1" w:rsidRDefault="00BE39B1" w:rsidP="00BE39B1">
      <w:pPr>
        <w:spacing w:line="480" w:lineRule="auto"/>
        <w:ind w:left="1440" w:hanging="930"/>
        <w:jc w:val="both"/>
        <w:rPr>
          <w:rtl/>
        </w:rPr>
      </w:pPr>
      <w:r>
        <w:rPr>
          <w:rFonts w:hint="cs"/>
          <w:rtl/>
        </w:rPr>
        <w:t>ד.</w:t>
      </w:r>
      <w:r>
        <w:rPr>
          <w:rFonts w:hint="cs"/>
          <w:rtl/>
        </w:rPr>
        <w:tab/>
        <w:t xml:space="preserve">באותו יום, 27.2.18, נפגשו הסוכן והנאשם 1 בתחנת דלק ונסעו יחדיו ברכב לכיוון שועפט. על פי סעיף 5, עם הגעתם, פגשו באחר, אמין חמדאן, שנכנס לרכב, ובנוכחות הנאשם 1 העביר לסוכן אקדח חצי אוטומטי שפרטיו בכתב האישום, וכן שתי מחסניות ונרתיק תואמים. אמין אמר לסוכן בנוכחות הנאשם 1, שעל הפרק אקדח חדש שמחירו 18,500 ₪ ושבכוחו לספק כדורים רבים. סעיף 7 מלמדנו שאמר הסוכן לאמין, שהוא מעוניין באקדח וביקש מאמין להביא כדורים על מנת שיוכל לבדוק אותו. לאחר כחצי שעה, הגיע אחר ומסר לאמין 2 כדורים. </w:t>
      </w:r>
    </w:p>
    <w:p w14:paraId="472A4062" w14:textId="77777777" w:rsidR="00BE39B1" w:rsidRDefault="00BE39B1" w:rsidP="00BE39B1">
      <w:pPr>
        <w:spacing w:line="480" w:lineRule="auto"/>
        <w:ind w:left="1440" w:hanging="930"/>
        <w:jc w:val="both"/>
        <w:rPr>
          <w:rtl/>
        </w:rPr>
      </w:pPr>
    </w:p>
    <w:p w14:paraId="3AF4B8F5" w14:textId="77777777" w:rsidR="00BE39B1" w:rsidRDefault="00BE39B1" w:rsidP="00BE39B1">
      <w:pPr>
        <w:spacing w:line="480" w:lineRule="auto"/>
        <w:ind w:left="1440" w:hanging="930"/>
        <w:jc w:val="both"/>
        <w:rPr>
          <w:rtl/>
        </w:rPr>
      </w:pPr>
      <w:r>
        <w:rPr>
          <w:rFonts w:hint="cs"/>
          <w:rtl/>
        </w:rPr>
        <w:t>ה.</w:t>
      </w:r>
      <w:r>
        <w:rPr>
          <w:rFonts w:hint="cs"/>
          <w:rtl/>
        </w:rPr>
        <w:tab/>
        <w:t xml:space="preserve">סעיף 8 מהווה את ליבתו של אישום זה. לאחר שהחלו השלושה בנסיעה, מסר הסוכן לאמין את האקדח. אמין הכניס כדורים לאקדח, ירה מבעד לחלון שני כדורים, פרק את האקדח והשיבו לידי הסוכן. הסוכן מסר לאמין 18,500 ₪. במהלך שובם לעיר העתיקה של הסוכן והנאשם 1, העביר הסוכן לנאשם 1 את הסך של 1,500 ₪ תמורת חלקו בעסקה. </w:t>
      </w:r>
    </w:p>
    <w:p w14:paraId="5968622C" w14:textId="77777777" w:rsidR="00BE39B1" w:rsidRDefault="00BE39B1" w:rsidP="00BE39B1">
      <w:pPr>
        <w:spacing w:line="480" w:lineRule="auto"/>
        <w:ind w:left="1440" w:hanging="930"/>
        <w:jc w:val="both"/>
        <w:rPr>
          <w:rtl/>
        </w:rPr>
      </w:pPr>
    </w:p>
    <w:p w14:paraId="148B23A7" w14:textId="77777777" w:rsidR="00BE39B1" w:rsidRDefault="00BE39B1" w:rsidP="00BE39B1">
      <w:pPr>
        <w:spacing w:line="480" w:lineRule="auto"/>
        <w:ind w:left="1440" w:hanging="930"/>
        <w:jc w:val="both"/>
        <w:rPr>
          <w:rtl/>
        </w:rPr>
      </w:pPr>
      <w:r>
        <w:rPr>
          <w:rFonts w:hint="cs"/>
          <w:rtl/>
        </w:rPr>
        <w:t>ו.</w:t>
      </w:r>
      <w:r>
        <w:rPr>
          <w:rtl/>
        </w:rPr>
        <w:tab/>
      </w:r>
      <w:r>
        <w:rPr>
          <w:rFonts w:hint="cs"/>
          <w:rtl/>
        </w:rPr>
        <w:t xml:space="preserve">סעיפים 7 </w:t>
      </w:r>
      <w:r>
        <w:rPr>
          <w:rtl/>
        </w:rPr>
        <w:t>–</w:t>
      </w:r>
      <w:r>
        <w:rPr>
          <w:rFonts w:hint="cs"/>
          <w:rtl/>
        </w:rPr>
        <w:t xml:space="preserve"> 10, מתייחסים לחלקו באישום זה של נאשם 5. על פי סעיף 9, ביום 6.3.18, שוחח הסוכן עם הנאשם 5 ונקבעה פגישה במחנה הפליטים שועפט. על פי סעיף 10, בהמשך לכך, נפגש הסוכן עם הנאשם 5. הנאשם 5 נכנס לרכב בו ישב הסוכן, כיוונו לנקודה מסוימת, שם המתינו להבאת האקדחים. ברם, לאחר המתנה, עדכן הנאשם 5 את הסוכן שהדבר מתעכב בשל המחסום הצבאי שנמצא בקלנדיה ובסופו של דבר, אמר הסוכן לנאשם 5 שאין ביכולתו להמתין עוד והשניים נפרדו. מכאן המסקנה שעל הפרק נסיון ולא עבירה שביצועה הושלם.</w:t>
      </w:r>
    </w:p>
    <w:p w14:paraId="38E38633" w14:textId="77777777" w:rsidR="00BE39B1" w:rsidRDefault="00BE39B1" w:rsidP="00BE39B1">
      <w:pPr>
        <w:spacing w:line="480" w:lineRule="auto"/>
        <w:ind w:left="1440" w:hanging="930"/>
        <w:jc w:val="both"/>
        <w:rPr>
          <w:rtl/>
        </w:rPr>
      </w:pPr>
    </w:p>
    <w:p w14:paraId="0BA025C7" w14:textId="77777777" w:rsidR="00BE39B1" w:rsidRDefault="00BE39B1" w:rsidP="00BE39B1">
      <w:pPr>
        <w:spacing w:line="480" w:lineRule="auto"/>
        <w:ind w:left="1440" w:hanging="930"/>
        <w:jc w:val="both"/>
        <w:rPr>
          <w:rtl/>
        </w:rPr>
      </w:pPr>
      <w:r>
        <w:rPr>
          <w:rFonts w:hint="cs"/>
          <w:rtl/>
        </w:rPr>
        <w:t>ז.</w:t>
      </w:r>
      <w:r>
        <w:rPr>
          <w:rFonts w:hint="cs"/>
          <w:rtl/>
        </w:rPr>
        <w:tab/>
        <w:t xml:space="preserve">בגין מעשיו אלה, הורשע הנאשם 1 בעבירה אחת של סחר בנשק, לפי </w:t>
      </w:r>
      <w:hyperlink r:id="rId18" w:history="1">
        <w:r w:rsidR="002173AE" w:rsidRPr="002173AE">
          <w:rPr>
            <w:color w:val="0000FF"/>
            <w:u w:val="single"/>
            <w:rtl/>
          </w:rPr>
          <w:t>סעיף 144(ב2)</w:t>
        </w:r>
      </w:hyperlink>
      <w:r>
        <w:rPr>
          <w:rFonts w:hint="cs"/>
          <w:rtl/>
        </w:rPr>
        <w:t xml:space="preserve"> לחוק, והנאשם 5, בניסיון סחר בנשק </w:t>
      </w:r>
      <w:r>
        <w:rPr>
          <w:rtl/>
        </w:rPr>
        <w:t>–</w:t>
      </w:r>
      <w:r>
        <w:rPr>
          <w:rFonts w:hint="cs"/>
          <w:rtl/>
        </w:rPr>
        <w:t xml:space="preserve"> העבירה הנ"ל + </w:t>
      </w:r>
      <w:hyperlink r:id="rId19" w:history="1">
        <w:r w:rsidR="002173AE" w:rsidRPr="002173AE">
          <w:rPr>
            <w:color w:val="0000FF"/>
            <w:u w:val="single"/>
            <w:rtl/>
          </w:rPr>
          <w:t>סעיף 25</w:t>
        </w:r>
      </w:hyperlink>
      <w:r>
        <w:rPr>
          <w:rFonts w:hint="cs"/>
          <w:rtl/>
        </w:rPr>
        <w:t xml:space="preserve"> לחוק. </w:t>
      </w:r>
    </w:p>
    <w:p w14:paraId="19D5EF34" w14:textId="77777777" w:rsidR="00BE39B1" w:rsidRDefault="00BE39B1" w:rsidP="00BE39B1">
      <w:pPr>
        <w:spacing w:line="480" w:lineRule="auto"/>
        <w:jc w:val="both"/>
        <w:rPr>
          <w:rtl/>
        </w:rPr>
      </w:pPr>
    </w:p>
    <w:p w14:paraId="3F46624D" w14:textId="77777777" w:rsidR="00BE39B1" w:rsidRPr="00AE5327" w:rsidRDefault="00BE39B1" w:rsidP="00BE39B1">
      <w:pPr>
        <w:spacing w:line="480" w:lineRule="auto"/>
        <w:ind w:left="510" w:hanging="510"/>
        <w:jc w:val="both"/>
        <w:rPr>
          <w:b/>
          <w:bCs/>
          <w:u w:val="single"/>
          <w:rtl/>
        </w:rPr>
      </w:pPr>
      <w:r>
        <w:rPr>
          <w:rtl/>
        </w:rPr>
        <w:t>3.</w:t>
      </w:r>
      <w:r>
        <w:rPr>
          <w:rFonts w:hint="cs"/>
          <w:rtl/>
        </w:rPr>
        <w:tab/>
      </w:r>
      <w:r w:rsidRPr="00AE5327">
        <w:rPr>
          <w:rFonts w:hint="cs"/>
          <w:b/>
          <w:bCs/>
          <w:u w:val="single"/>
          <w:rtl/>
        </w:rPr>
        <w:t>הסדרי טיעון חלקיים ולשאלת מתחם הענישה</w:t>
      </w:r>
    </w:p>
    <w:p w14:paraId="0A35F799" w14:textId="77777777" w:rsidR="00BE39B1" w:rsidRDefault="00BE39B1" w:rsidP="00BE39B1">
      <w:pPr>
        <w:spacing w:line="480" w:lineRule="auto"/>
        <w:ind w:left="510" w:hanging="510"/>
        <w:jc w:val="both"/>
        <w:rPr>
          <w:rtl/>
        </w:rPr>
      </w:pPr>
    </w:p>
    <w:p w14:paraId="536850F8" w14:textId="77777777" w:rsidR="00BE39B1" w:rsidRDefault="00BE39B1" w:rsidP="00BE39B1">
      <w:pPr>
        <w:spacing w:line="480" w:lineRule="auto"/>
        <w:ind w:left="1440" w:hanging="930"/>
        <w:jc w:val="both"/>
        <w:rPr>
          <w:rtl/>
        </w:rPr>
      </w:pPr>
      <w:r>
        <w:rPr>
          <w:rFonts w:hint="cs"/>
          <w:rtl/>
        </w:rPr>
        <w:t>א.</w:t>
      </w:r>
      <w:r>
        <w:rPr>
          <w:rFonts w:hint="cs"/>
          <w:rtl/>
        </w:rPr>
        <w:tab/>
        <w:t>ביחס לנאשמים 2, 3 ו-5 הגיעו הצדדים להסדר טיעון חלקי, לפיו, הגבילה עצמה המאשימה לתקרת הענישה. על פי הלכת שפרנוביץ [</w:t>
      </w:r>
      <w:hyperlink r:id="rId20" w:history="1">
        <w:r w:rsidR="00AF4EEE" w:rsidRPr="00AF4EEE">
          <w:rPr>
            <w:color w:val="0000FF"/>
            <w:u w:val="single"/>
            <w:rtl/>
          </w:rPr>
          <w:t>ע"פ 2524/15</w:t>
        </w:r>
      </w:hyperlink>
      <w:r>
        <w:rPr>
          <w:rFonts w:hint="cs"/>
          <w:rtl/>
        </w:rPr>
        <w:t xml:space="preserve"> </w:t>
      </w:r>
      <w:r w:rsidRPr="00291CED">
        <w:rPr>
          <w:rFonts w:hint="cs"/>
          <w:b/>
          <w:bCs/>
          <w:rtl/>
        </w:rPr>
        <w:t>שפרנוביץ נ' מדינת ישראל</w:t>
      </w:r>
      <w:r>
        <w:rPr>
          <w:rFonts w:hint="cs"/>
          <w:rtl/>
        </w:rPr>
        <w:t xml:space="preserve">] רואה אני עצמי פטור מדיון במתחם הענישה בעניינם. </w:t>
      </w:r>
    </w:p>
    <w:p w14:paraId="63F71042" w14:textId="77777777" w:rsidR="00BE39B1" w:rsidRDefault="00BE39B1" w:rsidP="00BE39B1">
      <w:pPr>
        <w:spacing w:line="480" w:lineRule="auto"/>
        <w:ind w:left="1440" w:hanging="930"/>
        <w:jc w:val="both"/>
        <w:rPr>
          <w:rtl/>
        </w:rPr>
      </w:pPr>
    </w:p>
    <w:p w14:paraId="1837AFD6" w14:textId="77777777" w:rsidR="00BE39B1" w:rsidRDefault="00BE39B1" w:rsidP="00BE39B1">
      <w:pPr>
        <w:spacing w:line="480" w:lineRule="auto"/>
        <w:ind w:left="2160" w:hanging="630"/>
        <w:jc w:val="both"/>
        <w:rPr>
          <w:rtl/>
        </w:rPr>
      </w:pPr>
      <w:r>
        <w:rPr>
          <w:rFonts w:hint="cs"/>
          <w:rtl/>
        </w:rPr>
        <w:t>1.</w:t>
      </w:r>
      <w:r>
        <w:rPr>
          <w:rFonts w:hint="cs"/>
          <w:rtl/>
        </w:rPr>
        <w:tab/>
        <w:t>אשר לנאשם 2, הוסכם שתגביל עצמה המאשימה ל-30 חודשי מאסר בפועל, לצד ענישה נלווית.</w:t>
      </w:r>
    </w:p>
    <w:p w14:paraId="2B6161E3" w14:textId="77777777" w:rsidR="00BE39B1" w:rsidRDefault="00BE39B1" w:rsidP="00BE39B1">
      <w:pPr>
        <w:spacing w:line="480" w:lineRule="auto"/>
        <w:ind w:left="2160" w:hanging="630"/>
        <w:jc w:val="both"/>
        <w:rPr>
          <w:rtl/>
        </w:rPr>
      </w:pPr>
    </w:p>
    <w:p w14:paraId="51F4FD55" w14:textId="77777777" w:rsidR="00BE39B1" w:rsidRDefault="00BE39B1" w:rsidP="00BE39B1">
      <w:pPr>
        <w:spacing w:line="480" w:lineRule="auto"/>
        <w:ind w:left="2160" w:hanging="630"/>
        <w:jc w:val="both"/>
        <w:rPr>
          <w:rtl/>
        </w:rPr>
      </w:pPr>
      <w:r>
        <w:rPr>
          <w:rFonts w:hint="cs"/>
          <w:rtl/>
        </w:rPr>
        <w:t>2.</w:t>
      </w:r>
      <w:r>
        <w:rPr>
          <w:rFonts w:hint="cs"/>
          <w:rtl/>
        </w:rPr>
        <w:tab/>
        <w:t xml:space="preserve">אשר לנאשם 3, הוסכם שתגביל עצמה המאשימה ל -12 חודשי מאסר בפועל, לצד ענישה נלווית. </w:t>
      </w:r>
    </w:p>
    <w:p w14:paraId="3EA784BD" w14:textId="77777777" w:rsidR="00BE39B1" w:rsidRDefault="00BE39B1" w:rsidP="00BE39B1">
      <w:pPr>
        <w:spacing w:line="480" w:lineRule="auto"/>
        <w:ind w:left="2160" w:hanging="630"/>
        <w:jc w:val="both"/>
        <w:rPr>
          <w:rtl/>
        </w:rPr>
      </w:pPr>
    </w:p>
    <w:p w14:paraId="3B9C1EDA" w14:textId="77777777" w:rsidR="00BE39B1" w:rsidRDefault="00BE39B1" w:rsidP="00BE39B1">
      <w:pPr>
        <w:spacing w:line="480" w:lineRule="auto"/>
        <w:ind w:left="2160" w:hanging="630"/>
        <w:jc w:val="both"/>
        <w:rPr>
          <w:rtl/>
        </w:rPr>
      </w:pPr>
      <w:r>
        <w:rPr>
          <w:rFonts w:hint="cs"/>
          <w:rtl/>
        </w:rPr>
        <w:t>3.</w:t>
      </w:r>
      <w:r>
        <w:rPr>
          <w:rFonts w:hint="cs"/>
          <w:rtl/>
        </w:rPr>
        <w:tab/>
        <w:t xml:space="preserve">אשר לנאשם 5, הוסכם שתגביל עצמה המאשימה ל -16 חודשי מאסר בפועל, לצד תנאי. עובר לשלביו האחרונים של הדיון, התברר, שנותרה מחלוקת בין הצדדים בשאלת הקנס. </w:t>
      </w:r>
    </w:p>
    <w:p w14:paraId="6F586304" w14:textId="77777777" w:rsidR="00BE39B1" w:rsidRDefault="00BE39B1" w:rsidP="00BE39B1">
      <w:pPr>
        <w:spacing w:line="480" w:lineRule="auto"/>
        <w:jc w:val="both"/>
        <w:rPr>
          <w:rtl/>
        </w:rPr>
      </w:pPr>
    </w:p>
    <w:p w14:paraId="2CDB77C8" w14:textId="77777777" w:rsidR="00BE39B1" w:rsidRDefault="00BE39B1" w:rsidP="00BE39B1">
      <w:pPr>
        <w:spacing w:line="480" w:lineRule="auto"/>
        <w:ind w:left="1440" w:hanging="720"/>
        <w:jc w:val="both"/>
        <w:rPr>
          <w:rtl/>
        </w:rPr>
      </w:pPr>
      <w:r>
        <w:rPr>
          <w:rFonts w:hint="cs"/>
          <w:rtl/>
        </w:rPr>
        <w:t>ב.</w:t>
      </w:r>
      <w:r>
        <w:rPr>
          <w:rFonts w:hint="cs"/>
          <w:rtl/>
        </w:rPr>
        <w:tab/>
        <w:t xml:space="preserve">על הפרק, אפוא, שאלת מתחם הענישה ביחס לנאשם 1 בלבד. ואולם, קודם שאתייחס למחלוקת בין הצדדים, יוער שמקובלת עליי עמדת המאשימה, שהגם שמדובר ביחס לנאשם זה בשני אישומים, נכון מלכתחילה להתייחס אליהם ביחד. הדמיון באישומים והעובדה שעל הפרק אותו סוכן וסמיכות המועדים (כשבועיים בין עסקה לעסקה) מצדיקים את הדבר. לטענת המאשימה, ראוי למתחם שיוגדר על הטווח שבין 48 חודשי מאסר לבין 60 חודשי מאסר. לטענת ב"כ הנכבד של הנאשם 1, הפריזה ביותר המאשימה בדרישתה זו. </w:t>
      </w:r>
    </w:p>
    <w:p w14:paraId="7A8EF9B6" w14:textId="77777777" w:rsidR="00BE39B1" w:rsidRDefault="00BE39B1" w:rsidP="00BE39B1">
      <w:pPr>
        <w:spacing w:line="480" w:lineRule="auto"/>
        <w:ind w:left="1440" w:hanging="720"/>
        <w:jc w:val="both"/>
        <w:rPr>
          <w:rtl/>
        </w:rPr>
      </w:pPr>
    </w:p>
    <w:p w14:paraId="5A0EB4F3" w14:textId="77777777" w:rsidR="00BE39B1" w:rsidRDefault="00BE39B1" w:rsidP="00BE39B1">
      <w:pPr>
        <w:spacing w:line="480" w:lineRule="auto"/>
        <w:ind w:left="1440" w:hanging="720"/>
        <w:jc w:val="both"/>
        <w:rPr>
          <w:rtl/>
        </w:rPr>
      </w:pPr>
      <w:r>
        <w:rPr>
          <w:rFonts w:hint="cs"/>
          <w:rtl/>
        </w:rPr>
        <w:t>ג.</w:t>
      </w:r>
      <w:r>
        <w:rPr>
          <w:rFonts w:hint="cs"/>
          <w:rtl/>
        </w:rPr>
        <w:tab/>
        <w:t xml:space="preserve">ואולם קודם שאשוב לשאלת מתחם הענישה, נכון להתייחס בתמצית לאחדות מהטענות שהועלו ביחס לנאשם זה, העשויות, לפחות לדעת ההגנה, להשליך גם על הדיון בשאלת מתחם הענישה, ולקולא. </w:t>
      </w:r>
    </w:p>
    <w:p w14:paraId="0140B59C" w14:textId="77777777" w:rsidR="00BE39B1" w:rsidRDefault="00BE39B1" w:rsidP="00BE39B1">
      <w:pPr>
        <w:spacing w:line="480" w:lineRule="auto"/>
        <w:ind w:left="1440" w:hanging="720"/>
        <w:jc w:val="both"/>
        <w:rPr>
          <w:rtl/>
        </w:rPr>
      </w:pPr>
    </w:p>
    <w:p w14:paraId="2A83C14B" w14:textId="77777777" w:rsidR="00BE39B1" w:rsidRDefault="00BE39B1" w:rsidP="00BE39B1">
      <w:pPr>
        <w:spacing w:line="480" w:lineRule="auto"/>
        <w:ind w:left="2160" w:hanging="630"/>
        <w:jc w:val="both"/>
        <w:rPr>
          <w:rtl/>
        </w:rPr>
      </w:pPr>
      <w:r>
        <w:rPr>
          <w:rFonts w:hint="cs"/>
          <w:rtl/>
        </w:rPr>
        <w:t>1.</w:t>
      </w:r>
      <w:r>
        <w:rPr>
          <w:rFonts w:hint="cs"/>
          <w:rtl/>
        </w:rPr>
        <w:tab/>
        <w:t xml:space="preserve">דגש רב בטיעוניו שם ב"כ הנאשם 1 על כך שתפקיד מרשו בפרשות, היה תפקיד של מתווך, וביחס למתווך ראוי לבית המשפט להימנע ממיצוי הדין, באשר אין דינו של מי שתיווך כמי שמכר. ניתנה הדעת לטענה זו, וגם אם עיונית ניתן להבין שעיקר תפקידו של הנאשם 1 בפרשות שפורטו היה תפקיד של מתווך, ספק רב עד כמה יש בכך כדי להשליך על שאלת העונש. זאת, בפרט, כאשר ניתן ללמוד מהתמונה הכוללת שאין על הפרק תיווך אקראי. גם </w:t>
      </w:r>
      <w:hyperlink r:id="rId21" w:history="1">
        <w:r w:rsidR="00AF4EEE" w:rsidRPr="00AF4EEE">
          <w:rPr>
            <w:color w:val="0000FF"/>
            <w:u w:val="single"/>
            <w:rtl/>
          </w:rPr>
          <w:t>חוק העונשין</w:t>
        </w:r>
      </w:hyperlink>
      <w:r>
        <w:rPr>
          <w:rFonts w:hint="cs"/>
          <w:rtl/>
        </w:rPr>
        <w:t xml:space="preserve">, ולא בכדי, אינו מגדיר בנפרד עבירת תיווך תוך הקלה בעונשו של המתווך. גם אם ניתן לומר שהיה נאשם 1 מתווך, עיסוקו היה בהיקף נרחב וניתן בנקל ללמוד מכתב האישום, על מקומו במארג וידיעתו כיצד וממי ניתן להשיג נשקים למכירה במהירות ובזמינות (וודאי שאזכיר, שנענה הוא להצעות בסמיכות רבה למועד בו הופנו אליו הצעות אלה). "המתווך" גם עשה במלאכתו במסירות תוך נוכחות בפגישות, תוך מעורבות בהתקשרויות עצמן, ותוך שגם ביקש לעצמו תמורה הולמת בגין כל עסקה. </w:t>
      </w:r>
    </w:p>
    <w:p w14:paraId="1B9B26C0" w14:textId="77777777" w:rsidR="00BE39B1" w:rsidRDefault="00BE39B1" w:rsidP="00BE39B1">
      <w:pPr>
        <w:spacing w:line="480" w:lineRule="auto"/>
        <w:ind w:left="2160" w:hanging="630"/>
        <w:jc w:val="both"/>
        <w:rPr>
          <w:rtl/>
        </w:rPr>
      </w:pPr>
    </w:p>
    <w:p w14:paraId="2A2A6430" w14:textId="77777777" w:rsidR="00BE39B1" w:rsidRDefault="00BE39B1" w:rsidP="00BE39B1">
      <w:pPr>
        <w:spacing w:line="480" w:lineRule="auto"/>
        <w:ind w:left="2160" w:hanging="630"/>
        <w:jc w:val="both"/>
        <w:rPr>
          <w:rtl/>
        </w:rPr>
      </w:pPr>
      <w:r>
        <w:rPr>
          <w:rFonts w:hint="cs"/>
          <w:rtl/>
        </w:rPr>
        <w:t>2.</w:t>
      </w:r>
      <w:r>
        <w:rPr>
          <w:rFonts w:hint="cs"/>
          <w:rtl/>
        </w:rPr>
        <w:tab/>
        <w:t xml:space="preserve">טענה נוספת הינה, שבהינתן שנמכרו אקדחים ולא נשקים אלימים יותר כגון תת מקלע, יש בכך כדי להקל. גם טענה זו, לדידי, נכונה, אומנם, עובדתית, אך ספק בעיניי איזה משקל נועד לה. גם בכוחו של אקדח להמית ובכל הקשור לביצוען של עבירות, מבחינות מסוימות, אקדח אף מסוכן יותר באשר ניתן ביתר קלות להחביאו. </w:t>
      </w:r>
    </w:p>
    <w:p w14:paraId="37524BC2" w14:textId="77777777" w:rsidR="00BE39B1" w:rsidRDefault="00BE39B1" w:rsidP="00BE39B1">
      <w:pPr>
        <w:spacing w:line="480" w:lineRule="auto"/>
        <w:ind w:left="2160" w:hanging="630"/>
        <w:jc w:val="both"/>
        <w:rPr>
          <w:rtl/>
        </w:rPr>
      </w:pPr>
    </w:p>
    <w:p w14:paraId="6B312A27" w14:textId="77777777" w:rsidR="00BE39B1" w:rsidRDefault="00BE39B1" w:rsidP="00BE39B1">
      <w:pPr>
        <w:spacing w:line="480" w:lineRule="auto"/>
        <w:ind w:left="2160" w:hanging="630"/>
        <w:jc w:val="both"/>
        <w:rPr>
          <w:rtl/>
        </w:rPr>
      </w:pPr>
      <w:r>
        <w:rPr>
          <w:rFonts w:hint="cs"/>
          <w:rtl/>
        </w:rPr>
        <w:t>3.</w:t>
      </w:r>
      <w:r>
        <w:rPr>
          <w:rFonts w:hint="cs"/>
          <w:rtl/>
        </w:rPr>
        <w:tab/>
        <w:t xml:space="preserve">עוד נטען לחלקו של הסוכן בעסקאות, ואף ביוזמה שלקראתן. אכן, היה הסוכן פעיל בהתקשרויות, ועל כך אין חולקין ואולם על פני הדברים, אין הפרק סוכן מדיח כהגדרת הפסיקה, ולא בכדי הודה נאשם זה בעבירות שיוחסו לו. </w:t>
      </w:r>
    </w:p>
    <w:p w14:paraId="582B0610" w14:textId="77777777" w:rsidR="00BE39B1" w:rsidRDefault="00BE39B1" w:rsidP="00BE39B1">
      <w:pPr>
        <w:spacing w:line="480" w:lineRule="auto"/>
        <w:jc w:val="both"/>
        <w:rPr>
          <w:rtl/>
        </w:rPr>
      </w:pPr>
    </w:p>
    <w:p w14:paraId="0594833C" w14:textId="77777777" w:rsidR="00BE39B1" w:rsidRDefault="00BE39B1" w:rsidP="00BE39B1">
      <w:pPr>
        <w:spacing w:line="480" w:lineRule="auto"/>
        <w:ind w:left="1440" w:hanging="720"/>
        <w:jc w:val="both"/>
        <w:rPr>
          <w:rtl/>
        </w:rPr>
      </w:pPr>
      <w:r>
        <w:rPr>
          <w:rFonts w:hint="cs"/>
          <w:rtl/>
        </w:rPr>
        <w:t>ד.</w:t>
      </w:r>
      <w:r>
        <w:rPr>
          <w:rFonts w:hint="cs"/>
          <w:rtl/>
        </w:rPr>
        <w:tab/>
        <w:t>לאחר שניתנה הדעת לכל האמור לעיל ולפסיקת בתי המשפט ביחס לעבירות בנשק, לרבות מדיניות ההחמרה קובע אני את המתחם הרלוונטי על הטווח שבין 20 חודשים לבין 48 חודשים. זאת, תוך שנלקחו בחשבון גם העבירות הנלוות.</w:t>
      </w:r>
      <w:r w:rsidRPr="00F13197">
        <w:rPr>
          <w:rFonts w:hint="cs"/>
          <w:b/>
          <w:bCs/>
          <w:rtl/>
        </w:rPr>
        <w:t xml:space="preserve"> </w:t>
      </w:r>
    </w:p>
    <w:p w14:paraId="2D7B4C18" w14:textId="77777777" w:rsidR="00BE39B1" w:rsidRDefault="00BE39B1" w:rsidP="00BE39B1">
      <w:pPr>
        <w:spacing w:line="480" w:lineRule="auto"/>
        <w:jc w:val="both"/>
        <w:rPr>
          <w:rtl/>
        </w:rPr>
      </w:pPr>
    </w:p>
    <w:p w14:paraId="6E231081" w14:textId="77777777" w:rsidR="00BE39B1" w:rsidRPr="00426136" w:rsidRDefault="00BE39B1" w:rsidP="00BE39B1">
      <w:pPr>
        <w:spacing w:line="480" w:lineRule="auto"/>
        <w:ind w:left="510" w:hanging="510"/>
        <w:jc w:val="both"/>
        <w:rPr>
          <w:b/>
          <w:bCs/>
          <w:u w:val="single"/>
          <w:rtl/>
        </w:rPr>
      </w:pPr>
      <w:r>
        <w:rPr>
          <w:rtl/>
        </w:rPr>
        <w:t>4.</w:t>
      </w:r>
      <w:r>
        <w:rPr>
          <w:rFonts w:hint="cs"/>
          <w:rtl/>
        </w:rPr>
        <w:tab/>
      </w:r>
      <w:r w:rsidRPr="00426136">
        <w:rPr>
          <w:rFonts w:hint="cs"/>
          <w:b/>
          <w:bCs/>
          <w:u w:val="single"/>
          <w:rtl/>
        </w:rPr>
        <w:t>פסיקת בתי המשפט, ערכים מוגנים ומדיניות ההחמרה</w:t>
      </w:r>
    </w:p>
    <w:p w14:paraId="523D1242" w14:textId="77777777" w:rsidR="00BE39B1" w:rsidRDefault="00BE39B1" w:rsidP="00BE39B1">
      <w:pPr>
        <w:spacing w:line="480" w:lineRule="auto"/>
        <w:ind w:left="510" w:hanging="510"/>
        <w:jc w:val="both"/>
        <w:rPr>
          <w:rtl/>
        </w:rPr>
      </w:pPr>
    </w:p>
    <w:p w14:paraId="0BF24F50" w14:textId="77777777" w:rsidR="00BE39B1" w:rsidRDefault="00BE39B1" w:rsidP="00BE39B1">
      <w:pPr>
        <w:spacing w:line="480" w:lineRule="auto"/>
        <w:ind w:left="510"/>
        <w:jc w:val="both"/>
      </w:pPr>
      <w:r>
        <w:rPr>
          <w:rFonts w:hint="cs"/>
          <w:rtl/>
        </w:rPr>
        <w:t>חומרתן של עבירות נשק, קיבלה ביטוי בפסיקה בעקביות:-</w:t>
      </w:r>
    </w:p>
    <w:p w14:paraId="69D961AA" w14:textId="77777777" w:rsidR="00BE39B1" w:rsidRDefault="00BE39B1" w:rsidP="00BE39B1">
      <w:pPr>
        <w:spacing w:line="480" w:lineRule="auto"/>
        <w:ind w:left="510" w:hanging="510"/>
        <w:jc w:val="both"/>
        <w:rPr>
          <w:rtl/>
        </w:rPr>
      </w:pPr>
    </w:p>
    <w:p w14:paraId="53849A09" w14:textId="77777777" w:rsidR="00BE39B1" w:rsidRDefault="00BE39B1" w:rsidP="00BE39B1">
      <w:pPr>
        <w:spacing w:line="360" w:lineRule="auto"/>
        <w:ind w:left="2160"/>
        <w:jc w:val="both"/>
        <w:rPr>
          <w:rtl/>
        </w:rPr>
      </w:pPr>
      <w:r>
        <w:rPr>
          <w:rFonts w:hint="cs"/>
          <w:rtl/>
        </w:rPr>
        <w:t>"</w:t>
      </w:r>
      <w:r>
        <w:rPr>
          <w:rFonts w:hint="cs"/>
          <w:b/>
          <w:bCs/>
          <w:rtl/>
        </w:rPr>
        <w:t>בית משפט זה עמד לא אחת על חומרתן הרבה של עבירות אלו ועל הפגיעה הנלווית להן בערכים החברתיים המוגנים שביסודן.. פעילות של סחר בלתי חוקי בנשק אוצרת בחובה פגיעה בערכים חברתיים בעלי חשיבות רבה, בהם שלמות הגוף, חיי אדם ושלום הציבור וביטחונו. כלי הנשק שנמכרו במסגרת האישומים עם על פי טיבם כאלה שבאמצעותם ניתן בנקל לפגוע בשלמות הגוף ולגדוע חיי אדם. חומרת הנזק הנגרם בעקבות ביצוע עבירות כגון אלו מתעצמת במקרים כבענייננו, שבהם נמכרים כלי נשק בעלי פוטנציאל פגיעה ממשי, שהרי דין סחר ברובה סער, בתת מקלע או באקדח אמין ואיכותי, אינו כדין סחר באקדח מאולתר</w:t>
      </w:r>
      <w:r>
        <w:rPr>
          <w:rFonts w:hint="cs"/>
          <w:rtl/>
        </w:rPr>
        <w:t>" [</w:t>
      </w:r>
      <w:hyperlink r:id="rId22" w:history="1">
        <w:r w:rsidR="00AF4EEE" w:rsidRPr="00AF4EEE">
          <w:rPr>
            <w:color w:val="0000FF"/>
            <w:u w:val="single"/>
            <w:rtl/>
          </w:rPr>
          <w:t>ע"פ 8045/17</w:t>
        </w:r>
      </w:hyperlink>
      <w:r>
        <w:rPr>
          <w:rFonts w:hint="cs"/>
          <w:rtl/>
        </w:rPr>
        <w:t xml:space="preserve"> </w:t>
      </w:r>
      <w:r>
        <w:rPr>
          <w:rFonts w:hint="cs"/>
          <w:b/>
          <w:bCs/>
          <w:rtl/>
        </w:rPr>
        <w:t xml:space="preserve">מחמוד ברנסי נ' מדינת ישראל </w:t>
      </w:r>
      <w:r>
        <w:rPr>
          <w:rFonts w:hint="cs"/>
          <w:rtl/>
        </w:rPr>
        <w:t xml:space="preserve">(16.8.2018)]. </w:t>
      </w:r>
    </w:p>
    <w:p w14:paraId="21163EF6" w14:textId="77777777" w:rsidR="00BE39B1" w:rsidRDefault="00BE39B1" w:rsidP="00BE39B1">
      <w:pPr>
        <w:spacing w:line="480" w:lineRule="auto"/>
        <w:ind w:left="510" w:hanging="510"/>
        <w:jc w:val="both"/>
        <w:rPr>
          <w:rtl/>
        </w:rPr>
      </w:pPr>
    </w:p>
    <w:p w14:paraId="6D7A2839" w14:textId="77777777" w:rsidR="00BE39B1" w:rsidRDefault="00BE39B1" w:rsidP="00BE39B1">
      <w:pPr>
        <w:spacing w:line="480" w:lineRule="auto"/>
        <w:ind w:left="1440"/>
        <w:jc w:val="both"/>
        <w:rPr>
          <w:rtl/>
        </w:rPr>
      </w:pPr>
      <w:r>
        <w:rPr>
          <w:rFonts w:hint="cs"/>
          <w:rtl/>
        </w:rPr>
        <w:t>על כך חזר בית המשפט העליון, גם בשנים האחרונות, ודבריו אף משקפים מגמה של החמרה ביחס לעבירות אלה:-</w:t>
      </w:r>
    </w:p>
    <w:p w14:paraId="02661024" w14:textId="77777777" w:rsidR="00BE39B1" w:rsidRDefault="00BE39B1" w:rsidP="00BE39B1">
      <w:pPr>
        <w:spacing w:line="480" w:lineRule="auto"/>
        <w:ind w:left="510" w:hanging="510"/>
        <w:jc w:val="both"/>
        <w:rPr>
          <w:rtl/>
        </w:rPr>
      </w:pPr>
    </w:p>
    <w:p w14:paraId="2085EB41" w14:textId="77777777" w:rsidR="00BE39B1" w:rsidRDefault="00BE39B1" w:rsidP="00BE39B1">
      <w:pPr>
        <w:spacing w:line="360" w:lineRule="auto"/>
        <w:ind w:left="2160"/>
        <w:jc w:val="both"/>
        <w:rPr>
          <w:rtl/>
        </w:rPr>
      </w:pPr>
      <w:r>
        <w:rPr>
          <w:rFonts w:hint="cs"/>
          <w:rtl/>
        </w:rPr>
        <w:t>"</w:t>
      </w:r>
      <w:r>
        <w:rPr>
          <w:rFonts w:hint="cs"/>
          <w:b/>
          <w:bCs/>
          <w:rtl/>
        </w:rPr>
        <w:t xml:space="preserve">בפסיקתנו נקבע, לא אחת, כי יש לראות את תופעת הסחר הבלתי חוקי בנשק בחומרה רבה. נפסק כי לא ניתן להשלים עם קיומו של 'שוק'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הדבר חמור שבעתיים במציאות הישראלית, שבה נשק המוחזק באופן בלתי חוקי עלול להגיע אף לידי מעורבים בפעילות חבלנית עוינת על רקע בטחוני... ואכן, המגמה בשנים האחרונות לגבי עבירות הנשק היא של החמרה ברמת ענישתם של המעורבים בהן ומתן ביטוי עונשי ההולם את הסכנה הנשקפת מהם" </w:t>
      </w:r>
      <w:r>
        <w:rPr>
          <w:rFonts w:hint="cs"/>
          <w:rtl/>
        </w:rPr>
        <w:t>[</w:t>
      </w:r>
      <w:hyperlink r:id="rId23" w:history="1">
        <w:r w:rsidR="00AF4EEE" w:rsidRPr="00AF4EEE">
          <w:rPr>
            <w:color w:val="0000FF"/>
            <w:u w:val="single"/>
            <w:rtl/>
          </w:rPr>
          <w:t>ע"פ 4154/16</w:t>
        </w:r>
      </w:hyperlink>
      <w:r>
        <w:rPr>
          <w:rFonts w:hint="cs"/>
          <w:rtl/>
        </w:rPr>
        <w:t xml:space="preserve"> </w:t>
      </w:r>
      <w:r>
        <w:rPr>
          <w:rFonts w:hint="cs"/>
          <w:b/>
          <w:bCs/>
          <w:rtl/>
        </w:rPr>
        <w:t xml:space="preserve">רונן דהוד נ' מדינת ישראל, </w:t>
      </w:r>
      <w:r>
        <w:rPr>
          <w:rFonts w:hint="cs"/>
          <w:rtl/>
        </w:rPr>
        <w:t xml:space="preserve">(19.1.2017)] וכן ראה </w:t>
      </w:r>
      <w:hyperlink r:id="rId24" w:history="1">
        <w:r w:rsidR="00AF4EEE" w:rsidRPr="00AF4EEE">
          <w:rPr>
            <w:color w:val="0000FF"/>
            <w:u w:val="single"/>
            <w:rtl/>
          </w:rPr>
          <w:t>ע"פ 2802/18</w:t>
        </w:r>
      </w:hyperlink>
      <w:r>
        <w:rPr>
          <w:rFonts w:hint="cs"/>
          <w:rtl/>
        </w:rPr>
        <w:t xml:space="preserve"> </w:t>
      </w:r>
      <w:r>
        <w:rPr>
          <w:rFonts w:hint="cs"/>
          <w:b/>
          <w:bCs/>
          <w:rtl/>
        </w:rPr>
        <w:t xml:space="preserve">איוב ג'ואמיס נ' מדינת ישראל </w:t>
      </w:r>
      <w:r>
        <w:rPr>
          <w:rFonts w:hint="cs"/>
          <w:rtl/>
        </w:rPr>
        <w:t xml:space="preserve">(26.7.2018); </w:t>
      </w:r>
      <w:hyperlink r:id="rId25" w:history="1">
        <w:r w:rsidR="00AF4EEE" w:rsidRPr="00AF4EEE">
          <w:rPr>
            <w:color w:val="0000FF"/>
            <w:u w:val="single"/>
            <w:rtl/>
          </w:rPr>
          <w:t>ע"פ 536/17</w:t>
        </w:r>
      </w:hyperlink>
      <w:r>
        <w:rPr>
          <w:rFonts w:hint="cs"/>
          <w:rtl/>
        </w:rPr>
        <w:t xml:space="preserve"> </w:t>
      </w:r>
      <w:r>
        <w:rPr>
          <w:rFonts w:hint="cs"/>
          <w:b/>
          <w:bCs/>
          <w:rtl/>
        </w:rPr>
        <w:t xml:space="preserve">וסאם שלאלדה נ' מדינת ישראל </w:t>
      </w:r>
      <w:r>
        <w:rPr>
          <w:rFonts w:hint="cs"/>
          <w:rtl/>
        </w:rPr>
        <w:t xml:space="preserve">(10.8.17). </w:t>
      </w:r>
    </w:p>
    <w:p w14:paraId="4C9EDC9B" w14:textId="77777777" w:rsidR="00BE39B1" w:rsidRDefault="00BE39B1" w:rsidP="00BE39B1">
      <w:pPr>
        <w:spacing w:line="480" w:lineRule="auto"/>
        <w:jc w:val="both"/>
        <w:rPr>
          <w:rtl/>
        </w:rPr>
      </w:pPr>
    </w:p>
    <w:p w14:paraId="0581F570" w14:textId="77777777" w:rsidR="00BE39B1" w:rsidRPr="009A11C3" w:rsidRDefault="00BE39B1" w:rsidP="00BE39B1">
      <w:pPr>
        <w:spacing w:line="480" w:lineRule="auto"/>
        <w:jc w:val="both"/>
        <w:rPr>
          <w:b/>
          <w:bCs/>
          <w:u w:val="single"/>
          <w:rtl/>
        </w:rPr>
      </w:pPr>
      <w:r>
        <w:rPr>
          <w:rFonts w:hint="cs"/>
          <w:b/>
          <w:bCs/>
          <w:u w:val="single"/>
          <w:rtl/>
        </w:rPr>
        <w:t>ארבעת</w:t>
      </w:r>
      <w:r w:rsidRPr="009A11C3">
        <w:rPr>
          <w:rFonts w:hint="cs"/>
          <w:b/>
          <w:bCs/>
          <w:u w:val="single"/>
          <w:rtl/>
        </w:rPr>
        <w:t xml:space="preserve"> הנאשמים </w:t>
      </w:r>
      <w:r w:rsidRPr="009A11C3">
        <w:rPr>
          <w:b/>
          <w:bCs/>
          <w:u w:val="single"/>
          <w:rtl/>
        </w:rPr>
        <w:t>–</w:t>
      </w:r>
      <w:r w:rsidRPr="009A11C3">
        <w:rPr>
          <w:rFonts w:hint="cs"/>
          <w:b/>
          <w:bCs/>
          <w:u w:val="single"/>
          <w:rtl/>
        </w:rPr>
        <w:t xml:space="preserve"> הדיון הפרטני (לרבות בשים לב לעבר הפלילי)</w:t>
      </w:r>
    </w:p>
    <w:p w14:paraId="65B175F8" w14:textId="77777777" w:rsidR="00BE39B1" w:rsidRDefault="00BE39B1" w:rsidP="00BE39B1">
      <w:pPr>
        <w:spacing w:line="480" w:lineRule="auto"/>
        <w:jc w:val="both"/>
        <w:rPr>
          <w:rtl/>
        </w:rPr>
      </w:pPr>
    </w:p>
    <w:p w14:paraId="64079258" w14:textId="77777777" w:rsidR="00BE39B1" w:rsidRDefault="00BE39B1" w:rsidP="00BE39B1">
      <w:pPr>
        <w:spacing w:line="480" w:lineRule="auto"/>
        <w:ind w:left="510" w:hanging="510"/>
        <w:jc w:val="both"/>
        <w:rPr>
          <w:rtl/>
        </w:rPr>
      </w:pPr>
      <w:r>
        <w:rPr>
          <w:rtl/>
        </w:rPr>
        <w:t>5.</w:t>
      </w:r>
      <w:r>
        <w:rPr>
          <w:rFonts w:hint="cs"/>
          <w:rtl/>
        </w:rPr>
        <w:tab/>
      </w:r>
      <w:r w:rsidRPr="00426136">
        <w:rPr>
          <w:rFonts w:hint="cs"/>
          <w:b/>
          <w:bCs/>
          <w:u w:val="single"/>
          <w:rtl/>
        </w:rPr>
        <w:t>הנאשם 1</w:t>
      </w:r>
      <w:r>
        <w:rPr>
          <w:rFonts w:hint="cs"/>
          <w:rtl/>
        </w:rPr>
        <w:t xml:space="preserve"> </w:t>
      </w:r>
    </w:p>
    <w:p w14:paraId="11861F5A" w14:textId="77777777" w:rsidR="00BE39B1" w:rsidRDefault="00BE39B1" w:rsidP="00BE39B1">
      <w:pPr>
        <w:spacing w:line="480" w:lineRule="auto"/>
        <w:ind w:left="510" w:hanging="510"/>
        <w:jc w:val="both"/>
        <w:rPr>
          <w:rtl/>
        </w:rPr>
      </w:pPr>
    </w:p>
    <w:p w14:paraId="616D69F4" w14:textId="77777777" w:rsidR="00BE39B1" w:rsidRDefault="00BE39B1" w:rsidP="00BE39B1">
      <w:pPr>
        <w:spacing w:line="480" w:lineRule="auto"/>
        <w:ind w:left="1440" w:hanging="930"/>
        <w:jc w:val="both"/>
        <w:rPr>
          <w:rtl/>
        </w:rPr>
      </w:pPr>
      <w:r>
        <w:rPr>
          <w:rFonts w:hint="cs"/>
          <w:rtl/>
        </w:rPr>
        <w:t>א.</w:t>
      </w:r>
      <w:r>
        <w:rPr>
          <w:rFonts w:hint="cs"/>
          <w:rtl/>
        </w:rPr>
        <w:tab/>
        <w:t xml:space="preserve">תחילה, נמצא לציין את עברו הפלילי. לחובתו שתי הרשעות קודמות מהשנים האחרונות. בשנת 2016 הורשע בבית המשפט הצבאי יהודה בזריקת חפץ לעבר אדם ונדון לשמונה חודשי מאסר בפועל (לצד ענישה נלווית). בשנת 2018, הורשע בשנית בבית המשפט הצבאי יהודה בגין הפרת הכרזת סגירת שטח/הפרעה לרשות, ונדון ל - 40 ימי מאסר בפועל. ממועד מתן גזר הדין המאוחר (12.3.18) אף אנו למדים, שאת העבירות דנן, ביצע פחות מחודש לאחר אותו גזר דין, ובהינתן שריצה את 40 ימי המאסר שהושתו עליו, ביצע הוא את העבירות דנן, ככל הנראה, סמוך מאד לאחר שחרורו. ער אני לטענת ההגנה, שעל הפרק עבירות מסוג שונה, אך נכון אני לקבל טענה זאת חלקית בלבד. אכן, לא הורשע הוא בעבירות שבמרכזן עסקאות נשק, אך הזיקה בין טיב העבירות בהן הורשע כאמור, לבין העבירות דנן, ברורה, ואין לומר שעל הפרק עבירות מסוג שונה בתכלית: לא כדעת ההגנה, דעתי. </w:t>
      </w:r>
    </w:p>
    <w:p w14:paraId="3D86A090" w14:textId="77777777" w:rsidR="00BE39B1" w:rsidRDefault="00BE39B1" w:rsidP="00BE39B1">
      <w:pPr>
        <w:spacing w:line="480" w:lineRule="auto"/>
        <w:ind w:left="1440" w:hanging="930"/>
        <w:jc w:val="both"/>
        <w:rPr>
          <w:rtl/>
        </w:rPr>
      </w:pPr>
    </w:p>
    <w:p w14:paraId="70CA95DE" w14:textId="77777777" w:rsidR="00BE39B1" w:rsidRDefault="00BE39B1" w:rsidP="00BE39B1">
      <w:pPr>
        <w:spacing w:line="480" w:lineRule="auto"/>
        <w:ind w:left="1440" w:hanging="930"/>
        <w:jc w:val="both"/>
        <w:rPr>
          <w:rtl/>
        </w:rPr>
      </w:pPr>
      <w:r>
        <w:rPr>
          <w:rFonts w:hint="cs"/>
          <w:rtl/>
        </w:rPr>
        <w:t>ב.</w:t>
      </w:r>
      <w:r>
        <w:rPr>
          <w:rFonts w:hint="cs"/>
          <w:rtl/>
        </w:rPr>
        <w:tab/>
        <w:t>עם זאת, לזכותו של הנאשם הודאתו ונכונות</w:t>
      </w:r>
      <w:r>
        <w:rPr>
          <w:rFonts w:hint="eastAsia"/>
          <w:rtl/>
        </w:rPr>
        <w:t>ו</w:t>
      </w:r>
      <w:r>
        <w:rPr>
          <w:rFonts w:hint="cs"/>
          <w:rtl/>
        </w:rPr>
        <w:t xml:space="preserve"> לקבל את האחריות למעשיו, ומשיקולי מדיניות ברורים ומודגשים, לכך משקל של ממש בשיקולי בית המשפט. לטעמי, די בשיקול זה לבדו כדי להצדיק את הקביעה, לפיה לא ראוי בכל מקרה להשית על הנאשם עונש העולה על רף המחצית שבתוך המתחם. </w:t>
      </w:r>
    </w:p>
    <w:p w14:paraId="26E45285" w14:textId="77777777" w:rsidR="00BE39B1" w:rsidRDefault="00BE39B1" w:rsidP="00BE39B1">
      <w:pPr>
        <w:spacing w:line="480" w:lineRule="auto"/>
        <w:ind w:left="1440" w:hanging="930"/>
        <w:jc w:val="both"/>
        <w:rPr>
          <w:rtl/>
        </w:rPr>
      </w:pPr>
    </w:p>
    <w:p w14:paraId="203E8F4F" w14:textId="77777777" w:rsidR="00BE39B1" w:rsidRDefault="00BE39B1" w:rsidP="00BE39B1">
      <w:pPr>
        <w:spacing w:line="480" w:lineRule="auto"/>
        <w:ind w:left="1440" w:hanging="930"/>
        <w:jc w:val="both"/>
        <w:rPr>
          <w:rtl/>
        </w:rPr>
      </w:pPr>
      <w:r>
        <w:rPr>
          <w:rFonts w:hint="cs"/>
          <w:rtl/>
        </w:rPr>
        <w:t>ג.</w:t>
      </w:r>
      <w:r>
        <w:rPr>
          <w:rFonts w:hint="cs"/>
          <w:rtl/>
        </w:rPr>
        <w:tab/>
        <w:t xml:space="preserve">על יסוד כל האמור לעיל, ותוך שתודגש בפרט מסקנתי, שמלמדות הנסיבות על נאשם שלחובתו שתי הרשעות קודמות והיה הוא מצוי בעומק עסקי הנשק, גם אם, אולי, רק כמתווך, עד כמה שניתן לראות בכך טיעון לקולא, הנכון הוא לגזור את עונשו ברף האמצע של מתחם הענישה וכך ייקבע כאמור להלן לצד ענישה נלווית. אשר לענישה הנלווית אך אציין, שממאסר מותנה צופה פני עתיד, אין כל מנוס, ובאשר ביקש הנאשם לעצמו גם רווח כלכלי, הנכון הוא לצרף למאסר שייגזר על הנאשם גם רכיב ענישתי כספי. </w:t>
      </w:r>
    </w:p>
    <w:p w14:paraId="1B0C9F1F" w14:textId="77777777" w:rsidR="00BE39B1" w:rsidRDefault="00BE39B1" w:rsidP="00BE39B1">
      <w:pPr>
        <w:spacing w:line="480" w:lineRule="auto"/>
        <w:ind w:left="1440" w:hanging="930"/>
        <w:jc w:val="both"/>
        <w:rPr>
          <w:rtl/>
        </w:rPr>
      </w:pPr>
    </w:p>
    <w:p w14:paraId="4E411E6F" w14:textId="77777777" w:rsidR="00BE39B1" w:rsidRDefault="00BE39B1" w:rsidP="00BE39B1">
      <w:pPr>
        <w:spacing w:line="480" w:lineRule="auto"/>
        <w:ind w:left="1440" w:hanging="930"/>
        <w:jc w:val="both"/>
        <w:rPr>
          <w:rtl/>
        </w:rPr>
      </w:pPr>
      <w:r>
        <w:rPr>
          <w:rFonts w:hint="cs"/>
          <w:rtl/>
        </w:rPr>
        <w:t>ד.</w:t>
      </w:r>
      <w:r>
        <w:rPr>
          <w:rFonts w:hint="cs"/>
          <w:rtl/>
        </w:rPr>
        <w:tab/>
        <w:t>סוף דבר, גוזר אני על נאשם 1 כדלקמן:</w:t>
      </w:r>
    </w:p>
    <w:p w14:paraId="33396EAD" w14:textId="77777777" w:rsidR="00BE39B1" w:rsidRDefault="00BE39B1" w:rsidP="00BE39B1">
      <w:pPr>
        <w:spacing w:line="480" w:lineRule="auto"/>
        <w:ind w:left="1440" w:hanging="930"/>
        <w:jc w:val="both"/>
        <w:rPr>
          <w:rtl/>
        </w:rPr>
      </w:pPr>
    </w:p>
    <w:p w14:paraId="3D57C155" w14:textId="77777777" w:rsidR="00BE39B1" w:rsidRDefault="00BE39B1" w:rsidP="00BE39B1">
      <w:pPr>
        <w:spacing w:line="480" w:lineRule="auto"/>
        <w:ind w:left="1440" w:hanging="930"/>
        <w:jc w:val="both"/>
        <w:rPr>
          <w:rtl/>
        </w:rPr>
      </w:pPr>
      <w:r>
        <w:rPr>
          <w:rtl/>
        </w:rPr>
        <w:tab/>
      </w:r>
      <w:r>
        <w:rPr>
          <w:rFonts w:hint="cs"/>
          <w:rtl/>
        </w:rPr>
        <w:t>1.</w:t>
      </w:r>
      <w:r>
        <w:rPr>
          <w:rFonts w:hint="cs"/>
          <w:rtl/>
        </w:rPr>
        <w:tab/>
        <w:t>מאסר לתקופה של 34 חודשים לחישוב מיום מעצרו, 9.4.18.</w:t>
      </w:r>
    </w:p>
    <w:p w14:paraId="6AA0B597" w14:textId="77777777" w:rsidR="00BE39B1" w:rsidRDefault="00BE39B1" w:rsidP="00BE39B1">
      <w:pPr>
        <w:spacing w:line="480" w:lineRule="auto"/>
        <w:ind w:left="1440" w:hanging="930"/>
        <w:jc w:val="both"/>
        <w:rPr>
          <w:rtl/>
        </w:rPr>
      </w:pPr>
    </w:p>
    <w:p w14:paraId="32634849" w14:textId="77777777" w:rsidR="00BE39B1" w:rsidRDefault="00BE39B1" w:rsidP="00BE39B1">
      <w:pPr>
        <w:spacing w:line="480" w:lineRule="auto"/>
        <w:ind w:left="2160" w:hanging="630"/>
        <w:jc w:val="both"/>
        <w:rPr>
          <w:rtl/>
        </w:rPr>
      </w:pPr>
      <w:r>
        <w:rPr>
          <w:rFonts w:hint="cs"/>
          <w:rtl/>
        </w:rPr>
        <w:t>2.</w:t>
      </w:r>
      <w:r>
        <w:rPr>
          <w:rFonts w:hint="cs"/>
          <w:rtl/>
        </w:rPr>
        <w:tab/>
        <w:t xml:space="preserve">כמו כן, ירצה 12 חודשי מאסר בפועל אם בתקופה של שנתיים לאחר שחרורו, יעבור עבירה נוספת על </w:t>
      </w:r>
      <w:hyperlink r:id="rId26" w:history="1">
        <w:r w:rsidR="002173AE" w:rsidRPr="002173AE">
          <w:rPr>
            <w:color w:val="0000FF"/>
            <w:u w:val="single"/>
            <w:rtl/>
          </w:rPr>
          <w:t>סעיף 144</w:t>
        </w:r>
      </w:hyperlink>
      <w:r>
        <w:rPr>
          <w:rFonts w:hint="cs"/>
          <w:rtl/>
        </w:rPr>
        <w:t xml:space="preserve"> ל</w:t>
      </w:r>
      <w:hyperlink r:id="rId27" w:history="1">
        <w:r w:rsidR="00AF4EEE" w:rsidRPr="00AF4EEE">
          <w:rPr>
            <w:color w:val="0000FF"/>
            <w:u w:val="single"/>
            <w:rtl/>
          </w:rPr>
          <w:t>חוק העונשין</w:t>
        </w:r>
      </w:hyperlink>
      <w:r>
        <w:rPr>
          <w:rFonts w:hint="cs"/>
          <w:rtl/>
        </w:rPr>
        <w:t xml:space="preserve">. </w:t>
      </w:r>
    </w:p>
    <w:p w14:paraId="25D8D79C" w14:textId="77777777" w:rsidR="00BE39B1" w:rsidRDefault="00BE39B1" w:rsidP="00BE39B1">
      <w:pPr>
        <w:spacing w:line="480" w:lineRule="auto"/>
        <w:ind w:left="2160" w:hanging="630"/>
        <w:jc w:val="both"/>
        <w:rPr>
          <w:rtl/>
        </w:rPr>
      </w:pPr>
    </w:p>
    <w:p w14:paraId="0AD45344" w14:textId="77777777" w:rsidR="00BE39B1" w:rsidRDefault="00BE39B1" w:rsidP="00BE39B1">
      <w:pPr>
        <w:spacing w:line="480" w:lineRule="auto"/>
        <w:ind w:left="2160" w:hanging="630"/>
        <w:jc w:val="both"/>
        <w:rPr>
          <w:rtl/>
        </w:rPr>
      </w:pPr>
      <w:r>
        <w:rPr>
          <w:rFonts w:hint="cs"/>
          <w:rtl/>
        </w:rPr>
        <w:t>3.</w:t>
      </w:r>
      <w:r>
        <w:rPr>
          <w:rFonts w:hint="cs"/>
          <w:rtl/>
        </w:rPr>
        <w:tab/>
        <w:t xml:space="preserve">לצד האמור ותוך שאשוב ואזכיר גם את המניע הכלכלי שהיה לנאשם זה, אורה על קנס בסך של 10,000 ש"ח שישולם ב- 10 תשלומים מיום  1.3.19. באי תשלום, ייאסר בשל כך ל-  100 יום. </w:t>
      </w:r>
    </w:p>
    <w:p w14:paraId="0E8B1825" w14:textId="77777777" w:rsidR="00BE39B1" w:rsidRDefault="00BE39B1" w:rsidP="00BE39B1">
      <w:pPr>
        <w:spacing w:line="480" w:lineRule="auto"/>
        <w:jc w:val="both"/>
        <w:rPr>
          <w:rtl/>
        </w:rPr>
      </w:pPr>
    </w:p>
    <w:p w14:paraId="0929FF03" w14:textId="77777777" w:rsidR="00BE39B1" w:rsidRDefault="00BE39B1" w:rsidP="00BE39B1">
      <w:pPr>
        <w:spacing w:line="480" w:lineRule="auto"/>
        <w:ind w:left="510" w:hanging="510"/>
        <w:jc w:val="both"/>
        <w:rPr>
          <w:rtl/>
        </w:rPr>
      </w:pPr>
      <w:r>
        <w:rPr>
          <w:rtl/>
        </w:rPr>
        <w:t>6.</w:t>
      </w:r>
      <w:r>
        <w:rPr>
          <w:rFonts w:hint="cs"/>
          <w:rtl/>
        </w:rPr>
        <w:tab/>
      </w:r>
      <w:r w:rsidRPr="00227CB4">
        <w:rPr>
          <w:rFonts w:hint="cs"/>
          <w:b/>
          <w:bCs/>
          <w:u w:val="single"/>
          <w:rtl/>
        </w:rPr>
        <w:t>הנאשם 2</w:t>
      </w:r>
    </w:p>
    <w:p w14:paraId="2B28D914" w14:textId="77777777" w:rsidR="00BE39B1" w:rsidRDefault="00BE39B1" w:rsidP="00BE39B1">
      <w:pPr>
        <w:spacing w:line="480" w:lineRule="auto"/>
        <w:ind w:left="510" w:hanging="510"/>
        <w:jc w:val="both"/>
        <w:rPr>
          <w:rtl/>
        </w:rPr>
      </w:pPr>
    </w:p>
    <w:p w14:paraId="591C9693" w14:textId="77777777" w:rsidR="00BE39B1" w:rsidRDefault="00BE39B1" w:rsidP="00BE39B1">
      <w:pPr>
        <w:spacing w:line="480" w:lineRule="auto"/>
        <w:ind w:left="1440" w:hanging="930"/>
        <w:jc w:val="both"/>
        <w:rPr>
          <w:rtl/>
        </w:rPr>
      </w:pPr>
      <w:r>
        <w:rPr>
          <w:rFonts w:hint="cs"/>
          <w:rtl/>
        </w:rPr>
        <w:t>א.</w:t>
      </w:r>
      <w:r>
        <w:rPr>
          <w:rFonts w:hint="cs"/>
          <w:rtl/>
        </w:rPr>
        <w:tab/>
        <w:t xml:space="preserve">לזכותו העדר עבר פלילי קודם כלשהו, ולא פחות מכך, לזכותו הודייתו שכאמור לעיל, משקלה בעיני ניכר. </w:t>
      </w:r>
    </w:p>
    <w:p w14:paraId="38C97C17" w14:textId="77777777" w:rsidR="00BE39B1" w:rsidRDefault="00BE39B1" w:rsidP="00BE39B1">
      <w:pPr>
        <w:spacing w:line="480" w:lineRule="auto"/>
        <w:ind w:left="1440" w:hanging="930"/>
        <w:jc w:val="both"/>
        <w:rPr>
          <w:rtl/>
        </w:rPr>
      </w:pPr>
    </w:p>
    <w:p w14:paraId="24AA4D68" w14:textId="77777777" w:rsidR="00BE39B1" w:rsidRDefault="00BE39B1" w:rsidP="00BE39B1">
      <w:pPr>
        <w:spacing w:line="480" w:lineRule="auto"/>
        <w:ind w:left="1440" w:hanging="930"/>
        <w:jc w:val="both"/>
        <w:rPr>
          <w:rtl/>
        </w:rPr>
      </w:pPr>
      <w:r>
        <w:rPr>
          <w:rFonts w:hint="cs"/>
          <w:rtl/>
        </w:rPr>
        <w:t>ב.</w:t>
      </w:r>
      <w:r>
        <w:rPr>
          <w:rFonts w:hint="cs"/>
          <w:rtl/>
        </w:rPr>
        <w:tab/>
        <w:t xml:space="preserve">עמדת המאשימה ביחס אליו ל- 30 חודשי מאסר, בהתאם לרף העליון שעל פי הסדר הטיעון. עם זאת, נטען ע"י ב"כ הנכבד של המאשימה למתחם הרלוונטי לגביו, לשיטתו בין שנתיים וחצי לארבע שנות מאסר בפועל. הנכון הוא לטענת המאשימה, להציבו ברף התחתון, ומכאן בקשתה ל -30 חודשי מאסר בפועל. </w:t>
      </w:r>
    </w:p>
    <w:p w14:paraId="34685A76" w14:textId="77777777" w:rsidR="00BE39B1" w:rsidRDefault="00BE39B1" w:rsidP="00BE39B1">
      <w:pPr>
        <w:spacing w:line="480" w:lineRule="auto"/>
        <w:ind w:left="1440" w:hanging="930"/>
        <w:jc w:val="both"/>
        <w:rPr>
          <w:rtl/>
        </w:rPr>
      </w:pPr>
    </w:p>
    <w:p w14:paraId="226325E1" w14:textId="77777777" w:rsidR="00BE39B1" w:rsidRDefault="00BE39B1" w:rsidP="00BE39B1">
      <w:pPr>
        <w:spacing w:line="480" w:lineRule="auto"/>
        <w:ind w:left="1440" w:hanging="930"/>
        <w:jc w:val="both"/>
        <w:rPr>
          <w:rtl/>
        </w:rPr>
      </w:pPr>
      <w:r>
        <w:rPr>
          <w:rFonts w:hint="cs"/>
          <w:rtl/>
        </w:rPr>
        <w:t>ג.</w:t>
      </w:r>
      <w:r>
        <w:rPr>
          <w:rFonts w:hint="cs"/>
          <w:rtl/>
        </w:rPr>
        <w:tab/>
        <w:t xml:space="preserve">בטענותיו הדגיש ב"כ הנכבד את השיקולים שפורטו כבר בפתיח לפסקה זאת, חזר לטיעון שאין המדובר אלא באקדח, וטען לאורח החיים הנורמטיבי של משפחת הנאשם ואף של הנאשם. עוד הופנה בית המשפט לדברי אמו שקיבלה את רשות הדיבור וביקשה לחזק דברים אלה. </w:t>
      </w:r>
    </w:p>
    <w:p w14:paraId="50B0E761" w14:textId="77777777" w:rsidR="00BE39B1" w:rsidRDefault="00BE39B1" w:rsidP="00BE39B1">
      <w:pPr>
        <w:spacing w:line="480" w:lineRule="auto"/>
        <w:ind w:left="1440" w:hanging="930"/>
        <w:jc w:val="both"/>
        <w:rPr>
          <w:rtl/>
        </w:rPr>
      </w:pPr>
    </w:p>
    <w:p w14:paraId="2DA94862" w14:textId="77777777" w:rsidR="00BE39B1" w:rsidRDefault="00BE39B1" w:rsidP="00BE39B1">
      <w:pPr>
        <w:spacing w:line="480" w:lineRule="auto"/>
        <w:ind w:left="1440" w:hanging="930"/>
        <w:jc w:val="both"/>
        <w:rPr>
          <w:rtl/>
        </w:rPr>
      </w:pPr>
      <w:r>
        <w:rPr>
          <w:rFonts w:hint="cs"/>
          <w:rtl/>
        </w:rPr>
        <w:t>ד.</w:t>
      </w:r>
      <w:r>
        <w:rPr>
          <w:rFonts w:hint="cs"/>
          <w:rtl/>
        </w:rPr>
        <w:tab/>
        <w:t xml:space="preserve">ביחס לנאשם זה, נכון אני, אכן, להימנע ממיצוי הדין עמו. מתקופת מאסר אין מנוס, ואולם נכון אני לראות בהצהרת המאשימה, בהגינותה הרבה, לכך שראוי להציבו ברף התחתון של המתחם הסביר, כהצהרה שתתמוך במסקנתי דלעיל. </w:t>
      </w:r>
    </w:p>
    <w:p w14:paraId="524AB0C4" w14:textId="77777777" w:rsidR="00BE39B1" w:rsidRDefault="00BE39B1" w:rsidP="00BE39B1">
      <w:pPr>
        <w:spacing w:line="480" w:lineRule="auto"/>
        <w:ind w:left="1440" w:hanging="930"/>
        <w:jc w:val="both"/>
        <w:rPr>
          <w:rtl/>
        </w:rPr>
      </w:pPr>
    </w:p>
    <w:p w14:paraId="166C2EE4" w14:textId="77777777" w:rsidR="00BE39B1" w:rsidRDefault="00BE39B1" w:rsidP="00BE39B1">
      <w:pPr>
        <w:spacing w:line="480" w:lineRule="auto"/>
        <w:ind w:left="1440" w:hanging="930"/>
        <w:jc w:val="both"/>
        <w:rPr>
          <w:rtl/>
        </w:rPr>
      </w:pPr>
      <w:r>
        <w:rPr>
          <w:rFonts w:hint="cs"/>
          <w:rtl/>
        </w:rPr>
        <w:t>ה.</w:t>
      </w:r>
      <w:r>
        <w:rPr>
          <w:rFonts w:hint="cs"/>
          <w:rtl/>
        </w:rPr>
        <w:tab/>
        <w:t>סוף דבר גוזר אני על הנאשם 2 כלדקמן:</w:t>
      </w:r>
    </w:p>
    <w:p w14:paraId="4F4F9294" w14:textId="77777777" w:rsidR="00BE39B1" w:rsidRDefault="00BE39B1" w:rsidP="00BE39B1">
      <w:pPr>
        <w:spacing w:line="480" w:lineRule="auto"/>
        <w:ind w:left="1440" w:hanging="930"/>
        <w:jc w:val="both"/>
        <w:rPr>
          <w:rtl/>
        </w:rPr>
      </w:pPr>
    </w:p>
    <w:p w14:paraId="3AB728FC" w14:textId="77777777" w:rsidR="00BE39B1" w:rsidRDefault="00BE39B1" w:rsidP="00BE39B1">
      <w:pPr>
        <w:spacing w:line="480" w:lineRule="auto"/>
        <w:ind w:left="1440" w:hanging="930"/>
        <w:jc w:val="both"/>
        <w:rPr>
          <w:rtl/>
        </w:rPr>
      </w:pPr>
      <w:r>
        <w:rPr>
          <w:rtl/>
        </w:rPr>
        <w:tab/>
      </w:r>
      <w:r>
        <w:rPr>
          <w:rFonts w:hint="cs"/>
          <w:rtl/>
        </w:rPr>
        <w:t>1.</w:t>
      </w:r>
      <w:r>
        <w:rPr>
          <w:rFonts w:hint="cs"/>
          <w:rtl/>
        </w:rPr>
        <w:tab/>
        <w:t>מאסר בפועל לתקופה של 20 חודש, לחישוב מיום מעצרו 9.4.18.</w:t>
      </w:r>
    </w:p>
    <w:p w14:paraId="1FAC10A2" w14:textId="77777777" w:rsidR="00BE39B1" w:rsidRDefault="00BE39B1" w:rsidP="00BE39B1">
      <w:pPr>
        <w:spacing w:line="480" w:lineRule="auto"/>
        <w:jc w:val="both"/>
        <w:rPr>
          <w:rtl/>
        </w:rPr>
      </w:pPr>
    </w:p>
    <w:p w14:paraId="2706DC76" w14:textId="77777777" w:rsidR="00BE39B1" w:rsidRDefault="00BE39B1" w:rsidP="00BE39B1">
      <w:pPr>
        <w:spacing w:line="480" w:lineRule="auto"/>
        <w:ind w:left="2160" w:hanging="630"/>
        <w:jc w:val="both"/>
        <w:rPr>
          <w:rtl/>
        </w:rPr>
      </w:pPr>
      <w:r>
        <w:rPr>
          <w:rFonts w:hint="cs"/>
          <w:rtl/>
        </w:rPr>
        <w:t>2.</w:t>
      </w:r>
      <w:r>
        <w:rPr>
          <w:rFonts w:hint="cs"/>
          <w:rtl/>
        </w:rPr>
        <w:tab/>
        <w:t xml:space="preserve">כמו כן, ירצה 8 חודשי מאסר בפועל אם בתקופה של שנתיים לאחר שחרורו, יעבור עבירה נוספת על </w:t>
      </w:r>
      <w:hyperlink r:id="rId28" w:history="1">
        <w:r w:rsidR="002173AE" w:rsidRPr="002173AE">
          <w:rPr>
            <w:color w:val="0000FF"/>
            <w:u w:val="single"/>
            <w:rtl/>
          </w:rPr>
          <w:t>סעיף 144</w:t>
        </w:r>
      </w:hyperlink>
      <w:r>
        <w:rPr>
          <w:rFonts w:hint="cs"/>
          <w:rtl/>
        </w:rPr>
        <w:t xml:space="preserve"> ל</w:t>
      </w:r>
      <w:hyperlink r:id="rId29" w:history="1">
        <w:r w:rsidR="00AF4EEE" w:rsidRPr="00AF4EEE">
          <w:rPr>
            <w:color w:val="0000FF"/>
            <w:u w:val="single"/>
            <w:rtl/>
          </w:rPr>
          <w:t>חוק העונשין</w:t>
        </w:r>
      </w:hyperlink>
      <w:r>
        <w:rPr>
          <w:rFonts w:hint="cs"/>
          <w:rtl/>
        </w:rPr>
        <w:t xml:space="preserve">. </w:t>
      </w:r>
    </w:p>
    <w:p w14:paraId="4D446AE4" w14:textId="77777777" w:rsidR="00BE39B1" w:rsidRDefault="00BE39B1" w:rsidP="00BE39B1">
      <w:pPr>
        <w:spacing w:line="480" w:lineRule="auto"/>
        <w:ind w:left="2160" w:hanging="630"/>
        <w:jc w:val="both"/>
        <w:rPr>
          <w:rtl/>
        </w:rPr>
      </w:pPr>
    </w:p>
    <w:p w14:paraId="54C5865E" w14:textId="77777777" w:rsidR="00BE39B1" w:rsidRDefault="00BE39B1" w:rsidP="00BE39B1">
      <w:pPr>
        <w:spacing w:line="480" w:lineRule="auto"/>
        <w:ind w:left="2160" w:hanging="630"/>
        <w:jc w:val="both"/>
        <w:rPr>
          <w:rtl/>
        </w:rPr>
      </w:pPr>
      <w:r>
        <w:rPr>
          <w:rFonts w:hint="cs"/>
          <w:rtl/>
        </w:rPr>
        <w:t>3.</w:t>
      </w:r>
      <w:r>
        <w:rPr>
          <w:rFonts w:hint="cs"/>
          <w:rtl/>
        </w:rPr>
        <w:tab/>
        <w:t xml:space="preserve">לצד האמור, אורה על קנס בסך של 5,000 ש"ח שישולם בחמישה תשלומים מיום  1.3.19. באי תשלום, ייאסר בשל כך ל- 50 יום. </w:t>
      </w:r>
    </w:p>
    <w:p w14:paraId="38C0A050" w14:textId="77777777" w:rsidR="00BE39B1" w:rsidRDefault="00BE39B1" w:rsidP="00BE39B1">
      <w:pPr>
        <w:spacing w:line="480" w:lineRule="auto"/>
        <w:jc w:val="both"/>
        <w:rPr>
          <w:rtl/>
        </w:rPr>
      </w:pPr>
    </w:p>
    <w:p w14:paraId="50D2E092" w14:textId="77777777" w:rsidR="00BE39B1" w:rsidRDefault="00BE39B1" w:rsidP="00BE39B1">
      <w:pPr>
        <w:spacing w:line="480" w:lineRule="auto"/>
        <w:ind w:left="510" w:hanging="510"/>
        <w:jc w:val="both"/>
        <w:rPr>
          <w:rtl/>
        </w:rPr>
      </w:pPr>
      <w:r>
        <w:rPr>
          <w:rtl/>
        </w:rPr>
        <w:t>7.</w:t>
      </w:r>
      <w:r>
        <w:rPr>
          <w:rFonts w:hint="cs"/>
          <w:rtl/>
        </w:rPr>
        <w:tab/>
      </w:r>
      <w:r w:rsidRPr="00227CB4">
        <w:rPr>
          <w:rFonts w:hint="cs"/>
          <w:b/>
          <w:bCs/>
          <w:u w:val="single"/>
          <w:rtl/>
        </w:rPr>
        <w:t>הנאשם 3</w:t>
      </w:r>
      <w:r>
        <w:rPr>
          <w:rFonts w:hint="cs"/>
          <w:rtl/>
        </w:rPr>
        <w:t xml:space="preserve"> </w:t>
      </w:r>
    </w:p>
    <w:p w14:paraId="44FE3421" w14:textId="77777777" w:rsidR="00BE39B1" w:rsidRDefault="00BE39B1" w:rsidP="00BE39B1">
      <w:pPr>
        <w:spacing w:line="480" w:lineRule="auto"/>
        <w:ind w:left="510" w:hanging="510"/>
        <w:jc w:val="both"/>
        <w:rPr>
          <w:rtl/>
        </w:rPr>
      </w:pPr>
    </w:p>
    <w:p w14:paraId="6722AFD3" w14:textId="77777777" w:rsidR="00BE39B1" w:rsidRDefault="00BE39B1" w:rsidP="00BE39B1">
      <w:pPr>
        <w:spacing w:line="480" w:lineRule="auto"/>
        <w:ind w:left="1440" w:hanging="930"/>
        <w:jc w:val="both"/>
        <w:rPr>
          <w:rtl/>
        </w:rPr>
      </w:pPr>
      <w:r>
        <w:rPr>
          <w:rFonts w:hint="cs"/>
          <w:rtl/>
        </w:rPr>
        <w:t>א.</w:t>
      </w:r>
      <w:r>
        <w:rPr>
          <w:rFonts w:hint="cs"/>
          <w:rtl/>
        </w:rPr>
        <w:tab/>
        <w:t xml:space="preserve">חלקו בפרשה קל משל קודמיו, ולא בכדי הורשע הוא אך בעבירה אחת של סיוע לעסקה אחרת בנשק. </w:t>
      </w:r>
    </w:p>
    <w:p w14:paraId="38C029B0" w14:textId="77777777" w:rsidR="00BE39B1" w:rsidRDefault="00BE39B1" w:rsidP="00BE39B1">
      <w:pPr>
        <w:spacing w:line="480" w:lineRule="auto"/>
        <w:ind w:left="510" w:hanging="510"/>
        <w:jc w:val="both"/>
        <w:rPr>
          <w:rtl/>
        </w:rPr>
      </w:pPr>
    </w:p>
    <w:p w14:paraId="3F0C1E54" w14:textId="77777777" w:rsidR="00BE39B1" w:rsidRDefault="00BE39B1" w:rsidP="00BE39B1">
      <w:pPr>
        <w:spacing w:line="480" w:lineRule="auto"/>
        <w:ind w:left="1440" w:hanging="930"/>
        <w:jc w:val="both"/>
        <w:rPr>
          <w:rtl/>
        </w:rPr>
      </w:pPr>
      <w:r>
        <w:rPr>
          <w:rFonts w:hint="cs"/>
          <w:rtl/>
        </w:rPr>
        <w:t>ב.</w:t>
      </w:r>
      <w:r>
        <w:rPr>
          <w:rFonts w:hint="cs"/>
          <w:rtl/>
        </w:rPr>
        <w:tab/>
        <w:t xml:space="preserve">אף לזכותו קבלת אחריות והודאה מלאים, אם כי, מנגד, לחובתו, הרשעה משנת 2016. בבית המשפט הצבאי יהודה נדון בגין זריקת חפץ לעבר אדם, ונגזרו עליו שבעה חודשי מאסר. בהתאם לעמדתי שקיבלה כבר ביטוי ביחס לנאשם 1 אציין, שהגם, שאכן, אין המדובר בעבירה בדיוק מהסוג בה הורשע עתה, אתקשה לראות בהרשעתו הקודמת כבלתי רלוונטית, ונועד לה משקל מסוים, גם אם מידתי, בשיקולי בית המשפט. </w:t>
      </w:r>
    </w:p>
    <w:p w14:paraId="4EF44ABD" w14:textId="77777777" w:rsidR="00BE39B1" w:rsidRDefault="00BE39B1" w:rsidP="00BE39B1">
      <w:pPr>
        <w:spacing w:line="480" w:lineRule="auto"/>
        <w:ind w:left="1440" w:hanging="930"/>
        <w:jc w:val="both"/>
        <w:rPr>
          <w:rtl/>
        </w:rPr>
      </w:pPr>
    </w:p>
    <w:p w14:paraId="0CE426C8" w14:textId="77777777" w:rsidR="00BE39B1" w:rsidRDefault="00BE39B1" w:rsidP="00BE39B1">
      <w:pPr>
        <w:spacing w:line="480" w:lineRule="auto"/>
        <w:ind w:left="1440" w:hanging="930"/>
        <w:jc w:val="both"/>
        <w:rPr>
          <w:rtl/>
        </w:rPr>
      </w:pPr>
      <w:r>
        <w:rPr>
          <w:rFonts w:hint="cs"/>
          <w:rtl/>
        </w:rPr>
        <w:t>ג.</w:t>
      </w:r>
      <w:r>
        <w:rPr>
          <w:rFonts w:hint="cs"/>
          <w:rtl/>
        </w:rPr>
        <w:tab/>
        <w:t xml:space="preserve">כאמור, הגבילה עצמה המאשימה בעניינו ל- 12 חודשי מאסר בפועל והיא מצדדת בענישה ברף זה. ב"כ הנכבד מבקש להסתפק בתקופת מעצרו, העומדת במועד גזר דין זה על כשמונה חודשים. </w:t>
      </w:r>
    </w:p>
    <w:p w14:paraId="27B06C46" w14:textId="77777777" w:rsidR="00BE39B1" w:rsidRDefault="00BE39B1" w:rsidP="00BE39B1">
      <w:pPr>
        <w:spacing w:line="480" w:lineRule="auto"/>
        <w:ind w:left="1440" w:hanging="930"/>
        <w:jc w:val="both"/>
        <w:rPr>
          <w:rtl/>
        </w:rPr>
      </w:pPr>
    </w:p>
    <w:p w14:paraId="363673F3" w14:textId="77777777" w:rsidR="00BE39B1" w:rsidRDefault="00BE39B1" w:rsidP="00BE39B1">
      <w:pPr>
        <w:spacing w:line="480" w:lineRule="auto"/>
        <w:ind w:left="1440" w:hanging="930"/>
        <w:jc w:val="both"/>
        <w:rPr>
          <w:rtl/>
        </w:rPr>
      </w:pPr>
      <w:r>
        <w:rPr>
          <w:rFonts w:hint="cs"/>
          <w:rtl/>
        </w:rPr>
        <w:t>ד.</w:t>
      </w:r>
      <w:r>
        <w:rPr>
          <w:rFonts w:hint="cs"/>
          <w:rtl/>
        </w:rPr>
        <w:tab/>
        <w:t>נכון בנסיבותיו של נאשם זה להימנע ממיצוי הדין עמו. כשלעצמי נוטה הייתה דעתי לעמדת המאשימה, לפיה "שוקללו" טיעוני הקולא כבר במסגרת הסדר הטיעון. עם זאת, בשים לב לחלקו המתון של נאשם זה בפרשה, ואגב שאיפתי לתת ביטוי חוזר ומודגש לערך הרב שרואה אני בקבלת אחריות ובהודאה, נכון אני להקל במעט ולהימנע מעונש ברף ההסכמה של המאשימה, תוך שאקבל שנכון להימנע ממיצוי הדין עמו.</w:t>
      </w:r>
    </w:p>
    <w:p w14:paraId="620B05CB" w14:textId="77777777" w:rsidR="00BE39B1" w:rsidRDefault="00BE39B1" w:rsidP="00BE39B1">
      <w:pPr>
        <w:spacing w:line="480" w:lineRule="auto"/>
        <w:ind w:left="1440" w:hanging="930"/>
        <w:jc w:val="both"/>
        <w:rPr>
          <w:rtl/>
        </w:rPr>
      </w:pPr>
    </w:p>
    <w:p w14:paraId="5BEA38C0" w14:textId="77777777" w:rsidR="00BE39B1" w:rsidRDefault="00BE39B1" w:rsidP="00BE39B1">
      <w:pPr>
        <w:spacing w:line="480" w:lineRule="auto"/>
        <w:ind w:left="1440" w:hanging="930"/>
        <w:jc w:val="both"/>
        <w:rPr>
          <w:rtl/>
        </w:rPr>
      </w:pPr>
      <w:r>
        <w:rPr>
          <w:rFonts w:hint="cs"/>
          <w:rtl/>
        </w:rPr>
        <w:t>ה.</w:t>
      </w:r>
      <w:r>
        <w:rPr>
          <w:rFonts w:hint="cs"/>
          <w:rtl/>
        </w:rPr>
        <w:tab/>
        <w:t>סוף דבר, גוזר אני על נאשם זה כלדקמן:</w:t>
      </w:r>
    </w:p>
    <w:p w14:paraId="43900F31" w14:textId="77777777" w:rsidR="00BE39B1" w:rsidRDefault="00BE39B1" w:rsidP="00BE39B1">
      <w:pPr>
        <w:spacing w:line="480" w:lineRule="auto"/>
        <w:ind w:left="1440" w:hanging="930"/>
        <w:jc w:val="both"/>
        <w:rPr>
          <w:rtl/>
        </w:rPr>
      </w:pPr>
    </w:p>
    <w:p w14:paraId="08A3A4CB" w14:textId="77777777" w:rsidR="00BE39B1" w:rsidRDefault="00BE39B1" w:rsidP="00BE39B1">
      <w:pPr>
        <w:spacing w:line="480" w:lineRule="auto"/>
        <w:ind w:left="1440"/>
        <w:jc w:val="both"/>
        <w:rPr>
          <w:rtl/>
        </w:rPr>
      </w:pPr>
      <w:r>
        <w:rPr>
          <w:rFonts w:hint="cs"/>
          <w:rtl/>
        </w:rPr>
        <w:t>1.</w:t>
      </w:r>
      <w:r>
        <w:rPr>
          <w:rFonts w:hint="cs"/>
          <w:rtl/>
        </w:rPr>
        <w:tab/>
        <w:t>מאסר לתקופה של תשעה וחצי חודשים לחישוב מיום מעצרו, 9.4.18</w:t>
      </w:r>
    </w:p>
    <w:p w14:paraId="08F5B8FF" w14:textId="77777777" w:rsidR="00BE39B1" w:rsidRDefault="00BE39B1" w:rsidP="00BE39B1">
      <w:pPr>
        <w:spacing w:line="480" w:lineRule="auto"/>
        <w:ind w:left="1440" w:hanging="930"/>
        <w:jc w:val="both"/>
        <w:rPr>
          <w:rtl/>
        </w:rPr>
      </w:pPr>
    </w:p>
    <w:p w14:paraId="55C6B96B" w14:textId="77777777" w:rsidR="00BE39B1" w:rsidRDefault="00BE39B1" w:rsidP="00BE39B1">
      <w:pPr>
        <w:spacing w:line="480" w:lineRule="auto"/>
        <w:ind w:left="2160" w:hanging="630"/>
        <w:jc w:val="both"/>
        <w:rPr>
          <w:rtl/>
        </w:rPr>
      </w:pPr>
      <w:r>
        <w:rPr>
          <w:rFonts w:hint="cs"/>
          <w:rtl/>
        </w:rPr>
        <w:t>2.</w:t>
      </w:r>
      <w:r>
        <w:rPr>
          <w:rFonts w:hint="cs"/>
          <w:rtl/>
        </w:rPr>
        <w:tab/>
        <w:t xml:space="preserve">כמו כן, ירצה 8 חודשי מאסר בפועל אם בתקופה של שנתיים לאחר שחרורו, יעבור עבירה נוספת על </w:t>
      </w:r>
      <w:hyperlink r:id="rId30" w:history="1">
        <w:r w:rsidR="002173AE" w:rsidRPr="002173AE">
          <w:rPr>
            <w:color w:val="0000FF"/>
            <w:u w:val="single"/>
            <w:rtl/>
          </w:rPr>
          <w:t>סעיף 144</w:t>
        </w:r>
      </w:hyperlink>
      <w:r>
        <w:rPr>
          <w:rFonts w:hint="cs"/>
          <w:rtl/>
        </w:rPr>
        <w:t xml:space="preserve"> ל</w:t>
      </w:r>
      <w:hyperlink r:id="rId31" w:history="1">
        <w:r w:rsidR="00AF4EEE" w:rsidRPr="00AF4EEE">
          <w:rPr>
            <w:color w:val="0000FF"/>
            <w:u w:val="single"/>
            <w:rtl/>
          </w:rPr>
          <w:t>חוק העונשין</w:t>
        </w:r>
      </w:hyperlink>
      <w:r>
        <w:rPr>
          <w:rFonts w:hint="cs"/>
          <w:rtl/>
        </w:rPr>
        <w:t xml:space="preserve">. </w:t>
      </w:r>
    </w:p>
    <w:p w14:paraId="43C43335" w14:textId="77777777" w:rsidR="00BE39B1" w:rsidRDefault="00BE39B1" w:rsidP="00BE39B1">
      <w:pPr>
        <w:spacing w:line="480" w:lineRule="auto"/>
        <w:ind w:left="2160" w:hanging="630"/>
        <w:jc w:val="both"/>
        <w:rPr>
          <w:rtl/>
        </w:rPr>
      </w:pPr>
    </w:p>
    <w:p w14:paraId="58ED6353" w14:textId="77777777" w:rsidR="00BE39B1" w:rsidRDefault="00BE39B1" w:rsidP="00BE39B1">
      <w:pPr>
        <w:spacing w:line="480" w:lineRule="auto"/>
        <w:ind w:left="2160" w:hanging="630"/>
        <w:jc w:val="both"/>
        <w:rPr>
          <w:rtl/>
        </w:rPr>
      </w:pPr>
      <w:r>
        <w:rPr>
          <w:rFonts w:hint="cs"/>
          <w:rtl/>
        </w:rPr>
        <w:t>3.</w:t>
      </w:r>
      <w:r>
        <w:rPr>
          <w:rFonts w:hint="cs"/>
          <w:rtl/>
        </w:rPr>
        <w:tab/>
        <w:t xml:space="preserve">לצד האמור, אורה על קנס בסך של 3,500 ש"ח שישולם בחמישה תשלומים מיום  1.3.19. באי תשלום, ייאסר בשל כך ל- 35 יום. </w:t>
      </w:r>
    </w:p>
    <w:p w14:paraId="260856A6" w14:textId="77777777" w:rsidR="00BE39B1" w:rsidRDefault="00BE39B1" w:rsidP="00BE39B1">
      <w:pPr>
        <w:spacing w:line="480" w:lineRule="auto"/>
        <w:jc w:val="both"/>
        <w:rPr>
          <w:rtl/>
        </w:rPr>
      </w:pPr>
    </w:p>
    <w:p w14:paraId="28F0DC92" w14:textId="77777777" w:rsidR="00BE39B1" w:rsidRDefault="00BE39B1" w:rsidP="00BE39B1">
      <w:pPr>
        <w:spacing w:line="480" w:lineRule="auto"/>
        <w:jc w:val="both"/>
        <w:rPr>
          <w:rtl/>
        </w:rPr>
      </w:pPr>
      <w:r>
        <w:rPr>
          <w:rFonts w:hint="cs"/>
          <w:rtl/>
        </w:rPr>
        <w:t>8.</w:t>
      </w:r>
      <w:r>
        <w:rPr>
          <w:rtl/>
        </w:rPr>
        <w:tab/>
      </w:r>
      <w:r w:rsidRPr="00345C30">
        <w:rPr>
          <w:rFonts w:hint="cs"/>
          <w:b/>
          <w:bCs/>
          <w:u w:val="single"/>
          <w:rtl/>
        </w:rPr>
        <w:t>הנאשם 5</w:t>
      </w:r>
    </w:p>
    <w:p w14:paraId="3B4AA4B5" w14:textId="77777777" w:rsidR="00BE39B1" w:rsidRDefault="00BE39B1" w:rsidP="00BE39B1">
      <w:pPr>
        <w:spacing w:line="480" w:lineRule="auto"/>
        <w:jc w:val="both"/>
        <w:rPr>
          <w:rtl/>
        </w:rPr>
      </w:pPr>
    </w:p>
    <w:p w14:paraId="399D7B29" w14:textId="77777777" w:rsidR="00BE39B1" w:rsidRDefault="00BE39B1" w:rsidP="00BE39B1">
      <w:pPr>
        <w:spacing w:line="480" w:lineRule="auto"/>
        <w:jc w:val="both"/>
        <w:rPr>
          <w:rtl/>
        </w:rPr>
      </w:pPr>
      <w:r>
        <w:rPr>
          <w:rtl/>
        </w:rPr>
        <w:tab/>
      </w:r>
      <w:r>
        <w:rPr>
          <w:rFonts w:hint="cs"/>
          <w:rtl/>
        </w:rPr>
        <w:t>א.</w:t>
      </w:r>
      <w:r>
        <w:rPr>
          <w:rtl/>
        </w:rPr>
        <w:tab/>
      </w:r>
      <w:r>
        <w:rPr>
          <w:rFonts w:hint="cs"/>
          <w:rtl/>
        </w:rPr>
        <w:t xml:space="preserve">כאמור, הורשע נאשם זה בניסיון לסחר בנשק. </w:t>
      </w:r>
      <w:r>
        <w:rPr>
          <w:rtl/>
        </w:rPr>
        <w:tab/>
      </w:r>
    </w:p>
    <w:p w14:paraId="698AB1B4" w14:textId="77777777" w:rsidR="00BE39B1" w:rsidRDefault="00BE39B1" w:rsidP="00BE39B1">
      <w:pPr>
        <w:spacing w:line="480" w:lineRule="auto"/>
        <w:jc w:val="both"/>
        <w:rPr>
          <w:rtl/>
        </w:rPr>
      </w:pPr>
    </w:p>
    <w:p w14:paraId="08D0301E" w14:textId="77777777" w:rsidR="00BE39B1" w:rsidRDefault="00BE39B1" w:rsidP="00BE39B1">
      <w:pPr>
        <w:spacing w:line="480" w:lineRule="auto"/>
        <w:ind w:left="1440" w:hanging="720"/>
        <w:jc w:val="both"/>
        <w:rPr>
          <w:rtl/>
        </w:rPr>
      </w:pPr>
      <w:r>
        <w:rPr>
          <w:rFonts w:hint="cs"/>
          <w:rtl/>
        </w:rPr>
        <w:t>ב.</w:t>
      </w:r>
      <w:r>
        <w:rPr>
          <w:rtl/>
        </w:rPr>
        <w:tab/>
      </w:r>
      <w:r>
        <w:rPr>
          <w:rFonts w:hint="cs"/>
          <w:rtl/>
        </w:rPr>
        <w:t xml:space="preserve">אף לזכותו קבלת אחריות והודאה מלאים, ובניגוד לקודמו, אין לחובתו הרשעות קודמות כלשהן. </w:t>
      </w:r>
    </w:p>
    <w:p w14:paraId="35D2ADB0" w14:textId="77777777" w:rsidR="00BE39B1" w:rsidRDefault="00BE39B1" w:rsidP="00BE39B1">
      <w:pPr>
        <w:spacing w:line="480" w:lineRule="auto"/>
        <w:jc w:val="both"/>
        <w:rPr>
          <w:rtl/>
        </w:rPr>
      </w:pPr>
    </w:p>
    <w:p w14:paraId="6E5E1B04" w14:textId="77777777" w:rsidR="00BE39B1" w:rsidRDefault="00BE39B1" w:rsidP="00BE39B1">
      <w:pPr>
        <w:spacing w:line="480" w:lineRule="auto"/>
        <w:ind w:left="1440" w:hanging="720"/>
        <w:jc w:val="both"/>
        <w:rPr>
          <w:rtl/>
        </w:rPr>
      </w:pPr>
      <w:r>
        <w:rPr>
          <w:rFonts w:hint="cs"/>
          <w:rtl/>
        </w:rPr>
        <w:t>ג.</w:t>
      </w:r>
      <w:r>
        <w:rPr>
          <w:rtl/>
        </w:rPr>
        <w:tab/>
      </w:r>
      <w:r>
        <w:rPr>
          <w:rFonts w:hint="cs"/>
          <w:rtl/>
        </w:rPr>
        <w:t xml:space="preserve">המאשימה הגבילה את עצמה בעניינו ל-16 חודשי מאסר בפועל, והיא מצדדת בענישה ברף זה. בנקודה זו, לא לחלוטין ברורה עקביות עמדת המאשימה. מקבל אני שניתן, אולי, להיזקק למסקנה שניסיון סחר בנשק חמור מסיוע לעסקה אחרת בנשק (כפי שהורשע הנאשם 3), ואולם, בהינתן שלנאשם 3 הרשעה קודמת בעבירה שהובילה אותו לשבעה חודשי מאסר, מעט פחות ברור מדוע הוגבל העונש בעניינו ל-12 חודשי מאסר. </w:t>
      </w:r>
    </w:p>
    <w:p w14:paraId="2B3F5FBE" w14:textId="77777777" w:rsidR="00BE39B1" w:rsidRDefault="00BE39B1" w:rsidP="00BE39B1">
      <w:pPr>
        <w:spacing w:line="480" w:lineRule="auto"/>
        <w:ind w:left="1440" w:hanging="720"/>
        <w:jc w:val="both"/>
        <w:rPr>
          <w:rtl/>
        </w:rPr>
      </w:pPr>
    </w:p>
    <w:p w14:paraId="3948B618" w14:textId="77777777" w:rsidR="00BE39B1" w:rsidRDefault="00BE39B1" w:rsidP="00BE39B1">
      <w:pPr>
        <w:spacing w:line="480" w:lineRule="auto"/>
        <w:ind w:left="1440" w:hanging="720"/>
        <w:jc w:val="both"/>
        <w:rPr>
          <w:rtl/>
        </w:rPr>
      </w:pPr>
      <w:r>
        <w:rPr>
          <w:rFonts w:hint="cs"/>
          <w:rtl/>
        </w:rPr>
        <w:t>ד.</w:t>
      </w:r>
      <w:r>
        <w:rPr>
          <w:rFonts w:hint="cs"/>
          <w:rtl/>
        </w:rPr>
        <w:tab/>
        <w:t>דגש מיוחד בטיעוניה, שמה ההגנה על גזר דינו של בית משפט זה ב</w:t>
      </w:r>
      <w:hyperlink r:id="rId32" w:history="1">
        <w:r w:rsidR="00AF4EEE" w:rsidRPr="00AF4EEE">
          <w:rPr>
            <w:color w:val="0000FF"/>
            <w:u w:val="single"/>
            <w:rtl/>
          </w:rPr>
          <w:t>ת"פ 35608-04-18</w:t>
        </w:r>
      </w:hyperlink>
      <w:r>
        <w:rPr>
          <w:rFonts w:hint="cs"/>
          <w:rtl/>
        </w:rPr>
        <w:t xml:space="preserve">, שעל פני הדברים, עניינה בנגזרות אחרות של אותה פרשה בדיוק ואותו סוכן. למותר להוסיף, שהנאשמים בהליך דהתם והנאשמים בהליך דנן נעצרו בסמוך, ומכל מקום, אין חולקין שקיימת זיקה ישירה בין שני כתבי האישום. בהליך הנ"ל, הורשע הנאשם 2, שם, פהד רג'בי, בדיוק באותה עבירה כבפרשתנו - ניסיון סחר בנשק. לסופו של יום נגזר עונשו ל -12 חודשי מאסר. לטענת ב"כ הנאשם, מלמדות הנסיבות באותו הליך על מעורבות עמוקה יותר ועל חומרה יתרה מכפי פרשתנו, ואולם, גם אם וככל שאסבור, שמשלב מסוים הופכת האבחנה בין רג'בי הנ"ל לנאשם דנן למלאכותית, עדיין מתקשה אני לראות מאיזה טעם אחמיר בעונשו מכפי העונש שנגזר על רג'בי. </w:t>
      </w:r>
    </w:p>
    <w:p w14:paraId="357E87CB" w14:textId="77777777" w:rsidR="00BE39B1" w:rsidRDefault="00BE39B1" w:rsidP="00BE39B1">
      <w:pPr>
        <w:spacing w:line="480" w:lineRule="auto"/>
        <w:ind w:left="1440" w:hanging="720"/>
        <w:jc w:val="both"/>
        <w:rPr>
          <w:rtl/>
        </w:rPr>
      </w:pPr>
    </w:p>
    <w:p w14:paraId="522C3EC0" w14:textId="77777777" w:rsidR="00BE39B1" w:rsidRDefault="00BE39B1" w:rsidP="00BE39B1">
      <w:pPr>
        <w:spacing w:line="480" w:lineRule="auto"/>
        <w:ind w:left="1440" w:hanging="720"/>
        <w:jc w:val="both"/>
        <w:rPr>
          <w:rtl/>
        </w:rPr>
      </w:pPr>
      <w:r>
        <w:rPr>
          <w:rFonts w:hint="cs"/>
          <w:rtl/>
        </w:rPr>
        <w:t>ה.</w:t>
      </w:r>
      <w:r>
        <w:rPr>
          <w:rtl/>
        </w:rPr>
        <w:tab/>
      </w:r>
      <w:r>
        <w:rPr>
          <w:rFonts w:hint="cs"/>
          <w:rtl/>
        </w:rPr>
        <w:t>משיקולי אחידות הענישה, הנכון הוא לגזור את עונשו של הנאשם דנן ל-12 חודשי מאסר וכך נפסק בזה. לצד זאת, אורה על קנס. אין לקנס ביטוי בהסדר הטיעון, ועתה נחלקים הצדדים בשאלה זו. בשים לב למחלוקת בין הצדדים בשאלת הקנס, כאשר, ככל הנראה, בהיסח הדעת נמנעו הצדדים מלתת דעתם לשאלה זו עובר לסיכום הפרשה, אורה על קנס בשיעור מחצית הסכום שהושת על רג'בי. בשים לב לטענות ההגנה יוטעם, שככל שמדגישה ההגנה את עונשו של רג'בי לצד עקרון אחידות הענישה, נכון להשוואה זו להקרין גם למישור הקנס, ואם על רג'בי הוטל קנס, הנכון הוא  גם אם נשמט הדבר מהסדר הטיעון, שגם הנאשם דנן ישלם קנס, ולכל הפחות, חצי מרג'בי. מכל מקום, כידוע, אין בית המשפט כבול כלל להסדר הטיעון.</w:t>
      </w:r>
    </w:p>
    <w:p w14:paraId="06703AF3" w14:textId="77777777" w:rsidR="00BE39B1" w:rsidRDefault="00BE39B1" w:rsidP="00BE39B1">
      <w:pPr>
        <w:spacing w:line="480" w:lineRule="auto"/>
        <w:ind w:left="1440" w:hanging="720"/>
        <w:jc w:val="both"/>
        <w:rPr>
          <w:rtl/>
        </w:rPr>
      </w:pPr>
    </w:p>
    <w:p w14:paraId="1A921EAC" w14:textId="77777777" w:rsidR="00BE39B1" w:rsidRDefault="00BE39B1" w:rsidP="00BE39B1">
      <w:pPr>
        <w:spacing w:line="480" w:lineRule="auto"/>
        <w:ind w:left="1440" w:hanging="720"/>
        <w:jc w:val="both"/>
        <w:rPr>
          <w:rtl/>
        </w:rPr>
      </w:pPr>
      <w:r>
        <w:rPr>
          <w:rFonts w:hint="cs"/>
          <w:rtl/>
        </w:rPr>
        <w:t>ו.</w:t>
      </w:r>
      <w:r>
        <w:rPr>
          <w:rtl/>
        </w:rPr>
        <w:tab/>
      </w:r>
      <w:r>
        <w:rPr>
          <w:rFonts w:hint="cs"/>
          <w:rtl/>
        </w:rPr>
        <w:t xml:space="preserve">סוף דבר, גוזר אני כלדקמן: </w:t>
      </w:r>
    </w:p>
    <w:p w14:paraId="72AF6E45" w14:textId="77777777" w:rsidR="00BE39B1" w:rsidRDefault="00BE39B1" w:rsidP="00BE39B1">
      <w:pPr>
        <w:spacing w:line="480" w:lineRule="auto"/>
        <w:ind w:left="1440" w:hanging="720"/>
        <w:jc w:val="both"/>
        <w:rPr>
          <w:rtl/>
        </w:rPr>
      </w:pPr>
    </w:p>
    <w:p w14:paraId="4F263956" w14:textId="77777777" w:rsidR="00BE39B1" w:rsidRDefault="00BE39B1" w:rsidP="00BE39B1">
      <w:pPr>
        <w:spacing w:line="480" w:lineRule="auto"/>
        <w:ind w:left="1440" w:hanging="720"/>
        <w:jc w:val="both"/>
        <w:rPr>
          <w:rtl/>
        </w:rPr>
      </w:pPr>
      <w:r>
        <w:rPr>
          <w:rtl/>
        </w:rPr>
        <w:tab/>
      </w:r>
      <w:r>
        <w:rPr>
          <w:rFonts w:hint="cs"/>
          <w:rtl/>
        </w:rPr>
        <w:t>1.</w:t>
      </w:r>
      <w:r>
        <w:rPr>
          <w:rFonts w:hint="cs"/>
          <w:rtl/>
        </w:rPr>
        <w:tab/>
        <w:t xml:space="preserve">מאסר לתקופה של 12 חודשים ויום, לחישוב מיום מעצר הנאשם, 17.4.18. </w:t>
      </w:r>
    </w:p>
    <w:p w14:paraId="08728438" w14:textId="77777777" w:rsidR="00BE39B1" w:rsidRDefault="00BE39B1" w:rsidP="00BE39B1">
      <w:pPr>
        <w:spacing w:line="480" w:lineRule="auto"/>
        <w:ind w:left="1440" w:hanging="720"/>
        <w:jc w:val="both"/>
        <w:rPr>
          <w:rtl/>
        </w:rPr>
      </w:pPr>
    </w:p>
    <w:p w14:paraId="2C470201" w14:textId="77777777" w:rsidR="00BE39B1" w:rsidRDefault="00BE39B1" w:rsidP="00BE39B1">
      <w:pPr>
        <w:spacing w:line="480" w:lineRule="auto"/>
        <w:ind w:left="2160" w:hanging="630"/>
        <w:jc w:val="both"/>
        <w:rPr>
          <w:rtl/>
        </w:rPr>
      </w:pPr>
      <w:r>
        <w:rPr>
          <w:rFonts w:hint="cs"/>
          <w:rtl/>
        </w:rPr>
        <w:t>2.</w:t>
      </w:r>
      <w:r>
        <w:rPr>
          <w:rtl/>
        </w:rPr>
        <w:tab/>
      </w:r>
      <w:r>
        <w:rPr>
          <w:rFonts w:hint="cs"/>
          <w:rtl/>
        </w:rPr>
        <w:t xml:space="preserve">כמו כן, ירצה 8 חודשי מאסר בפועל אם בתקופה של שנתיים לאחר שחרורו, יעבור עבירה נוספת על </w:t>
      </w:r>
      <w:hyperlink r:id="rId33" w:history="1">
        <w:r w:rsidR="002173AE" w:rsidRPr="002173AE">
          <w:rPr>
            <w:color w:val="0000FF"/>
            <w:u w:val="single"/>
            <w:rtl/>
          </w:rPr>
          <w:t>סעיף 144</w:t>
        </w:r>
      </w:hyperlink>
      <w:r>
        <w:rPr>
          <w:rFonts w:hint="cs"/>
          <w:rtl/>
        </w:rPr>
        <w:t xml:space="preserve"> ל</w:t>
      </w:r>
      <w:hyperlink r:id="rId34" w:history="1">
        <w:r w:rsidR="00AF4EEE" w:rsidRPr="00AF4EEE">
          <w:rPr>
            <w:color w:val="0000FF"/>
            <w:u w:val="single"/>
            <w:rtl/>
          </w:rPr>
          <w:t>חוק העונשין</w:t>
        </w:r>
      </w:hyperlink>
      <w:r>
        <w:rPr>
          <w:rFonts w:hint="cs"/>
          <w:rtl/>
        </w:rPr>
        <w:t xml:space="preserve">. </w:t>
      </w:r>
    </w:p>
    <w:p w14:paraId="3B24B9E7" w14:textId="77777777" w:rsidR="00BE39B1" w:rsidRPr="00AF4EEE" w:rsidRDefault="00AF4EEE" w:rsidP="00BE39B1">
      <w:pPr>
        <w:spacing w:line="480" w:lineRule="auto"/>
        <w:ind w:left="1440" w:hanging="720"/>
        <w:jc w:val="both"/>
        <w:rPr>
          <w:color w:val="FFFFFF"/>
          <w:sz w:val="2"/>
          <w:szCs w:val="2"/>
          <w:rtl/>
        </w:rPr>
      </w:pPr>
      <w:r w:rsidRPr="00AF4EEE">
        <w:rPr>
          <w:color w:val="FFFFFF"/>
          <w:sz w:val="2"/>
          <w:szCs w:val="2"/>
          <w:rtl/>
        </w:rPr>
        <w:t>5129371</w:t>
      </w:r>
    </w:p>
    <w:p w14:paraId="0AFCAF15" w14:textId="77777777" w:rsidR="00BE39B1" w:rsidRDefault="00AF4EEE" w:rsidP="00BE39B1">
      <w:pPr>
        <w:spacing w:line="480" w:lineRule="auto"/>
        <w:ind w:left="2160" w:hanging="630"/>
        <w:jc w:val="both"/>
        <w:rPr>
          <w:rtl/>
        </w:rPr>
      </w:pPr>
      <w:r w:rsidRPr="00AF4EEE">
        <w:rPr>
          <w:color w:val="FFFFFF"/>
          <w:sz w:val="2"/>
          <w:szCs w:val="2"/>
          <w:rtl/>
        </w:rPr>
        <w:t>54678313</w:t>
      </w:r>
      <w:r w:rsidR="00BE39B1">
        <w:rPr>
          <w:rFonts w:hint="cs"/>
          <w:rtl/>
        </w:rPr>
        <w:t>3.</w:t>
      </w:r>
      <w:r w:rsidR="00BE39B1">
        <w:rPr>
          <w:rFonts w:hint="cs"/>
          <w:rtl/>
        </w:rPr>
        <w:tab/>
        <w:t xml:space="preserve">לצד האמור, אורה על קנס בסך 2,500 ₪ שישולם בחמישה תשלומים מיום 1.3.19. באי תשלום, ייאסר בשל כך ל -25 יום. </w:t>
      </w:r>
    </w:p>
    <w:p w14:paraId="1AD57C24" w14:textId="77777777" w:rsidR="00BE39B1" w:rsidRPr="00F112C8" w:rsidRDefault="00BE39B1" w:rsidP="00BE39B1">
      <w:pPr>
        <w:spacing w:line="480" w:lineRule="auto"/>
        <w:jc w:val="both"/>
        <w:rPr>
          <w:rtl/>
        </w:rPr>
      </w:pPr>
      <w:r>
        <w:rPr>
          <w:rtl/>
        </w:rPr>
        <w:tab/>
      </w:r>
    </w:p>
    <w:p w14:paraId="0B083DCF" w14:textId="77777777" w:rsidR="00BE39B1" w:rsidRDefault="00AF4EEE" w:rsidP="00BE39B1">
      <w:pPr>
        <w:spacing w:line="480" w:lineRule="auto"/>
        <w:rPr>
          <w:rFonts w:cs="FrankRuehl"/>
          <w:sz w:val="28"/>
          <w:szCs w:val="28"/>
          <w:rtl/>
        </w:rPr>
      </w:pPr>
      <w:r>
        <w:rPr>
          <w:rFonts w:ascii="Arial" w:hAnsi="Arial"/>
          <w:b/>
          <w:bCs/>
          <w:rtl/>
        </w:rPr>
        <w:t xml:space="preserve">ניתן היום, כ"ו טבת תשע"ט, 3 ינואר 2019, במעמד הצדדים. </w:t>
      </w:r>
    </w:p>
    <w:p w14:paraId="5637E1AD" w14:textId="77777777" w:rsidR="00BE39B1" w:rsidRDefault="00BE39B1" w:rsidP="00BE39B1">
      <w:pPr>
        <w:spacing w:line="480" w:lineRule="auto"/>
        <w:ind w:left="4320" w:firstLine="720"/>
        <w:rPr>
          <w:rFonts w:ascii="Arial" w:hAnsi="Arial" w:cs="FrankRuehl"/>
          <w:sz w:val="28"/>
          <w:szCs w:val="28"/>
          <w:rtl/>
        </w:rPr>
      </w:pPr>
      <w:r>
        <w:rPr>
          <w:rFonts w:ascii="Arial" w:hAnsi="Arial" w:cs="FrankRuehl" w:hint="cs"/>
          <w:sz w:val="28"/>
          <w:szCs w:val="28"/>
          <w:rtl/>
        </w:rPr>
        <w:t>חתימה</w:t>
      </w:r>
    </w:p>
    <w:p w14:paraId="38D97B85" w14:textId="77777777" w:rsidR="00BE39B1" w:rsidRPr="002173AE" w:rsidRDefault="002173AE" w:rsidP="00BE39B1">
      <w:pPr>
        <w:bidi w:val="0"/>
        <w:spacing w:line="480" w:lineRule="auto"/>
        <w:rPr>
          <w:rFonts w:cs="FrankRuehl"/>
          <w:color w:val="FFFFFF"/>
          <w:sz w:val="2"/>
          <w:szCs w:val="2"/>
        </w:rPr>
      </w:pPr>
      <w:r w:rsidRPr="002173AE">
        <w:rPr>
          <w:rFonts w:cs="FrankRuehl"/>
          <w:color w:val="FFFFFF"/>
          <w:sz w:val="2"/>
          <w:szCs w:val="2"/>
        </w:rPr>
        <w:t>5129371</w:t>
      </w:r>
    </w:p>
    <w:p w14:paraId="0A6476B6" w14:textId="77777777" w:rsidR="003B45E9" w:rsidRPr="002173AE" w:rsidRDefault="002173AE" w:rsidP="00AF4EEE">
      <w:pPr>
        <w:keepNext/>
        <w:rPr>
          <w:rFonts w:ascii="David" w:hAnsi="David"/>
          <w:color w:val="FFFFFF"/>
          <w:sz w:val="2"/>
          <w:szCs w:val="2"/>
          <w:rtl/>
        </w:rPr>
      </w:pPr>
      <w:r w:rsidRPr="002173AE">
        <w:rPr>
          <w:rFonts w:ascii="David" w:hAnsi="David"/>
          <w:color w:val="FFFFFF"/>
          <w:sz w:val="2"/>
          <w:szCs w:val="2"/>
          <w:rtl/>
        </w:rPr>
        <w:t>54678313</w:t>
      </w:r>
    </w:p>
    <w:p w14:paraId="4B2ACBFB" w14:textId="77777777" w:rsidR="00AF4EEE" w:rsidRPr="00AF4EEE" w:rsidRDefault="00AF4EEE" w:rsidP="00AF4EEE">
      <w:pPr>
        <w:keepNext/>
        <w:rPr>
          <w:rFonts w:ascii="David" w:hAnsi="David"/>
          <w:color w:val="000000"/>
          <w:sz w:val="22"/>
          <w:szCs w:val="22"/>
          <w:rtl/>
        </w:rPr>
      </w:pPr>
      <w:r w:rsidRPr="00AF4EEE">
        <w:rPr>
          <w:rFonts w:ascii="David" w:hAnsi="David"/>
          <w:color w:val="000000"/>
          <w:sz w:val="22"/>
          <w:szCs w:val="22"/>
          <w:rtl/>
        </w:rPr>
        <w:t>אלכסנדר רון 54678313</w:t>
      </w:r>
    </w:p>
    <w:p w14:paraId="43E027F0" w14:textId="77777777" w:rsidR="00AF4EEE" w:rsidRDefault="00AF4EEE" w:rsidP="00AF4EEE">
      <w:r w:rsidRPr="00AF4EEE">
        <w:rPr>
          <w:color w:val="000000"/>
          <w:rtl/>
        </w:rPr>
        <w:t>נוסח מסמך זה כפוף לשינויי ניסוח ועריכה</w:t>
      </w:r>
    </w:p>
    <w:p w14:paraId="0968EE2B" w14:textId="77777777" w:rsidR="00AF4EEE" w:rsidRDefault="00AF4EEE" w:rsidP="00AF4EEE">
      <w:pPr>
        <w:rPr>
          <w:rtl/>
        </w:rPr>
      </w:pPr>
    </w:p>
    <w:p w14:paraId="1985A225" w14:textId="77777777" w:rsidR="00AF4EEE" w:rsidRDefault="00AF4EEE" w:rsidP="00AF4EEE">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6AA1399" w14:textId="77777777" w:rsidR="00AF4EEE" w:rsidRPr="00AF4EEE" w:rsidRDefault="00AF4EEE" w:rsidP="002173AE">
      <w:pPr>
        <w:rPr>
          <w:color w:val="0000FF"/>
          <w:u w:val="single"/>
        </w:rPr>
      </w:pPr>
    </w:p>
    <w:sectPr w:rsidR="00AF4EEE" w:rsidRPr="00AF4EEE" w:rsidSect="002173AE">
      <w:headerReference w:type="even" r:id="rId36"/>
      <w:headerReference w:type="default" r:id="rId37"/>
      <w:footerReference w:type="even" r:id="rId38"/>
      <w:footerReference w:type="default" r:id="rId39"/>
      <w:pgSz w:w="11907" w:h="16840" w:code="9"/>
      <w:pgMar w:top="1701" w:right="1701" w:bottom="1134"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D6611" w14:textId="77777777" w:rsidR="00083E97" w:rsidRDefault="00083E97" w:rsidP="008D4532">
      <w:r>
        <w:separator/>
      </w:r>
    </w:p>
  </w:endnote>
  <w:endnote w:type="continuationSeparator" w:id="0">
    <w:p w14:paraId="292D8E09" w14:textId="77777777" w:rsidR="00083E97" w:rsidRDefault="00083E97" w:rsidP="008D4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7D1E" w14:textId="77777777" w:rsidR="002173AE" w:rsidRDefault="002173AE" w:rsidP="002173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D19141" w14:textId="77777777" w:rsidR="00AF4EEE" w:rsidRPr="002173AE" w:rsidRDefault="002173AE" w:rsidP="002173AE">
    <w:pPr>
      <w:pStyle w:val="a5"/>
      <w:pBdr>
        <w:top w:val="single" w:sz="4" w:space="1" w:color="auto"/>
        <w:between w:val="single" w:sz="4" w:space="0" w:color="auto"/>
      </w:pBdr>
      <w:spacing w:after="60"/>
      <w:jc w:val="center"/>
      <w:rPr>
        <w:rFonts w:ascii="FrankRuehl" w:hAnsi="FrankRuehl" w:cs="FrankRuehl"/>
        <w:color w:val="000000"/>
      </w:rPr>
    </w:pPr>
    <w:r w:rsidRPr="002173A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9415" w14:textId="77777777" w:rsidR="002173AE" w:rsidRDefault="002173AE" w:rsidP="002173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211F">
      <w:rPr>
        <w:rFonts w:ascii="FrankRuehl" w:hAnsi="FrankRuehl" w:cs="FrankRuehl"/>
        <w:noProof/>
        <w:rtl/>
      </w:rPr>
      <w:t>1</w:t>
    </w:r>
    <w:r>
      <w:rPr>
        <w:rFonts w:ascii="FrankRuehl" w:hAnsi="FrankRuehl" w:cs="FrankRuehl"/>
        <w:rtl/>
      </w:rPr>
      <w:fldChar w:fldCharType="end"/>
    </w:r>
  </w:p>
  <w:p w14:paraId="4B8CD90C" w14:textId="77777777" w:rsidR="00AF4EEE" w:rsidRPr="002173AE" w:rsidRDefault="002173AE" w:rsidP="002173AE">
    <w:pPr>
      <w:pStyle w:val="a5"/>
      <w:pBdr>
        <w:top w:val="single" w:sz="4" w:space="1" w:color="auto"/>
        <w:between w:val="single" w:sz="4" w:space="0" w:color="auto"/>
      </w:pBdr>
      <w:spacing w:after="60"/>
      <w:jc w:val="center"/>
      <w:rPr>
        <w:rFonts w:ascii="FrankRuehl" w:hAnsi="FrankRuehl" w:cs="FrankRuehl"/>
        <w:color w:val="000000"/>
      </w:rPr>
    </w:pPr>
    <w:r w:rsidRPr="002173AE">
      <w:rPr>
        <w:rFonts w:ascii="FrankRuehl" w:hAnsi="FrankRuehl" w:cs="FrankRuehl"/>
        <w:color w:val="000000"/>
      </w:rPr>
      <w:pict w14:anchorId="3A650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53E25" w14:textId="77777777" w:rsidR="00083E97" w:rsidRDefault="00083E97" w:rsidP="008D4532">
      <w:r>
        <w:separator/>
      </w:r>
    </w:p>
  </w:footnote>
  <w:footnote w:type="continuationSeparator" w:id="0">
    <w:p w14:paraId="757D786D" w14:textId="77777777" w:rsidR="00083E97" w:rsidRDefault="00083E97" w:rsidP="008D4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BF37" w14:textId="77777777" w:rsidR="00AF4EEE" w:rsidRPr="002173AE" w:rsidRDefault="002173AE" w:rsidP="002173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35683-04-18</w:t>
    </w:r>
    <w:r>
      <w:rPr>
        <w:rFonts w:ascii="David" w:hAnsi="David"/>
        <w:color w:val="000000"/>
        <w:sz w:val="22"/>
        <w:szCs w:val="22"/>
        <w:rtl/>
      </w:rPr>
      <w:tab/>
      <w:t xml:space="preserve"> מדינת ישראל נ' יזן עבד אל לטיף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D611" w14:textId="77777777" w:rsidR="00AF4EEE" w:rsidRPr="002173AE" w:rsidRDefault="002173AE" w:rsidP="002173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35683-04-18</w:t>
    </w:r>
    <w:r>
      <w:rPr>
        <w:rFonts w:ascii="David" w:hAnsi="David"/>
        <w:color w:val="000000"/>
        <w:sz w:val="22"/>
        <w:szCs w:val="22"/>
        <w:rtl/>
      </w:rPr>
      <w:tab/>
      <w:t xml:space="preserve"> מדינת ישראל נ' יזן עבד אל לטיף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39B1"/>
    <w:rsid w:val="00083E97"/>
    <w:rsid w:val="002173AE"/>
    <w:rsid w:val="00295840"/>
    <w:rsid w:val="00381020"/>
    <w:rsid w:val="003B45E9"/>
    <w:rsid w:val="003F17FF"/>
    <w:rsid w:val="008D4532"/>
    <w:rsid w:val="009C211F"/>
    <w:rsid w:val="00AF4EEE"/>
    <w:rsid w:val="00B61FD0"/>
    <w:rsid w:val="00BE39B1"/>
    <w:rsid w:val="00CA5E0D"/>
    <w:rsid w:val="00DD6DF3"/>
    <w:rsid w:val="00FB0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31ABA0B"/>
  <w15:chartTrackingRefBased/>
  <w15:docId w15:val="{A9D203AF-1118-4C4A-A072-E9F4AF1C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39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39B1"/>
    <w:pPr>
      <w:tabs>
        <w:tab w:val="center" w:pos="4153"/>
        <w:tab w:val="right" w:pos="8306"/>
      </w:tabs>
    </w:pPr>
  </w:style>
  <w:style w:type="character" w:customStyle="1" w:styleId="a4">
    <w:name w:val="כותרת עליונה תו"/>
    <w:link w:val="a3"/>
    <w:rsid w:val="00BE39B1"/>
    <w:rPr>
      <w:rFonts w:ascii="Times New Roman" w:eastAsia="Times New Roman" w:hAnsi="Times New Roman" w:cs="David"/>
      <w:sz w:val="24"/>
      <w:szCs w:val="24"/>
    </w:rPr>
  </w:style>
  <w:style w:type="paragraph" w:styleId="a5">
    <w:name w:val="footer"/>
    <w:basedOn w:val="a"/>
    <w:link w:val="a6"/>
    <w:rsid w:val="00BE39B1"/>
    <w:pPr>
      <w:tabs>
        <w:tab w:val="center" w:pos="4153"/>
        <w:tab w:val="right" w:pos="8306"/>
      </w:tabs>
    </w:pPr>
  </w:style>
  <w:style w:type="character" w:customStyle="1" w:styleId="a6">
    <w:name w:val="כותרת תחתונה תו"/>
    <w:link w:val="a5"/>
    <w:rsid w:val="00BE39B1"/>
    <w:rPr>
      <w:rFonts w:ascii="Times New Roman" w:eastAsia="Times New Roman" w:hAnsi="Times New Roman" w:cs="David"/>
      <w:sz w:val="24"/>
      <w:szCs w:val="24"/>
    </w:rPr>
  </w:style>
  <w:style w:type="table" w:styleId="a7">
    <w:name w:val="Table Grid"/>
    <w:basedOn w:val="a1"/>
    <w:rsid w:val="00BE39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rsid w:val="00BE39B1"/>
  </w:style>
  <w:style w:type="character" w:styleId="a9">
    <w:name w:val="page number"/>
    <w:rsid w:val="00AF4EEE"/>
  </w:style>
  <w:style w:type="character" w:styleId="Hyperlink">
    <w:name w:val="Hyperlink"/>
    <w:rsid w:val="00AF4EE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law/70301/144"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144.b2" TargetMode="External"/><Relationship Id="rId20" Type="http://schemas.openxmlformats.org/officeDocument/2006/relationships/hyperlink" Target="http://www.nevo.co.il/case/20181627"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44" TargetMode="External"/><Relationship Id="rId24" Type="http://schemas.openxmlformats.org/officeDocument/2006/relationships/hyperlink" Target="http://www.nevo.co.il/case/23850962" TargetMode="External"/><Relationship Id="rId32" Type="http://schemas.openxmlformats.org/officeDocument/2006/relationships/hyperlink" Target="http://www.nevo.co.il/case/2387716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244" TargetMode="External"/><Relationship Id="rId23" Type="http://schemas.openxmlformats.org/officeDocument/2006/relationships/hyperlink" Target="http://www.nevo.co.il/case/21474520" TargetMode="External"/><Relationship Id="rId28" Type="http://schemas.openxmlformats.org/officeDocument/2006/relationships/hyperlink" Target="http://www.nevo.co.il/law/70301/144" TargetMode="External"/><Relationship Id="rId36" Type="http://schemas.openxmlformats.org/officeDocument/2006/relationships/header" Target="header1.xml"/><Relationship Id="rId10" Type="http://schemas.openxmlformats.org/officeDocument/2006/relationships/hyperlink" Target="http://www.nevo.co.il/law/70301/144.b2" TargetMode="External"/><Relationship Id="rId19" Type="http://schemas.openxmlformats.org/officeDocument/2006/relationships/hyperlink" Target="http://www.nevo.co.il/law/70301/25"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375062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144"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31" TargetMode="Externa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2173628" TargetMode="External"/><Relationship Id="rId33" Type="http://schemas.openxmlformats.org/officeDocument/2006/relationships/hyperlink" Target="http://www.nevo.co.il/law/70301/14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3065</Words>
  <Characters>15325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18354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3866737</vt:i4>
      </vt:variant>
      <vt:variant>
        <vt:i4>78</vt:i4>
      </vt:variant>
      <vt:variant>
        <vt:i4>0</vt:i4>
      </vt:variant>
      <vt:variant>
        <vt:i4>5</vt:i4>
      </vt:variant>
      <vt:variant>
        <vt:lpwstr>http://www.nevo.co.il/case/23877165</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3276919</vt:i4>
      </vt:variant>
      <vt:variant>
        <vt:i4>57</vt:i4>
      </vt:variant>
      <vt:variant>
        <vt:i4>0</vt:i4>
      </vt:variant>
      <vt:variant>
        <vt:i4>5</vt:i4>
      </vt:variant>
      <vt:variant>
        <vt:lpwstr>http://www.nevo.co.il/case/22173628</vt:lpwstr>
      </vt:variant>
      <vt:variant>
        <vt:lpwstr/>
      </vt:variant>
      <vt:variant>
        <vt:i4>3932283</vt:i4>
      </vt:variant>
      <vt:variant>
        <vt:i4>54</vt:i4>
      </vt:variant>
      <vt:variant>
        <vt:i4>0</vt:i4>
      </vt:variant>
      <vt:variant>
        <vt:i4>5</vt:i4>
      </vt:variant>
      <vt:variant>
        <vt:lpwstr>http://www.nevo.co.il/case/23850962</vt:lpwstr>
      </vt:variant>
      <vt:variant>
        <vt:lpwstr/>
      </vt:variant>
      <vt:variant>
        <vt:i4>3145847</vt:i4>
      </vt:variant>
      <vt:variant>
        <vt:i4>51</vt:i4>
      </vt:variant>
      <vt:variant>
        <vt:i4>0</vt:i4>
      </vt:variant>
      <vt:variant>
        <vt:i4>5</vt:i4>
      </vt:variant>
      <vt:variant>
        <vt:lpwstr>http://www.nevo.co.il/case/21474520</vt:lpwstr>
      </vt:variant>
      <vt:variant>
        <vt:lpwstr/>
      </vt:variant>
      <vt:variant>
        <vt:i4>3604596</vt:i4>
      </vt:variant>
      <vt:variant>
        <vt:i4>48</vt:i4>
      </vt:variant>
      <vt:variant>
        <vt:i4>0</vt:i4>
      </vt:variant>
      <vt:variant>
        <vt:i4>5</vt:i4>
      </vt:variant>
      <vt:variant>
        <vt:lpwstr>http://www.nevo.co.il/case/23750625</vt:lpwstr>
      </vt:variant>
      <vt:variant>
        <vt:lpwstr/>
      </vt:variant>
      <vt:variant>
        <vt:i4>7995492</vt:i4>
      </vt:variant>
      <vt:variant>
        <vt:i4>45</vt:i4>
      </vt:variant>
      <vt:variant>
        <vt:i4>0</vt:i4>
      </vt:variant>
      <vt:variant>
        <vt:i4>5</vt:i4>
      </vt:variant>
      <vt:variant>
        <vt:lpwstr>http://www.nevo.co.il/law/70301</vt:lpwstr>
      </vt:variant>
      <vt:variant>
        <vt:lpwstr/>
      </vt:variant>
      <vt:variant>
        <vt:i4>3145850</vt:i4>
      </vt:variant>
      <vt:variant>
        <vt:i4>42</vt:i4>
      </vt:variant>
      <vt:variant>
        <vt:i4>0</vt:i4>
      </vt:variant>
      <vt:variant>
        <vt:i4>5</vt:i4>
      </vt:variant>
      <vt:variant>
        <vt:lpwstr>http://www.nevo.co.il/case/20181627</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2023-12-07T12:09:00Z</dcterms:created>
  <dcterms:modified xsi:type="dcterms:W3CDTF">2023-12-07T12:09:00Z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35683</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יזן עבד אל לטיף;גהאד אלסלואדי;דיא שחאדה;עדנאן ערמין;ראמי ערמין</vt:lpwstr>
  </property>
  <property fmtid="{D5CDD505-2E9C-101B-9397-08002B2CF9AE}" pid="10" name="LAWYER">
    <vt:lpwstr>גלבוע;עוואוודה;אזברג'ה;חלבי;דכוור</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20190103</vt:lpwstr>
  </property>
  <property fmtid="{D5CDD505-2E9C-101B-9397-08002B2CF9AE}" pid="14" name="TYPE_N_DATE">
    <vt:lpwstr>39020190103</vt:lpwstr>
  </property>
  <property fmtid="{D5CDD505-2E9C-101B-9397-08002B2CF9AE}" pid="15" name="CASESLISTTMP1">
    <vt:lpwstr>20181627;23750625;21474520;23850962;22173628;23877165</vt:lpwstr>
  </property>
  <property fmtid="{D5CDD505-2E9C-101B-9397-08002B2CF9AE}" pid="16" name="WORDNUMPAGES">
    <vt:lpwstr>14</vt:lpwstr>
  </property>
  <property fmtid="{D5CDD505-2E9C-101B-9397-08002B2CF9AE}" pid="17" name="TYPE_ABS_DATE">
    <vt:lpwstr>390020190103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70301/144.b2:4;244;031;025;144:4</vt:lpwstr>
  </property>
</Properties>
</file>