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6"/>
        <w:gridCol w:w="3665"/>
      </w:tblGrid>
      <w:tr w:rsidR="00F1737A" w:rsidRPr="00606E7C" w14:paraId="588DC179" w14:textId="77777777" w:rsidTr="00B744DB">
        <w:trPr>
          <w:trHeight w:hRule="exact" w:val="418"/>
          <w:jc w:val="center"/>
        </w:trPr>
        <w:tc>
          <w:tcPr>
            <w:tcW w:w="8721" w:type="dxa"/>
            <w:gridSpan w:val="2"/>
          </w:tcPr>
          <w:p w14:paraId="5D2E6962" w14:textId="77777777" w:rsidR="00F1737A" w:rsidRPr="00606E7C" w:rsidRDefault="00F1737A" w:rsidP="00867605">
            <w:pPr>
              <w:pStyle w:val="a3"/>
              <w:jc w:val="center"/>
              <w:rPr>
                <w:rFonts w:ascii="Tahoma" w:hAnsi="Tahoma" w:cs="Tahoma"/>
                <w:color w:val="000080"/>
                <w:rtl/>
              </w:rPr>
            </w:pPr>
            <w:r w:rsidRPr="00606E7C">
              <w:rPr>
                <w:rFonts w:ascii="Tahoma" w:hAnsi="Tahoma" w:cs="Tahoma"/>
                <w:b/>
                <w:bCs/>
                <w:color w:val="000080"/>
                <w:rtl/>
              </w:rPr>
              <w:t>בית המשפט המחוזי בחיפה</w:t>
            </w:r>
          </w:p>
        </w:tc>
      </w:tr>
      <w:tr w:rsidR="00F1737A" w:rsidRPr="00606E7C" w14:paraId="1F64DFAE" w14:textId="77777777" w:rsidTr="00B744DB">
        <w:trPr>
          <w:trHeight w:val="337"/>
          <w:jc w:val="center"/>
        </w:trPr>
        <w:tc>
          <w:tcPr>
            <w:tcW w:w="5056" w:type="dxa"/>
          </w:tcPr>
          <w:p w14:paraId="514415E0" w14:textId="77777777" w:rsidR="00F1737A" w:rsidRPr="00606E7C" w:rsidRDefault="00F1737A" w:rsidP="00867605">
            <w:pPr>
              <w:rPr>
                <w:rFonts w:cs="FrankRuehl"/>
                <w:sz w:val="28"/>
                <w:szCs w:val="28"/>
                <w:rtl/>
              </w:rPr>
            </w:pPr>
            <w:r w:rsidRPr="00606E7C">
              <w:rPr>
                <w:rFonts w:cs="FrankRuehl"/>
                <w:sz w:val="28"/>
                <w:szCs w:val="28"/>
                <w:rtl/>
              </w:rPr>
              <w:t>ת"פ</w:t>
            </w:r>
            <w:r w:rsidRPr="00606E7C">
              <w:rPr>
                <w:rFonts w:cs="FrankRuehl" w:hint="cs"/>
                <w:sz w:val="28"/>
                <w:szCs w:val="28"/>
                <w:rtl/>
              </w:rPr>
              <w:t xml:space="preserve"> </w:t>
            </w:r>
            <w:r w:rsidRPr="00606E7C">
              <w:rPr>
                <w:rFonts w:cs="FrankRuehl"/>
                <w:sz w:val="28"/>
                <w:szCs w:val="28"/>
                <w:rtl/>
              </w:rPr>
              <w:t>39800-09-18</w:t>
            </w:r>
            <w:r w:rsidRPr="00606E7C">
              <w:rPr>
                <w:rFonts w:cs="FrankRuehl" w:hint="cs"/>
                <w:sz w:val="28"/>
                <w:szCs w:val="28"/>
                <w:rtl/>
              </w:rPr>
              <w:t xml:space="preserve"> </w:t>
            </w:r>
            <w:r w:rsidRPr="00606E7C">
              <w:rPr>
                <w:rFonts w:cs="FrankRuehl"/>
                <w:sz w:val="28"/>
                <w:szCs w:val="28"/>
                <w:rtl/>
              </w:rPr>
              <w:t>מדינת ישראל נ' זיד(עציר)</w:t>
            </w:r>
          </w:p>
          <w:p w14:paraId="3C0800D3" w14:textId="77777777" w:rsidR="00F1737A" w:rsidRPr="00606E7C" w:rsidRDefault="00F1737A" w:rsidP="00867605">
            <w:pPr>
              <w:pStyle w:val="a3"/>
              <w:rPr>
                <w:rFonts w:cs="FrankRuehl"/>
                <w:sz w:val="28"/>
                <w:szCs w:val="28"/>
                <w:rtl/>
              </w:rPr>
            </w:pPr>
          </w:p>
        </w:tc>
        <w:tc>
          <w:tcPr>
            <w:tcW w:w="3665" w:type="dxa"/>
          </w:tcPr>
          <w:p w14:paraId="1A147F50" w14:textId="77777777" w:rsidR="00F1737A" w:rsidRPr="00606E7C" w:rsidRDefault="00F1737A" w:rsidP="00867605">
            <w:pPr>
              <w:pStyle w:val="a3"/>
              <w:jc w:val="right"/>
              <w:rPr>
                <w:rFonts w:cs="FrankRuehl"/>
                <w:sz w:val="28"/>
                <w:szCs w:val="28"/>
                <w:rtl/>
              </w:rPr>
            </w:pPr>
          </w:p>
        </w:tc>
      </w:tr>
    </w:tbl>
    <w:p w14:paraId="7BE5D1DA" w14:textId="77777777" w:rsidR="00F1737A" w:rsidRPr="00606E7C" w:rsidRDefault="00F1737A" w:rsidP="00F1737A">
      <w:pPr>
        <w:pStyle w:val="a3"/>
        <w:rPr>
          <w:rtl/>
        </w:rPr>
      </w:pPr>
      <w:r w:rsidRPr="00606E7C">
        <w:rPr>
          <w:rFonts w:hint="cs"/>
          <w:rtl/>
        </w:rPr>
        <w:t xml:space="preserve"> </w:t>
      </w:r>
    </w:p>
    <w:p w14:paraId="3AB08883" w14:textId="77777777" w:rsidR="00F1737A" w:rsidRPr="00606E7C" w:rsidRDefault="00F1737A" w:rsidP="00F1737A">
      <w:pPr>
        <w:rPr>
          <w:rFonts w:ascii="FrankRuehl" w:hAnsi="FrankRuehl" w:cs="FrankRuehl"/>
          <w:sz w:val="28"/>
          <w:szCs w:val="28"/>
          <w:rtl/>
        </w:rPr>
      </w:pPr>
    </w:p>
    <w:tbl>
      <w:tblPr>
        <w:bidiVisual/>
        <w:tblW w:w="0" w:type="dxa"/>
        <w:tblInd w:w="-28" w:type="dxa"/>
        <w:tblLayout w:type="fixed"/>
        <w:tblLook w:val="01E0" w:firstRow="1" w:lastRow="1" w:firstColumn="1" w:lastColumn="1" w:noHBand="0" w:noVBand="0"/>
      </w:tblPr>
      <w:tblGrid>
        <w:gridCol w:w="3240"/>
        <w:gridCol w:w="5562"/>
      </w:tblGrid>
      <w:tr w:rsidR="00F1737A" w:rsidRPr="00606E7C" w14:paraId="6DABB9F2" w14:textId="77777777" w:rsidTr="00F1737A">
        <w:trPr>
          <w:trHeight w:val="692"/>
        </w:trPr>
        <w:tc>
          <w:tcPr>
            <w:tcW w:w="8802" w:type="dxa"/>
            <w:gridSpan w:val="2"/>
            <w:shd w:val="clear" w:color="auto" w:fill="auto"/>
          </w:tcPr>
          <w:p w14:paraId="2171EE39" w14:textId="77777777" w:rsidR="00F1737A" w:rsidRPr="00606E7C" w:rsidRDefault="00F1737A" w:rsidP="00867605">
            <w:pPr>
              <w:rPr>
                <w:rFonts w:ascii="FrankRuehl" w:eastAsia="David" w:hAnsi="FrankRuehl" w:cs="FrankRuehl"/>
                <w:b/>
                <w:bCs/>
                <w:sz w:val="28"/>
                <w:szCs w:val="28"/>
              </w:rPr>
            </w:pPr>
            <w:r w:rsidRPr="00606E7C">
              <w:rPr>
                <w:rFonts w:ascii="FrankRuehl" w:eastAsia="David" w:hAnsi="FrankRuehl" w:cs="FrankRuehl"/>
                <w:b/>
                <w:bCs/>
                <w:sz w:val="28"/>
                <w:szCs w:val="28"/>
                <w:rtl/>
              </w:rPr>
              <w:t>בפני כב' השופט אברהם אליקים, סגן נשיא</w:t>
            </w:r>
          </w:p>
          <w:p w14:paraId="2ACCB203" w14:textId="77777777" w:rsidR="00F1737A" w:rsidRPr="00606E7C" w:rsidRDefault="00F1737A" w:rsidP="00867605">
            <w:pPr>
              <w:rPr>
                <w:rFonts w:ascii="FrankRuehl" w:hAnsi="FrankRuehl" w:cs="FrankRuehl"/>
                <w:b/>
                <w:bCs/>
                <w:sz w:val="28"/>
                <w:szCs w:val="28"/>
                <w:rtl/>
              </w:rPr>
            </w:pPr>
          </w:p>
          <w:p w14:paraId="09D5E480" w14:textId="77777777" w:rsidR="00F1737A" w:rsidRPr="00606E7C" w:rsidRDefault="00F1737A" w:rsidP="00F1737A">
            <w:pPr>
              <w:jc w:val="center"/>
              <w:rPr>
                <w:rFonts w:ascii="FrankRuehl" w:eastAsia="David" w:hAnsi="FrankRuehl" w:cs="FrankRuehl"/>
                <w:b/>
                <w:bCs/>
                <w:sz w:val="28"/>
                <w:szCs w:val="28"/>
                <w:rtl/>
              </w:rPr>
            </w:pPr>
          </w:p>
        </w:tc>
      </w:tr>
      <w:tr w:rsidR="00F1737A" w:rsidRPr="00606E7C" w14:paraId="0490942E" w14:textId="77777777" w:rsidTr="00F1737A">
        <w:tc>
          <w:tcPr>
            <w:tcW w:w="3240" w:type="dxa"/>
            <w:shd w:val="clear" w:color="auto" w:fill="auto"/>
          </w:tcPr>
          <w:p w14:paraId="700962A3" w14:textId="77777777" w:rsidR="00F1737A" w:rsidRPr="00606E7C" w:rsidRDefault="00F1737A" w:rsidP="00F1737A">
            <w:pPr>
              <w:ind w:left="26"/>
              <w:rPr>
                <w:rFonts w:ascii="FrankRuehl" w:hAnsi="FrankRuehl" w:cs="FrankRuehl"/>
                <w:b/>
                <w:bCs/>
                <w:sz w:val="28"/>
                <w:szCs w:val="28"/>
              </w:rPr>
            </w:pPr>
            <w:bookmarkStart w:id="0" w:name="FirstAppellant"/>
            <w:bookmarkStart w:id="1" w:name="LastJudge"/>
            <w:bookmarkEnd w:id="1"/>
            <w:r w:rsidRPr="00606E7C">
              <w:rPr>
                <w:rFonts w:ascii="FrankRuehl" w:hAnsi="FrankRuehl" w:cs="FrankRuehl"/>
                <w:b/>
                <w:bCs/>
                <w:sz w:val="28"/>
                <w:szCs w:val="28"/>
                <w:rtl/>
              </w:rPr>
              <w:t>המאשימה</w:t>
            </w:r>
          </w:p>
        </w:tc>
        <w:tc>
          <w:tcPr>
            <w:tcW w:w="5562" w:type="dxa"/>
            <w:shd w:val="clear" w:color="auto" w:fill="auto"/>
          </w:tcPr>
          <w:p w14:paraId="3319EC72" w14:textId="77777777" w:rsidR="00F1737A" w:rsidRPr="00606E7C" w:rsidRDefault="00F1737A" w:rsidP="00867605">
            <w:pPr>
              <w:rPr>
                <w:rFonts w:ascii="FrankRuehl" w:hAnsi="FrankRuehl" w:cs="FrankRuehl"/>
                <w:b/>
                <w:bCs/>
                <w:sz w:val="28"/>
                <w:szCs w:val="28"/>
                <w:rtl/>
              </w:rPr>
            </w:pPr>
            <w:r w:rsidRPr="00606E7C">
              <w:rPr>
                <w:rFonts w:ascii="FrankRuehl" w:hAnsi="FrankRuehl" w:cs="FrankRuehl"/>
                <w:b/>
                <w:bCs/>
                <w:sz w:val="28"/>
                <w:szCs w:val="28"/>
                <w:rtl/>
              </w:rPr>
              <w:t xml:space="preserve"> מדינת ישראל</w:t>
            </w:r>
          </w:p>
        </w:tc>
      </w:tr>
      <w:bookmarkEnd w:id="0"/>
      <w:tr w:rsidR="00F1737A" w:rsidRPr="00606E7C" w14:paraId="3674281D" w14:textId="77777777" w:rsidTr="00F1737A">
        <w:tc>
          <w:tcPr>
            <w:tcW w:w="8802" w:type="dxa"/>
            <w:gridSpan w:val="2"/>
            <w:shd w:val="clear" w:color="auto" w:fill="auto"/>
          </w:tcPr>
          <w:p w14:paraId="3991561E" w14:textId="77777777" w:rsidR="00F1737A" w:rsidRPr="00606E7C" w:rsidRDefault="00F1737A" w:rsidP="00F1737A">
            <w:pPr>
              <w:jc w:val="both"/>
              <w:rPr>
                <w:rFonts w:ascii="FrankRuehl" w:hAnsi="FrankRuehl" w:cs="FrankRuehl"/>
                <w:b/>
                <w:bCs/>
                <w:sz w:val="28"/>
                <w:szCs w:val="28"/>
                <w:rtl/>
              </w:rPr>
            </w:pPr>
          </w:p>
          <w:p w14:paraId="17A19996" w14:textId="77777777" w:rsidR="00F1737A" w:rsidRPr="00606E7C" w:rsidRDefault="00F1737A" w:rsidP="00F1737A">
            <w:pPr>
              <w:jc w:val="center"/>
              <w:rPr>
                <w:rFonts w:ascii="FrankRuehl" w:hAnsi="FrankRuehl" w:cs="FrankRuehl"/>
                <w:b/>
                <w:bCs/>
                <w:sz w:val="28"/>
                <w:szCs w:val="28"/>
                <w:rtl/>
              </w:rPr>
            </w:pPr>
            <w:r w:rsidRPr="00606E7C">
              <w:rPr>
                <w:rFonts w:ascii="FrankRuehl" w:hAnsi="FrankRuehl" w:cs="FrankRuehl"/>
                <w:b/>
                <w:bCs/>
                <w:sz w:val="28"/>
                <w:szCs w:val="28"/>
                <w:rtl/>
              </w:rPr>
              <w:t>נגד</w:t>
            </w:r>
          </w:p>
          <w:p w14:paraId="2D8DDD6B" w14:textId="77777777" w:rsidR="00F1737A" w:rsidRPr="00606E7C" w:rsidRDefault="00F1737A" w:rsidP="00F1737A">
            <w:pPr>
              <w:jc w:val="center"/>
              <w:rPr>
                <w:rFonts w:ascii="FrankRuehl" w:hAnsi="FrankRuehl" w:cs="FrankRuehl"/>
                <w:b/>
                <w:bCs/>
                <w:sz w:val="28"/>
                <w:szCs w:val="28"/>
                <w:rtl/>
              </w:rPr>
            </w:pPr>
          </w:p>
        </w:tc>
      </w:tr>
      <w:tr w:rsidR="00F1737A" w:rsidRPr="00606E7C" w14:paraId="194B3C6D" w14:textId="77777777" w:rsidTr="00F1737A">
        <w:tc>
          <w:tcPr>
            <w:tcW w:w="3240" w:type="dxa"/>
            <w:shd w:val="clear" w:color="auto" w:fill="auto"/>
          </w:tcPr>
          <w:p w14:paraId="2133BD00" w14:textId="77777777" w:rsidR="00F1737A" w:rsidRPr="00606E7C" w:rsidRDefault="00F1737A" w:rsidP="00F1737A">
            <w:pPr>
              <w:ind w:left="26"/>
              <w:rPr>
                <w:rFonts w:ascii="FrankRuehl" w:hAnsi="FrankRuehl" w:cs="FrankRuehl"/>
                <w:b/>
                <w:bCs/>
                <w:sz w:val="28"/>
                <w:szCs w:val="28"/>
              </w:rPr>
            </w:pPr>
            <w:r w:rsidRPr="00606E7C">
              <w:rPr>
                <w:rFonts w:ascii="FrankRuehl" w:hAnsi="FrankRuehl" w:cs="FrankRuehl"/>
                <w:b/>
                <w:bCs/>
                <w:sz w:val="28"/>
                <w:szCs w:val="28"/>
                <w:rtl/>
              </w:rPr>
              <w:t>הנאשם</w:t>
            </w:r>
          </w:p>
        </w:tc>
        <w:tc>
          <w:tcPr>
            <w:tcW w:w="5562" w:type="dxa"/>
            <w:shd w:val="clear" w:color="auto" w:fill="auto"/>
          </w:tcPr>
          <w:p w14:paraId="58E66205" w14:textId="77777777" w:rsidR="00F1737A" w:rsidRPr="00606E7C" w:rsidRDefault="00F1737A" w:rsidP="00867605">
            <w:pPr>
              <w:rPr>
                <w:rFonts w:ascii="FrankRuehl" w:hAnsi="FrankRuehl" w:cs="FrankRuehl"/>
                <w:b/>
                <w:bCs/>
                <w:sz w:val="28"/>
                <w:szCs w:val="28"/>
                <w:rtl/>
              </w:rPr>
            </w:pPr>
            <w:r w:rsidRPr="00606E7C">
              <w:rPr>
                <w:rFonts w:ascii="FrankRuehl" w:hAnsi="FrankRuehl" w:cs="FrankRuehl"/>
                <w:b/>
                <w:bCs/>
                <w:sz w:val="28"/>
                <w:szCs w:val="28"/>
                <w:rtl/>
              </w:rPr>
              <w:t xml:space="preserve"> ג'ליל זיד (עציר) ת"ז </w:t>
            </w:r>
            <w:r w:rsidR="00606E7C">
              <w:rPr>
                <w:rFonts w:ascii="FrankRuehl" w:hAnsi="FrankRuehl" w:cs="FrankRuehl"/>
                <w:b/>
                <w:bCs/>
                <w:sz w:val="28"/>
                <w:szCs w:val="28"/>
              </w:rPr>
              <w:t>xxxxxxxxx</w:t>
            </w:r>
          </w:p>
        </w:tc>
      </w:tr>
    </w:tbl>
    <w:p w14:paraId="7659D692" w14:textId="77777777" w:rsidR="00B744DB" w:rsidRDefault="00B744DB" w:rsidP="00F1737A">
      <w:pPr>
        <w:rPr>
          <w:rFonts w:ascii="FrankRuehl" w:hAnsi="FrankRuehl" w:cs="FrankRuehl"/>
          <w:sz w:val="28"/>
          <w:szCs w:val="28"/>
          <w:rtl/>
        </w:rPr>
      </w:pPr>
      <w:bookmarkStart w:id="2" w:name="LawTable"/>
      <w:bookmarkEnd w:id="2"/>
    </w:p>
    <w:p w14:paraId="6F8988FC" w14:textId="77777777" w:rsidR="00B744DB" w:rsidRPr="00B744DB" w:rsidRDefault="00B744DB" w:rsidP="00B744DB">
      <w:pPr>
        <w:spacing w:after="120" w:line="240" w:lineRule="exact"/>
        <w:ind w:left="283" w:hanging="283"/>
        <w:jc w:val="both"/>
        <w:rPr>
          <w:rFonts w:ascii="FrankRuehl" w:hAnsi="FrankRuehl" w:cs="FrankRuehl"/>
          <w:rtl/>
        </w:rPr>
      </w:pPr>
    </w:p>
    <w:p w14:paraId="0A5925C2" w14:textId="77777777" w:rsidR="00B744DB" w:rsidRPr="00B744DB" w:rsidRDefault="00B744DB" w:rsidP="00B744DB">
      <w:pPr>
        <w:spacing w:after="120" w:line="240" w:lineRule="exact"/>
        <w:ind w:left="283" w:hanging="283"/>
        <w:jc w:val="both"/>
        <w:rPr>
          <w:rFonts w:ascii="FrankRuehl" w:hAnsi="FrankRuehl" w:cs="FrankRuehl"/>
          <w:rtl/>
        </w:rPr>
      </w:pPr>
      <w:r w:rsidRPr="00B744DB">
        <w:rPr>
          <w:rFonts w:ascii="FrankRuehl" w:hAnsi="FrankRuehl" w:cs="FrankRuehl"/>
          <w:rtl/>
        </w:rPr>
        <w:t xml:space="preserve">חקיקה שאוזכרה: </w:t>
      </w:r>
    </w:p>
    <w:p w14:paraId="190A40D8" w14:textId="77777777" w:rsidR="00B744DB" w:rsidRPr="00B744DB" w:rsidRDefault="00B744DB" w:rsidP="00B744DB">
      <w:pPr>
        <w:spacing w:after="120" w:line="240" w:lineRule="exact"/>
        <w:ind w:left="283" w:hanging="283"/>
        <w:jc w:val="both"/>
        <w:rPr>
          <w:rFonts w:ascii="FrankRuehl" w:hAnsi="FrankRuehl" w:cs="FrankRuehl"/>
          <w:rtl/>
        </w:rPr>
      </w:pPr>
      <w:hyperlink r:id="rId7" w:history="1">
        <w:r w:rsidRPr="00B744DB">
          <w:rPr>
            <w:rFonts w:ascii="FrankRuehl" w:hAnsi="FrankRuehl" w:cs="FrankRuehl"/>
            <w:color w:val="0000FF"/>
            <w:u w:val="single"/>
            <w:rtl/>
          </w:rPr>
          <w:t>חוק העונשין, תשל"ז-1977</w:t>
        </w:r>
      </w:hyperlink>
      <w:r w:rsidRPr="00B744DB">
        <w:rPr>
          <w:rFonts w:ascii="FrankRuehl" w:hAnsi="FrankRuehl" w:cs="FrankRuehl"/>
          <w:rtl/>
        </w:rPr>
        <w:t xml:space="preserve">: סע'  </w:t>
      </w:r>
      <w:hyperlink r:id="rId8" w:history="1">
        <w:r w:rsidRPr="00B744DB">
          <w:rPr>
            <w:rFonts w:ascii="FrankRuehl" w:hAnsi="FrankRuehl" w:cs="FrankRuehl"/>
            <w:color w:val="0000FF"/>
            <w:u w:val="single"/>
            <w:rtl/>
          </w:rPr>
          <w:t>40ב'</w:t>
        </w:r>
      </w:hyperlink>
      <w:r w:rsidRPr="00B744DB">
        <w:rPr>
          <w:rFonts w:ascii="FrankRuehl" w:hAnsi="FrankRuehl" w:cs="FrankRuehl"/>
          <w:rtl/>
        </w:rPr>
        <w:t xml:space="preserve">, </w:t>
      </w:r>
      <w:hyperlink r:id="rId9" w:history="1">
        <w:r w:rsidRPr="00B744DB">
          <w:rPr>
            <w:rFonts w:ascii="FrankRuehl" w:hAnsi="FrankRuehl" w:cs="FrankRuehl"/>
            <w:color w:val="0000FF"/>
            <w:u w:val="single"/>
            <w:rtl/>
          </w:rPr>
          <w:t>40ט</w:t>
        </w:r>
      </w:hyperlink>
      <w:r w:rsidRPr="00B744DB">
        <w:rPr>
          <w:rFonts w:ascii="FrankRuehl" w:hAnsi="FrankRuehl" w:cs="FrankRuehl"/>
          <w:rtl/>
        </w:rPr>
        <w:t xml:space="preserve">, </w:t>
      </w:r>
      <w:hyperlink r:id="rId10" w:history="1">
        <w:r w:rsidRPr="00B744DB">
          <w:rPr>
            <w:rFonts w:ascii="FrankRuehl" w:hAnsi="FrankRuehl" w:cs="FrankRuehl"/>
            <w:color w:val="0000FF"/>
            <w:u w:val="single"/>
            <w:rtl/>
          </w:rPr>
          <w:t>144(א)</w:t>
        </w:r>
      </w:hyperlink>
      <w:r w:rsidRPr="00B744DB">
        <w:rPr>
          <w:rFonts w:ascii="FrankRuehl" w:hAnsi="FrankRuehl" w:cs="FrankRuehl"/>
          <w:rtl/>
        </w:rPr>
        <w:t xml:space="preserve">, </w:t>
      </w:r>
      <w:hyperlink r:id="rId11" w:history="1">
        <w:r w:rsidRPr="00B744DB">
          <w:rPr>
            <w:rFonts w:ascii="FrankRuehl" w:hAnsi="FrankRuehl" w:cs="FrankRuehl"/>
            <w:color w:val="0000FF"/>
            <w:u w:val="single"/>
            <w:rtl/>
          </w:rPr>
          <w:t>144(ב)</w:t>
        </w:r>
      </w:hyperlink>
      <w:r w:rsidRPr="00B744DB">
        <w:rPr>
          <w:rFonts w:ascii="FrankRuehl" w:hAnsi="FrankRuehl" w:cs="FrankRuehl"/>
          <w:rtl/>
        </w:rPr>
        <w:t xml:space="preserve">, </w:t>
      </w:r>
      <w:hyperlink r:id="rId12" w:history="1">
        <w:r w:rsidRPr="00B744DB">
          <w:rPr>
            <w:rFonts w:ascii="FrankRuehl" w:hAnsi="FrankRuehl" w:cs="FrankRuehl"/>
            <w:color w:val="0000FF"/>
            <w:u w:val="single"/>
            <w:rtl/>
          </w:rPr>
          <w:t>40יא'</w:t>
        </w:r>
      </w:hyperlink>
    </w:p>
    <w:p w14:paraId="39666F3E" w14:textId="77777777" w:rsidR="00B744DB" w:rsidRPr="00B744DB" w:rsidRDefault="00B744DB" w:rsidP="00B744DB">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1737A" w:rsidRPr="008B389B" w14:paraId="5136649C" w14:textId="77777777" w:rsidTr="00F1737A">
        <w:trPr>
          <w:trHeight w:val="355"/>
          <w:jc w:val="center"/>
        </w:trPr>
        <w:tc>
          <w:tcPr>
            <w:tcW w:w="8820" w:type="dxa"/>
            <w:tcBorders>
              <w:top w:val="nil"/>
              <w:left w:val="nil"/>
              <w:bottom w:val="nil"/>
              <w:right w:val="nil"/>
            </w:tcBorders>
            <w:shd w:val="clear" w:color="auto" w:fill="auto"/>
          </w:tcPr>
          <w:p w14:paraId="29C67005" w14:textId="77777777" w:rsidR="00606E7C" w:rsidRPr="00606E7C" w:rsidRDefault="00606E7C" w:rsidP="00606E7C">
            <w:pPr>
              <w:jc w:val="center"/>
              <w:rPr>
                <w:rFonts w:ascii="FrankRuehl" w:hAnsi="FrankRuehl" w:cs="FrankRuehl"/>
                <w:b/>
                <w:bCs/>
                <w:sz w:val="28"/>
                <w:szCs w:val="28"/>
                <w:u w:val="single"/>
                <w:rtl/>
              </w:rPr>
            </w:pPr>
            <w:bookmarkStart w:id="3" w:name="LawTable_End"/>
            <w:bookmarkStart w:id="4" w:name="PsakDin" w:colFirst="0" w:colLast="0"/>
            <w:bookmarkEnd w:id="3"/>
            <w:r w:rsidRPr="00606E7C">
              <w:rPr>
                <w:rFonts w:ascii="FrankRuehl" w:hAnsi="FrankRuehl" w:cs="FrankRuehl"/>
                <w:b/>
                <w:bCs/>
                <w:sz w:val="28"/>
                <w:szCs w:val="28"/>
                <w:u w:val="single"/>
                <w:rtl/>
              </w:rPr>
              <w:t>גזר דין</w:t>
            </w:r>
          </w:p>
          <w:p w14:paraId="3CC44922" w14:textId="77777777" w:rsidR="00F1737A" w:rsidRPr="00606E7C" w:rsidRDefault="00F1737A" w:rsidP="00606E7C">
            <w:pPr>
              <w:jc w:val="center"/>
              <w:rPr>
                <w:rFonts w:ascii="FrankRuehl" w:hAnsi="FrankRuehl" w:cs="FrankRuehl"/>
                <w:bCs/>
                <w:sz w:val="28"/>
                <w:szCs w:val="28"/>
                <w:u w:val="single"/>
                <w:rtl/>
              </w:rPr>
            </w:pPr>
          </w:p>
        </w:tc>
      </w:tr>
      <w:bookmarkEnd w:id="4"/>
    </w:tbl>
    <w:p w14:paraId="2EBE848C" w14:textId="77777777" w:rsidR="00F1737A" w:rsidRPr="008B389B" w:rsidRDefault="00F1737A" w:rsidP="00F1737A">
      <w:pPr>
        <w:rPr>
          <w:rFonts w:ascii="FrankRuehl" w:hAnsi="FrankRuehl" w:cs="FrankRuehl"/>
          <w:sz w:val="28"/>
          <w:szCs w:val="28"/>
          <w:rtl/>
        </w:rPr>
      </w:pPr>
    </w:p>
    <w:p w14:paraId="5DEFBA76" w14:textId="77777777" w:rsidR="00F1737A" w:rsidRPr="00840E2D" w:rsidRDefault="00F1737A" w:rsidP="00F1737A">
      <w:pPr>
        <w:spacing w:line="360" w:lineRule="auto"/>
        <w:ind w:left="360" w:firstLine="360"/>
        <w:jc w:val="both"/>
        <w:rPr>
          <w:rFonts w:ascii="Miriam" w:hAnsi="Miriam" w:cs="Miriam"/>
        </w:rPr>
      </w:pPr>
      <w:r w:rsidRPr="00840E2D">
        <w:rPr>
          <w:rFonts w:ascii="Miriam" w:hAnsi="Miriam" w:cs="Miriam"/>
          <w:rtl/>
        </w:rPr>
        <w:t>מבוא</w:t>
      </w:r>
    </w:p>
    <w:p w14:paraId="50D12545" w14:textId="77777777" w:rsidR="00F1737A" w:rsidRPr="008B389B" w:rsidRDefault="00F1737A" w:rsidP="00F1737A">
      <w:pPr>
        <w:numPr>
          <w:ilvl w:val="0"/>
          <w:numId w:val="1"/>
        </w:numPr>
        <w:spacing w:line="360" w:lineRule="auto"/>
        <w:jc w:val="both"/>
        <w:rPr>
          <w:rFonts w:ascii="FrankRuehl" w:hAnsi="FrankRuehl" w:cs="FrankRuehl"/>
          <w:sz w:val="28"/>
          <w:szCs w:val="28"/>
        </w:rPr>
      </w:pPr>
      <w:bookmarkStart w:id="5" w:name="ABSTRACT_START"/>
      <w:bookmarkEnd w:id="5"/>
      <w:r w:rsidRPr="008B389B">
        <w:rPr>
          <w:rFonts w:ascii="FrankRuehl" w:hAnsi="FrankRuehl" w:cs="FrankRuehl"/>
          <w:sz w:val="28"/>
          <w:szCs w:val="28"/>
          <w:rtl/>
        </w:rPr>
        <w:t xml:space="preserve">הנאשם הורשע לאחר הודאתו בעובדות כתב אישום שתוקן במסגרת הסדר טיעון שלא כלל הסכמה לעונש בעבירת החזקת נשק ואבזר לפי </w:t>
      </w:r>
      <w:hyperlink r:id="rId13" w:history="1">
        <w:r w:rsidR="00B744DB" w:rsidRPr="00B744DB">
          <w:rPr>
            <w:rFonts w:ascii="FrankRuehl" w:hAnsi="FrankRuehl" w:cs="FrankRuehl"/>
            <w:color w:val="0000FF"/>
            <w:sz w:val="28"/>
            <w:szCs w:val="28"/>
            <w:u w:val="single"/>
            <w:rtl/>
          </w:rPr>
          <w:t>סעיף 144(א)</w:t>
        </w:r>
      </w:hyperlink>
      <w:r w:rsidRPr="008B389B">
        <w:rPr>
          <w:rFonts w:ascii="FrankRuehl" w:hAnsi="FrankRuehl" w:cs="FrankRuehl"/>
          <w:sz w:val="28"/>
          <w:szCs w:val="28"/>
          <w:rtl/>
        </w:rPr>
        <w:t xml:space="preserve"> רישא + סיפא </w:t>
      </w:r>
      <w:r w:rsidRPr="00840E2D">
        <w:rPr>
          <w:rFonts w:ascii="Miriam" w:hAnsi="Miriam" w:cs="Miriam"/>
          <w:rtl/>
        </w:rPr>
        <w:t>ל</w:t>
      </w:r>
      <w:hyperlink r:id="rId14" w:history="1">
        <w:r w:rsidR="00606E7C" w:rsidRPr="00606E7C">
          <w:rPr>
            <w:rFonts w:ascii="Miriam" w:hAnsi="Miriam" w:cs="Miriam"/>
            <w:color w:val="0000FF"/>
            <w:u w:val="single"/>
            <w:rtl/>
          </w:rPr>
          <w:t>חוק העונשין</w:t>
        </w:r>
      </w:hyperlink>
      <w:r w:rsidRPr="00840E2D">
        <w:rPr>
          <w:rFonts w:ascii="Miriam" w:hAnsi="Miriam" w:cs="Miriam"/>
          <w:rtl/>
        </w:rPr>
        <w:t>, התשל"ז-1977</w:t>
      </w:r>
      <w:r w:rsidRPr="008B389B">
        <w:rPr>
          <w:rFonts w:ascii="FrankRuehl" w:hAnsi="FrankRuehl" w:cs="FrankRuehl"/>
          <w:sz w:val="28"/>
          <w:szCs w:val="28"/>
          <w:rtl/>
        </w:rPr>
        <w:t xml:space="preserve"> (להלן- החוק) ובעבירה של נשיאה והובלת נשק ואבזר לפי </w:t>
      </w:r>
      <w:hyperlink r:id="rId15" w:history="1">
        <w:r w:rsidR="00B744DB" w:rsidRPr="00B744DB">
          <w:rPr>
            <w:rFonts w:ascii="FrankRuehl" w:hAnsi="FrankRuehl" w:cs="FrankRuehl"/>
            <w:color w:val="0000FF"/>
            <w:sz w:val="28"/>
            <w:szCs w:val="28"/>
            <w:u w:val="single"/>
            <w:rtl/>
          </w:rPr>
          <w:t>סעיף 144(ב)</w:t>
        </w:r>
      </w:hyperlink>
      <w:r w:rsidRPr="008B389B">
        <w:rPr>
          <w:rFonts w:ascii="FrankRuehl" w:hAnsi="FrankRuehl" w:cs="FrankRuehl"/>
          <w:sz w:val="28"/>
          <w:szCs w:val="28"/>
          <w:rtl/>
        </w:rPr>
        <w:t xml:space="preserve"> רישא וסיפא לחוק.</w:t>
      </w:r>
    </w:p>
    <w:p w14:paraId="028FB132" w14:textId="77777777" w:rsidR="00F1737A" w:rsidRPr="008B389B" w:rsidRDefault="00F1737A" w:rsidP="00F1737A">
      <w:pPr>
        <w:spacing w:line="360" w:lineRule="auto"/>
        <w:ind w:left="720"/>
        <w:jc w:val="both"/>
        <w:rPr>
          <w:rFonts w:ascii="FrankRuehl" w:hAnsi="FrankRuehl" w:cs="FrankRuehl"/>
          <w:sz w:val="28"/>
          <w:szCs w:val="28"/>
          <w:rtl/>
        </w:rPr>
      </w:pPr>
    </w:p>
    <w:p w14:paraId="5D8D7892" w14:textId="77777777" w:rsidR="00F1737A" w:rsidRPr="008B389B" w:rsidRDefault="00F1737A" w:rsidP="00F1737A">
      <w:pPr>
        <w:spacing w:line="360" w:lineRule="auto"/>
        <w:ind w:left="720"/>
        <w:jc w:val="both"/>
        <w:rPr>
          <w:rFonts w:ascii="FrankRuehl" w:hAnsi="FrankRuehl" w:cs="FrankRuehl"/>
          <w:sz w:val="28"/>
          <w:szCs w:val="28"/>
          <w:rtl/>
        </w:rPr>
      </w:pPr>
      <w:r w:rsidRPr="008B389B">
        <w:rPr>
          <w:rFonts w:ascii="FrankRuehl" w:hAnsi="FrankRuehl" w:cs="FrankRuehl"/>
          <w:sz w:val="28"/>
          <w:szCs w:val="28"/>
          <w:rtl/>
        </w:rPr>
        <w:t>על פי כתב האישום המתוקן (סומן א'), סמוך ליום 16.9.2018 הנאשם נשא והוביל ממטע הזיתים הסמוך לביתו אקדח מסוג ברטה (להלן- האקדח) אשר סוגל לירות כדור ובכוחו להמית אדם וכן מחסנית טעונה בשישה כדורי 0.22 מ"מ אשר הנם אבזר ותחמושת של כלי נשק שבכוחו להמית אדם.</w:t>
      </w:r>
    </w:p>
    <w:p w14:paraId="175755BB" w14:textId="77777777" w:rsidR="00F1737A" w:rsidRPr="008B389B" w:rsidRDefault="00F1737A" w:rsidP="00F1737A">
      <w:pPr>
        <w:spacing w:line="360" w:lineRule="auto"/>
        <w:ind w:left="720"/>
        <w:jc w:val="both"/>
        <w:rPr>
          <w:rFonts w:ascii="FrankRuehl" w:hAnsi="FrankRuehl" w:cs="FrankRuehl"/>
          <w:sz w:val="28"/>
          <w:szCs w:val="28"/>
        </w:rPr>
      </w:pPr>
    </w:p>
    <w:p w14:paraId="0C80A581" w14:textId="77777777" w:rsidR="00F1737A" w:rsidRPr="008B389B" w:rsidRDefault="00F1737A" w:rsidP="00F1737A">
      <w:pPr>
        <w:spacing w:line="360" w:lineRule="auto"/>
        <w:ind w:left="720"/>
        <w:jc w:val="both"/>
        <w:rPr>
          <w:rFonts w:ascii="FrankRuehl" w:hAnsi="FrankRuehl" w:cs="FrankRuehl"/>
          <w:sz w:val="28"/>
          <w:szCs w:val="28"/>
        </w:rPr>
      </w:pPr>
      <w:r w:rsidRPr="008B389B">
        <w:rPr>
          <w:rFonts w:ascii="FrankRuehl" w:hAnsi="FrankRuehl" w:cs="FrankRuehl"/>
          <w:sz w:val="28"/>
          <w:szCs w:val="28"/>
          <w:rtl/>
        </w:rPr>
        <w:t>ביום 16.9.2018 בשעה 9:00 או בסמוך לכך, הנאשם החזיק את האקדח בתוך נעל בחדר השינה של הוריו ואת המחסנית עם הכדורים בתוך נרתיק משקפיים בחדר האמור.</w:t>
      </w:r>
    </w:p>
    <w:p w14:paraId="3E59ECAD" w14:textId="77777777" w:rsidR="00F1737A" w:rsidRPr="008B389B" w:rsidRDefault="00F1737A" w:rsidP="00F1737A">
      <w:pPr>
        <w:spacing w:line="360" w:lineRule="auto"/>
        <w:ind w:left="720"/>
        <w:jc w:val="both"/>
        <w:rPr>
          <w:rFonts w:ascii="FrankRuehl" w:hAnsi="FrankRuehl" w:cs="FrankRuehl"/>
          <w:sz w:val="28"/>
          <w:szCs w:val="28"/>
          <w:rtl/>
        </w:rPr>
      </w:pPr>
      <w:r w:rsidRPr="008B389B">
        <w:rPr>
          <w:rFonts w:ascii="FrankRuehl" w:hAnsi="FrankRuehl" w:cs="FrankRuehl"/>
          <w:sz w:val="28"/>
          <w:szCs w:val="28"/>
          <w:rtl/>
        </w:rPr>
        <w:lastRenderedPageBreak/>
        <w:t xml:space="preserve">כחלק מהסדר הטיעון בין הצדדים הוסכם כי ב"כ הנאשם יוכל לצרף תצלום אוויר כדי לתאר </w:t>
      </w:r>
      <w:r>
        <w:rPr>
          <w:rFonts w:ascii="FrankRuehl" w:hAnsi="FrankRuehl" w:cs="FrankRuehl" w:hint="cs"/>
          <w:sz w:val="28"/>
          <w:szCs w:val="28"/>
          <w:rtl/>
        </w:rPr>
        <w:t xml:space="preserve">את </w:t>
      </w:r>
      <w:r w:rsidRPr="008B389B">
        <w:rPr>
          <w:rFonts w:ascii="FrankRuehl" w:hAnsi="FrankRuehl" w:cs="FrankRuehl"/>
          <w:sz w:val="28"/>
          <w:szCs w:val="28"/>
          <w:rtl/>
        </w:rPr>
        <w:t xml:space="preserve">מיקום ביתו. במהלך הטיעונים לעונש הוסכם כי המרחק בין המטע לבין בית הנאשם הוא 130 מ'. </w:t>
      </w:r>
    </w:p>
    <w:p w14:paraId="1AD98623" w14:textId="77777777" w:rsidR="00F1737A" w:rsidRPr="008B389B" w:rsidRDefault="00F1737A" w:rsidP="00F1737A">
      <w:pPr>
        <w:spacing w:line="360" w:lineRule="auto"/>
        <w:ind w:left="720"/>
        <w:jc w:val="both"/>
        <w:rPr>
          <w:rFonts w:ascii="FrankRuehl" w:hAnsi="FrankRuehl" w:cs="FrankRuehl"/>
          <w:sz w:val="28"/>
          <w:szCs w:val="28"/>
          <w:rtl/>
        </w:rPr>
      </w:pPr>
      <w:bookmarkStart w:id="6" w:name="ABSTRACT_END"/>
      <w:bookmarkEnd w:id="6"/>
    </w:p>
    <w:p w14:paraId="25FBA5AA" w14:textId="77777777" w:rsidR="00F1737A" w:rsidRPr="008B389B" w:rsidRDefault="00F1737A" w:rsidP="00F1737A">
      <w:pPr>
        <w:pStyle w:val="ListParagraph"/>
        <w:numPr>
          <w:ilvl w:val="0"/>
          <w:numId w:val="1"/>
        </w:numPr>
        <w:spacing w:line="360" w:lineRule="auto"/>
        <w:jc w:val="both"/>
        <w:rPr>
          <w:rFonts w:ascii="FrankRuehl" w:hAnsi="FrankRuehl"/>
          <w:sz w:val="28"/>
          <w:rtl/>
        </w:rPr>
      </w:pPr>
      <w:r w:rsidRPr="008B389B">
        <w:rPr>
          <w:rFonts w:ascii="FrankRuehl" w:hAnsi="FrankRuehl"/>
          <w:sz w:val="28"/>
          <w:rtl/>
        </w:rPr>
        <w:t xml:space="preserve">בישיבת הטיעונים לעונש הראשונה, לאחר שמיעת עדי אופי וטיעוני הצדדים,  ביקש </w:t>
      </w:r>
      <w:r>
        <w:rPr>
          <w:rFonts w:ascii="FrankRuehl" w:hAnsi="FrankRuehl" w:hint="cs"/>
          <w:sz w:val="28"/>
          <w:rtl/>
        </w:rPr>
        <w:t xml:space="preserve">        </w:t>
      </w:r>
      <w:r w:rsidRPr="008B389B">
        <w:rPr>
          <w:rFonts w:ascii="FrankRuehl" w:hAnsi="FrankRuehl"/>
          <w:sz w:val="28"/>
          <w:rtl/>
        </w:rPr>
        <w:t xml:space="preserve">ב"כ הנאשם להפנות את הנאשם לקבלת תסקיר משלים, </w:t>
      </w:r>
      <w:r>
        <w:rPr>
          <w:rFonts w:ascii="FrankRuehl" w:hAnsi="FrankRuehl" w:hint="cs"/>
          <w:sz w:val="28"/>
          <w:rtl/>
        </w:rPr>
        <w:t>נעתרתי ל</w:t>
      </w:r>
      <w:r w:rsidRPr="008B389B">
        <w:rPr>
          <w:rFonts w:ascii="FrankRuehl" w:hAnsi="FrankRuehl"/>
          <w:sz w:val="28"/>
          <w:rtl/>
        </w:rPr>
        <w:t>בקשתו, ולאחר קבלת התסקיר המשלים התקיימה ישיבת טיעונים נוספת.</w:t>
      </w:r>
    </w:p>
    <w:p w14:paraId="420F2008" w14:textId="77777777" w:rsidR="00F1737A" w:rsidRPr="008B389B" w:rsidRDefault="00F1737A" w:rsidP="00F1737A">
      <w:pPr>
        <w:pStyle w:val="ListParagraph"/>
        <w:spacing w:line="360" w:lineRule="auto"/>
        <w:jc w:val="both"/>
        <w:rPr>
          <w:rFonts w:ascii="FrankRuehl" w:hAnsi="FrankRuehl"/>
          <w:sz w:val="28"/>
        </w:rPr>
      </w:pPr>
    </w:p>
    <w:p w14:paraId="594CB25D" w14:textId="77777777" w:rsidR="00F1737A" w:rsidRPr="00840E2D" w:rsidRDefault="00F1737A" w:rsidP="00F1737A">
      <w:pPr>
        <w:spacing w:line="360" w:lineRule="auto"/>
        <w:ind w:left="360" w:firstLine="360"/>
        <w:jc w:val="both"/>
        <w:rPr>
          <w:rFonts w:ascii="Miriam" w:hAnsi="Miriam" w:cs="Miriam"/>
          <w:u w:val="single"/>
        </w:rPr>
      </w:pPr>
      <w:r w:rsidRPr="00840E2D">
        <w:rPr>
          <w:rFonts w:ascii="Miriam" w:hAnsi="Miriam" w:cs="Miriam"/>
          <w:rtl/>
        </w:rPr>
        <w:t>ראיות לעונש</w:t>
      </w:r>
    </w:p>
    <w:p w14:paraId="6E63835B" w14:textId="77777777" w:rsidR="00F1737A" w:rsidRDefault="00F1737A" w:rsidP="00F1737A">
      <w:pPr>
        <w:pStyle w:val="ListParagraph"/>
        <w:spacing w:line="360" w:lineRule="auto"/>
        <w:jc w:val="both"/>
        <w:rPr>
          <w:rFonts w:ascii="FrankRuehl" w:hAnsi="FrankRuehl"/>
          <w:sz w:val="28"/>
          <w:u w:val="single"/>
        </w:rPr>
      </w:pPr>
      <w:r w:rsidRPr="008B389B">
        <w:rPr>
          <w:rFonts w:ascii="FrankRuehl" w:hAnsi="FrankRuehl"/>
          <w:sz w:val="28"/>
          <w:rtl/>
        </w:rPr>
        <w:t>לא הוגשו מטעם המאשימה ראיות לעונש. לנאשם אין רישום פלילי.</w:t>
      </w:r>
    </w:p>
    <w:p w14:paraId="7AB337A3" w14:textId="77777777" w:rsidR="00F1737A" w:rsidRPr="00840E2D" w:rsidRDefault="00F1737A" w:rsidP="00F1737A">
      <w:pPr>
        <w:pStyle w:val="ListParagraph"/>
        <w:spacing w:line="360" w:lineRule="auto"/>
        <w:jc w:val="both"/>
        <w:rPr>
          <w:rFonts w:ascii="FrankRuehl" w:hAnsi="FrankRuehl"/>
          <w:sz w:val="28"/>
          <w:u w:val="single"/>
          <w:rtl/>
        </w:rPr>
      </w:pPr>
    </w:p>
    <w:p w14:paraId="486A528A" w14:textId="77777777" w:rsidR="00F1737A" w:rsidRPr="008B389B" w:rsidRDefault="00F1737A" w:rsidP="00F1737A">
      <w:pPr>
        <w:pStyle w:val="ListParagraph"/>
        <w:spacing w:line="360" w:lineRule="auto"/>
        <w:jc w:val="both"/>
        <w:rPr>
          <w:rFonts w:ascii="FrankRuehl" w:hAnsi="FrankRuehl"/>
          <w:sz w:val="28"/>
        </w:rPr>
      </w:pPr>
      <w:r w:rsidRPr="008B389B">
        <w:rPr>
          <w:rFonts w:ascii="FrankRuehl" w:hAnsi="FrankRuehl"/>
          <w:sz w:val="28"/>
          <w:rtl/>
        </w:rPr>
        <w:t xml:space="preserve">מטעם הנאשם העיד חמד עמאר, חבר כנסת וסגן יו"ר הכנסת. אשר מכיר את משפחת הנאשם ואת הנאשם עוד שהיה תינוק ולאחר מכן </w:t>
      </w:r>
      <w:r>
        <w:rPr>
          <w:rFonts w:ascii="FrankRuehl" w:hAnsi="FrankRuehl" w:hint="cs"/>
          <w:sz w:val="28"/>
          <w:rtl/>
        </w:rPr>
        <w:t xml:space="preserve">היה הנאשם </w:t>
      </w:r>
      <w:r w:rsidRPr="008B389B">
        <w:rPr>
          <w:rFonts w:ascii="FrankRuehl" w:hAnsi="FrankRuehl"/>
          <w:sz w:val="28"/>
          <w:rtl/>
        </w:rPr>
        <w:t>חבר בתנועת נוער דרוזית אותה הוא ייסד. לטענתו, לנאשם יכולת להשתקם, יש לו משפחה תומכת שתוביל אותו קדימה  ו</w:t>
      </w:r>
      <w:r>
        <w:rPr>
          <w:rFonts w:ascii="FrankRuehl" w:hAnsi="FrankRuehl" w:hint="cs"/>
          <w:sz w:val="28"/>
          <w:rtl/>
        </w:rPr>
        <w:t xml:space="preserve">לטענתו יש למנוע </w:t>
      </w:r>
      <w:r w:rsidRPr="008B389B">
        <w:rPr>
          <w:rFonts w:ascii="FrankRuehl" w:hAnsi="FrankRuehl"/>
          <w:sz w:val="28"/>
          <w:rtl/>
        </w:rPr>
        <w:t xml:space="preserve">שטעות ראשונה שעשה </w:t>
      </w:r>
      <w:r>
        <w:rPr>
          <w:rFonts w:ascii="FrankRuehl" w:hAnsi="FrankRuehl" w:hint="cs"/>
          <w:sz w:val="28"/>
          <w:rtl/>
        </w:rPr>
        <w:t xml:space="preserve">הנאשם </w:t>
      </w:r>
      <w:r w:rsidRPr="008B389B">
        <w:rPr>
          <w:rFonts w:ascii="FrankRuehl" w:hAnsi="FrankRuehl"/>
          <w:sz w:val="28"/>
          <w:rtl/>
        </w:rPr>
        <w:t>תוביל אותו לחיים של עבריינות והרס עצמי.</w:t>
      </w:r>
    </w:p>
    <w:p w14:paraId="31ED4862" w14:textId="77777777" w:rsidR="00F1737A" w:rsidRPr="008B389B" w:rsidRDefault="00F1737A" w:rsidP="00F1737A">
      <w:pPr>
        <w:pStyle w:val="ListParagraph"/>
        <w:spacing w:line="360" w:lineRule="auto"/>
        <w:rPr>
          <w:rFonts w:ascii="FrankRuehl" w:hAnsi="FrankRuehl"/>
          <w:sz w:val="28"/>
        </w:rPr>
      </w:pPr>
    </w:p>
    <w:p w14:paraId="76FE9FAE" w14:textId="77777777" w:rsidR="00F1737A" w:rsidRPr="008B389B" w:rsidRDefault="00F1737A" w:rsidP="00F1737A">
      <w:pPr>
        <w:pStyle w:val="ListParagraph"/>
        <w:spacing w:line="360" w:lineRule="auto"/>
        <w:jc w:val="both"/>
        <w:rPr>
          <w:rFonts w:ascii="FrankRuehl" w:hAnsi="FrankRuehl"/>
          <w:sz w:val="28"/>
          <w:rtl/>
        </w:rPr>
      </w:pPr>
      <w:r w:rsidRPr="008B389B">
        <w:rPr>
          <w:rFonts w:ascii="FrankRuehl" w:hAnsi="FrankRuehl"/>
          <w:sz w:val="28"/>
          <w:rtl/>
        </w:rPr>
        <w:t>בנוסף העיד מטעם הנאשם פואד חסיס, קרוב משפחה של הנאשם ששירת בצבא עם סבו  ושימש כקצין בשירות בתי הסוהר. לטענתו משפחת הנאשם היא משפחה טובה עם שם טוב בציבור והם י</w:t>
      </w:r>
      <w:r>
        <w:rPr>
          <w:rFonts w:ascii="FrankRuehl" w:hAnsi="FrankRuehl" w:hint="cs"/>
          <w:sz w:val="28"/>
          <w:rtl/>
        </w:rPr>
        <w:t>עזרו לו ל</w:t>
      </w:r>
      <w:r w:rsidRPr="008B389B">
        <w:rPr>
          <w:rFonts w:ascii="FrankRuehl" w:hAnsi="FrankRuehl"/>
          <w:sz w:val="28"/>
          <w:rtl/>
        </w:rPr>
        <w:t>חזור מהר למוטב.</w:t>
      </w:r>
    </w:p>
    <w:p w14:paraId="2140CC60" w14:textId="77777777" w:rsidR="00F1737A" w:rsidRPr="008B389B" w:rsidRDefault="00F1737A" w:rsidP="00F1737A">
      <w:pPr>
        <w:pStyle w:val="ListParagraph"/>
        <w:spacing w:line="360" w:lineRule="auto"/>
        <w:jc w:val="both"/>
        <w:rPr>
          <w:rFonts w:ascii="FrankRuehl" w:hAnsi="FrankRuehl"/>
          <w:sz w:val="28"/>
          <w:rtl/>
        </w:rPr>
      </w:pPr>
    </w:p>
    <w:p w14:paraId="4DED4395" w14:textId="77777777" w:rsidR="00F1737A" w:rsidRPr="00840E2D" w:rsidRDefault="00F1737A" w:rsidP="00F1737A">
      <w:pPr>
        <w:spacing w:line="360" w:lineRule="auto"/>
        <w:ind w:left="360" w:firstLine="360"/>
        <w:jc w:val="both"/>
        <w:rPr>
          <w:rFonts w:ascii="Miriam" w:hAnsi="Miriam" w:cs="Miriam"/>
          <w:u w:val="single"/>
          <w:rtl/>
        </w:rPr>
      </w:pPr>
      <w:r w:rsidRPr="00840E2D">
        <w:rPr>
          <w:rFonts w:ascii="Miriam" w:hAnsi="Miriam" w:cs="Miriam"/>
          <w:rtl/>
        </w:rPr>
        <w:t>תסקירי שירות המבחן</w:t>
      </w:r>
    </w:p>
    <w:p w14:paraId="22469AA0" w14:textId="77777777" w:rsidR="00F1737A" w:rsidRDefault="00F1737A" w:rsidP="00F1737A">
      <w:pPr>
        <w:pStyle w:val="ListParagraph"/>
        <w:spacing w:line="360" w:lineRule="auto"/>
        <w:jc w:val="both"/>
        <w:rPr>
          <w:rFonts w:ascii="FrankRuehl" w:hAnsi="FrankRuehl"/>
          <w:sz w:val="28"/>
          <w:rtl/>
        </w:rPr>
      </w:pPr>
      <w:r w:rsidRPr="008B389B">
        <w:rPr>
          <w:rFonts w:ascii="FrankRuehl" w:hAnsi="FrankRuehl"/>
          <w:sz w:val="28"/>
          <w:rtl/>
        </w:rPr>
        <w:t xml:space="preserve">בשני התסקירים אין המלצה לחלופה שיקומית בעניינו של הנאשם. שירות המבחן התרשם מהעדר כנות והעדר לקיחת אחריות באופן מלא וקושי בקבלת סמכות. </w:t>
      </w:r>
    </w:p>
    <w:p w14:paraId="09A6AA65" w14:textId="77777777" w:rsidR="00F1737A" w:rsidRPr="008B389B" w:rsidRDefault="00F1737A" w:rsidP="00F1737A">
      <w:pPr>
        <w:pStyle w:val="ListParagraph"/>
        <w:spacing w:line="360" w:lineRule="auto"/>
        <w:jc w:val="both"/>
        <w:rPr>
          <w:rFonts w:ascii="FrankRuehl" w:hAnsi="FrankRuehl"/>
          <w:sz w:val="28"/>
          <w:rtl/>
        </w:rPr>
      </w:pPr>
    </w:p>
    <w:p w14:paraId="59E395FE" w14:textId="77777777" w:rsidR="00F1737A" w:rsidRPr="008B389B" w:rsidRDefault="00F1737A" w:rsidP="00F1737A">
      <w:pPr>
        <w:pStyle w:val="ListParagraph"/>
        <w:spacing w:line="360" w:lineRule="auto"/>
        <w:jc w:val="both"/>
        <w:rPr>
          <w:rFonts w:ascii="FrankRuehl" w:hAnsi="FrankRuehl"/>
          <w:sz w:val="28"/>
          <w:rtl/>
        </w:rPr>
      </w:pPr>
      <w:r w:rsidRPr="008B389B">
        <w:rPr>
          <w:rFonts w:ascii="FrankRuehl" w:hAnsi="FrankRuehl"/>
          <w:sz w:val="28"/>
          <w:rtl/>
        </w:rPr>
        <w:t>נוכח העובדה כי הנאשם ביטא בפניהם את רצונו להשתלב בהליך טיפולי, ביקשו שאם יוטל עליו ל</w:t>
      </w:r>
      <w:r>
        <w:rPr>
          <w:rFonts w:ascii="FrankRuehl" w:hAnsi="FrankRuehl" w:hint="cs"/>
          <w:sz w:val="28"/>
          <w:rtl/>
        </w:rPr>
        <w:t>שאת בעונש מאסר בפועל</w:t>
      </w:r>
      <w:r w:rsidRPr="008B389B">
        <w:rPr>
          <w:rFonts w:ascii="FrankRuehl" w:hAnsi="FrankRuehl"/>
          <w:sz w:val="28"/>
          <w:rtl/>
        </w:rPr>
        <w:t xml:space="preserve">, </w:t>
      </w:r>
      <w:r>
        <w:rPr>
          <w:rFonts w:ascii="FrankRuehl" w:hAnsi="FrankRuehl" w:hint="cs"/>
          <w:sz w:val="28"/>
          <w:rtl/>
        </w:rPr>
        <w:t xml:space="preserve">הומלץ לשלבו </w:t>
      </w:r>
      <w:r w:rsidRPr="008B389B">
        <w:rPr>
          <w:rFonts w:ascii="FrankRuehl" w:hAnsi="FrankRuehl"/>
          <w:sz w:val="28"/>
          <w:rtl/>
        </w:rPr>
        <w:t>בהליך טיפולי.</w:t>
      </w:r>
    </w:p>
    <w:p w14:paraId="0AFE1F0C" w14:textId="77777777" w:rsidR="00F1737A" w:rsidRPr="008B389B" w:rsidRDefault="00F1737A" w:rsidP="00F1737A">
      <w:pPr>
        <w:pStyle w:val="ListParagraph"/>
        <w:spacing w:line="360" w:lineRule="auto"/>
        <w:jc w:val="both"/>
        <w:rPr>
          <w:rFonts w:ascii="FrankRuehl" w:hAnsi="FrankRuehl"/>
          <w:sz w:val="28"/>
          <w:rtl/>
        </w:rPr>
      </w:pPr>
    </w:p>
    <w:p w14:paraId="51F9C6CE" w14:textId="77777777" w:rsidR="00F1737A" w:rsidRPr="00840E2D" w:rsidRDefault="00F1737A" w:rsidP="00F1737A">
      <w:pPr>
        <w:spacing w:line="360" w:lineRule="auto"/>
        <w:ind w:left="360" w:firstLine="360"/>
        <w:jc w:val="both"/>
        <w:rPr>
          <w:rFonts w:ascii="Miriam" w:hAnsi="Miriam" w:cs="Miriam"/>
          <w:rtl/>
        </w:rPr>
      </w:pPr>
      <w:r w:rsidRPr="00840E2D">
        <w:rPr>
          <w:rFonts w:ascii="Miriam" w:hAnsi="Miriam" w:cs="Miriam"/>
          <w:rtl/>
        </w:rPr>
        <w:t>תמצית טענות הצדדים</w:t>
      </w:r>
    </w:p>
    <w:p w14:paraId="764CB68F" w14:textId="77777777" w:rsidR="00F1737A" w:rsidRPr="008B389B" w:rsidRDefault="00F1737A" w:rsidP="00F1737A">
      <w:pPr>
        <w:pStyle w:val="ListParagraph"/>
        <w:numPr>
          <w:ilvl w:val="0"/>
          <w:numId w:val="1"/>
        </w:numPr>
        <w:spacing w:line="360" w:lineRule="auto"/>
        <w:jc w:val="both"/>
        <w:rPr>
          <w:rFonts w:ascii="FrankRuehl" w:hAnsi="FrankRuehl"/>
          <w:sz w:val="28"/>
          <w:rtl/>
        </w:rPr>
      </w:pPr>
      <w:r w:rsidRPr="008B389B">
        <w:rPr>
          <w:rFonts w:ascii="FrankRuehl" w:hAnsi="FrankRuehl"/>
          <w:sz w:val="28"/>
          <w:rtl/>
        </w:rPr>
        <w:lastRenderedPageBreak/>
        <w:t xml:space="preserve">ב"כ המאשימה בטיעוניו בכתב (ט/1) ובפניי, ביקש כי ייקבע מתחם ענישה שנע בין </w:t>
      </w:r>
      <w:r>
        <w:rPr>
          <w:rFonts w:ascii="FrankRuehl" w:hAnsi="FrankRuehl" w:hint="cs"/>
          <w:sz w:val="28"/>
          <w:rtl/>
        </w:rPr>
        <w:t xml:space="preserve">             </w:t>
      </w:r>
      <w:r w:rsidRPr="008B389B">
        <w:rPr>
          <w:rFonts w:ascii="FrankRuehl" w:hAnsi="FrankRuehl"/>
          <w:sz w:val="28"/>
          <w:rtl/>
        </w:rPr>
        <w:t xml:space="preserve">18 ל-48 חודשי מאסר בפועל ועונשו של הנאשם יוטל במקום </w:t>
      </w:r>
      <w:r>
        <w:rPr>
          <w:rFonts w:ascii="FrankRuehl" w:hAnsi="FrankRuehl" w:hint="cs"/>
          <w:sz w:val="28"/>
          <w:rtl/>
        </w:rPr>
        <w:t>ה</w:t>
      </w:r>
      <w:r w:rsidRPr="008B389B">
        <w:rPr>
          <w:rFonts w:ascii="FrankRuehl" w:hAnsi="FrankRuehl"/>
          <w:sz w:val="28"/>
          <w:rtl/>
        </w:rPr>
        <w:t>תחתון במתחם וכן יוטל מאסר על תנאי ממשי וקנס מרתיע. בנוסף ביקש לחלט את הנשק והתחמושת לטובת משטרת ישראל.</w:t>
      </w:r>
    </w:p>
    <w:p w14:paraId="78047119" w14:textId="77777777" w:rsidR="00F1737A" w:rsidRPr="008B389B" w:rsidRDefault="00F1737A" w:rsidP="00F1737A">
      <w:pPr>
        <w:spacing w:line="360" w:lineRule="auto"/>
        <w:jc w:val="both"/>
        <w:rPr>
          <w:rFonts w:ascii="FrankRuehl" w:hAnsi="FrankRuehl" w:cs="FrankRuehl"/>
          <w:sz w:val="28"/>
          <w:szCs w:val="28"/>
        </w:rPr>
      </w:pPr>
    </w:p>
    <w:p w14:paraId="5D73D4AD" w14:textId="77777777" w:rsidR="00F1737A" w:rsidRDefault="00F1737A" w:rsidP="00F1737A">
      <w:pPr>
        <w:pStyle w:val="ListParagraph"/>
        <w:spacing w:line="360" w:lineRule="auto"/>
        <w:jc w:val="both"/>
        <w:rPr>
          <w:rFonts w:ascii="FrankRuehl" w:hAnsi="FrankRuehl"/>
          <w:sz w:val="28"/>
          <w:rtl/>
        </w:rPr>
      </w:pPr>
      <w:r w:rsidRPr="008B389B">
        <w:rPr>
          <w:rFonts w:ascii="FrankRuehl" w:hAnsi="FrankRuehl"/>
          <w:sz w:val="28"/>
          <w:rtl/>
        </w:rPr>
        <w:t>לעניין חומרת העבירות טען כי העונש המרבי הקבוע בגין עבירה של נשיאה והובלת נשק הוא 10 שנות מאסר, העונש הקבוע על החזקת נשק עומד על 7 שנות מאסר והעונש על החזקת אבזר עומד על 3 שנות מאסר, כאשר המגמה של בתי המשפט היא החמרה בענישה והעדפת האינטרס הציבורי על פני נסיבות אישיות של הנאשם נוכח התרבות עבירות האלימות המבוצעות באמצעות נשק.</w:t>
      </w:r>
    </w:p>
    <w:p w14:paraId="3FB2CFC8" w14:textId="77777777" w:rsidR="00F1737A" w:rsidRPr="008B389B" w:rsidRDefault="00F1737A" w:rsidP="00F1737A">
      <w:pPr>
        <w:pStyle w:val="ListParagraph"/>
        <w:spacing w:line="360" w:lineRule="auto"/>
        <w:jc w:val="both"/>
        <w:rPr>
          <w:rFonts w:ascii="FrankRuehl" w:hAnsi="FrankRuehl"/>
          <w:sz w:val="28"/>
          <w:rtl/>
        </w:rPr>
      </w:pPr>
    </w:p>
    <w:p w14:paraId="49DA0AD1" w14:textId="77777777" w:rsidR="00F1737A" w:rsidRDefault="00F1737A" w:rsidP="00F1737A">
      <w:pPr>
        <w:pStyle w:val="ListParagraph"/>
        <w:spacing w:line="360" w:lineRule="auto"/>
        <w:jc w:val="both"/>
        <w:rPr>
          <w:rFonts w:ascii="FrankRuehl" w:hAnsi="FrankRuehl"/>
          <w:sz w:val="28"/>
          <w:rtl/>
        </w:rPr>
      </w:pPr>
      <w:r w:rsidRPr="008B389B">
        <w:rPr>
          <w:rFonts w:ascii="FrankRuehl" w:hAnsi="FrankRuehl"/>
          <w:sz w:val="28"/>
          <w:rtl/>
        </w:rPr>
        <w:t>לטענתו, נשיאת נשק מ</w:t>
      </w:r>
      <w:r>
        <w:rPr>
          <w:rFonts w:ascii="FrankRuehl" w:hAnsi="FrankRuehl" w:hint="cs"/>
          <w:sz w:val="28"/>
          <w:rtl/>
        </w:rPr>
        <w:t>גדילה</w:t>
      </w:r>
      <w:r w:rsidRPr="008B389B">
        <w:rPr>
          <w:rFonts w:ascii="FrankRuehl" w:hAnsi="FrankRuehl"/>
          <w:sz w:val="28"/>
          <w:rtl/>
        </w:rPr>
        <w:t xml:space="preserve"> את הסיכון לאלימות קשה ולפגיעה בחיי אדם</w:t>
      </w:r>
      <w:r>
        <w:rPr>
          <w:rFonts w:ascii="FrankRuehl" w:hAnsi="FrankRuehl" w:hint="cs"/>
          <w:sz w:val="28"/>
          <w:rtl/>
        </w:rPr>
        <w:t xml:space="preserve">. </w:t>
      </w:r>
      <w:r w:rsidRPr="008B389B">
        <w:rPr>
          <w:rFonts w:ascii="FrankRuehl" w:hAnsi="FrankRuehl"/>
          <w:sz w:val="28"/>
          <w:rtl/>
        </w:rPr>
        <w:t>לעניין הנסיבות הקשורות לביצוע העבירה טען, כי הנזק שהיה צפוי להיגרם מביצוע העבירה הוא גדול נוכח הסיכון לפגיעה בחיי אדם.</w:t>
      </w:r>
    </w:p>
    <w:p w14:paraId="4CDDC1A0" w14:textId="77777777" w:rsidR="00F1737A" w:rsidRPr="008B389B" w:rsidRDefault="00F1737A" w:rsidP="00F1737A">
      <w:pPr>
        <w:pStyle w:val="ListParagraph"/>
        <w:spacing w:line="360" w:lineRule="auto"/>
        <w:jc w:val="both"/>
        <w:rPr>
          <w:rFonts w:ascii="FrankRuehl" w:hAnsi="FrankRuehl"/>
          <w:sz w:val="28"/>
          <w:rtl/>
        </w:rPr>
      </w:pPr>
    </w:p>
    <w:p w14:paraId="7259FED3" w14:textId="77777777" w:rsidR="00F1737A" w:rsidRPr="008B389B" w:rsidRDefault="00F1737A" w:rsidP="00F1737A">
      <w:pPr>
        <w:pStyle w:val="ListParagraph"/>
        <w:spacing w:line="360" w:lineRule="auto"/>
        <w:jc w:val="both"/>
        <w:rPr>
          <w:rFonts w:ascii="FrankRuehl" w:hAnsi="FrankRuehl"/>
          <w:sz w:val="28"/>
          <w:rtl/>
        </w:rPr>
      </w:pPr>
      <w:r w:rsidRPr="008B389B">
        <w:rPr>
          <w:rFonts w:ascii="FrankRuehl" w:hAnsi="FrankRuehl"/>
          <w:sz w:val="28"/>
          <w:rtl/>
        </w:rPr>
        <w:t>עוד טען כי הנאשם בגיר, והוא בחר בחירה מודעת לבצע את העבירות, הוא הבין את הפסול במעשיו ולכן ה</w:t>
      </w:r>
      <w:r>
        <w:rPr>
          <w:rFonts w:ascii="FrankRuehl" w:hAnsi="FrankRuehl" w:hint="cs"/>
          <w:sz w:val="28"/>
          <w:rtl/>
        </w:rPr>
        <w:t xml:space="preserve">סתיר </w:t>
      </w:r>
      <w:r w:rsidRPr="008B389B">
        <w:rPr>
          <w:rFonts w:ascii="FrankRuehl" w:hAnsi="FrankRuehl"/>
          <w:sz w:val="28"/>
          <w:rtl/>
        </w:rPr>
        <w:t>את האקדח והמחסנית במקומות מסתור בביתו.</w:t>
      </w:r>
    </w:p>
    <w:p w14:paraId="0191CD7B" w14:textId="77777777" w:rsidR="00F1737A" w:rsidRPr="008B389B" w:rsidRDefault="00F1737A" w:rsidP="00F1737A">
      <w:pPr>
        <w:spacing w:line="360" w:lineRule="auto"/>
        <w:jc w:val="both"/>
        <w:rPr>
          <w:rFonts w:ascii="FrankRuehl" w:hAnsi="FrankRuehl" w:cs="FrankRuehl"/>
          <w:sz w:val="28"/>
          <w:szCs w:val="28"/>
          <w:rtl/>
        </w:rPr>
      </w:pPr>
      <w:r w:rsidRPr="008B389B">
        <w:rPr>
          <w:rFonts w:ascii="FrankRuehl" w:hAnsi="FrankRuehl" w:cs="FrankRuehl"/>
          <w:sz w:val="28"/>
          <w:szCs w:val="28"/>
          <w:rtl/>
        </w:rPr>
        <w:tab/>
        <w:t xml:space="preserve"> לתמיכה בטענותיו הפנה לפסקי דין שונים. </w:t>
      </w:r>
    </w:p>
    <w:p w14:paraId="51849FA7" w14:textId="77777777" w:rsidR="00F1737A" w:rsidRPr="008B389B" w:rsidRDefault="00F1737A" w:rsidP="00F1737A">
      <w:pPr>
        <w:spacing w:line="360" w:lineRule="auto"/>
        <w:jc w:val="both"/>
        <w:rPr>
          <w:rFonts w:ascii="FrankRuehl" w:hAnsi="FrankRuehl" w:cs="FrankRuehl"/>
          <w:sz w:val="28"/>
          <w:szCs w:val="28"/>
          <w:rtl/>
        </w:rPr>
      </w:pPr>
    </w:p>
    <w:p w14:paraId="67EDBDCE" w14:textId="77777777" w:rsidR="00F1737A" w:rsidRDefault="00F1737A" w:rsidP="00F1737A">
      <w:pPr>
        <w:pStyle w:val="ListParagraph"/>
        <w:numPr>
          <w:ilvl w:val="0"/>
          <w:numId w:val="1"/>
        </w:numPr>
        <w:spacing w:line="360" w:lineRule="auto"/>
        <w:jc w:val="both"/>
        <w:rPr>
          <w:rFonts w:ascii="FrankRuehl" w:hAnsi="FrankRuehl"/>
          <w:sz w:val="28"/>
        </w:rPr>
      </w:pPr>
      <w:r w:rsidRPr="008B389B">
        <w:rPr>
          <w:rFonts w:ascii="FrankRuehl" w:hAnsi="FrankRuehl"/>
          <w:sz w:val="28"/>
          <w:rtl/>
        </w:rPr>
        <w:t>ב"כ הנאשם ביקש להעמיד את מתחם הענישה בעניינו של הנאשם על 8 עד  18 חודשים וביקש כי העונש שיוטל על הנאשם לא יעלה על 8 חודשי מאסר בפועל.</w:t>
      </w:r>
    </w:p>
    <w:p w14:paraId="269781F9" w14:textId="77777777" w:rsidR="00F1737A" w:rsidRPr="008B389B" w:rsidRDefault="00F1737A" w:rsidP="00F1737A">
      <w:pPr>
        <w:pStyle w:val="ListParagraph"/>
        <w:spacing w:line="360" w:lineRule="auto"/>
        <w:jc w:val="both"/>
        <w:rPr>
          <w:rFonts w:ascii="FrankRuehl" w:hAnsi="FrankRuehl"/>
          <w:sz w:val="28"/>
          <w:rtl/>
        </w:rPr>
      </w:pPr>
    </w:p>
    <w:p w14:paraId="1D61E3C8" w14:textId="77777777" w:rsidR="00F1737A" w:rsidRDefault="00F1737A" w:rsidP="00F1737A">
      <w:pPr>
        <w:pStyle w:val="ListParagraph"/>
        <w:spacing w:line="360" w:lineRule="auto"/>
        <w:jc w:val="both"/>
        <w:rPr>
          <w:rFonts w:ascii="FrankRuehl" w:hAnsi="FrankRuehl"/>
          <w:sz w:val="28"/>
          <w:rtl/>
        </w:rPr>
      </w:pPr>
      <w:r w:rsidRPr="008B389B">
        <w:rPr>
          <w:rFonts w:ascii="FrankRuehl" w:hAnsi="FrankRuehl"/>
          <w:sz w:val="28"/>
          <w:rtl/>
        </w:rPr>
        <w:t>הדגיש כי מדובר בנאשם צעיר בן 22 אשר עתידו לפניו, שאישיותו טרם התגבשה. ולאור גילו הצעיר חשוב לתת לו חלון הזדמנויות על מנת שיוכל להשתקם ולחזור לחברה כאדם נורמטיבי.</w:t>
      </w:r>
    </w:p>
    <w:p w14:paraId="4F6C3D95" w14:textId="77777777" w:rsidR="00F1737A" w:rsidRPr="00840E2D" w:rsidRDefault="00F1737A" w:rsidP="00F1737A">
      <w:pPr>
        <w:spacing w:line="360" w:lineRule="auto"/>
        <w:jc w:val="both"/>
        <w:rPr>
          <w:rFonts w:ascii="FrankRuehl" w:hAnsi="FrankRuehl"/>
          <w:sz w:val="28"/>
        </w:rPr>
      </w:pPr>
    </w:p>
    <w:p w14:paraId="06835360" w14:textId="77777777" w:rsidR="00F1737A" w:rsidRPr="008B389B" w:rsidRDefault="00F1737A" w:rsidP="00F1737A">
      <w:pPr>
        <w:pStyle w:val="ListParagraph"/>
        <w:spacing w:line="360" w:lineRule="auto"/>
        <w:jc w:val="both"/>
        <w:rPr>
          <w:rFonts w:ascii="FrankRuehl" w:hAnsi="FrankRuehl"/>
          <w:sz w:val="28"/>
          <w:rtl/>
        </w:rPr>
      </w:pPr>
      <w:r w:rsidRPr="008B389B">
        <w:rPr>
          <w:rFonts w:ascii="FrankRuehl" w:hAnsi="FrankRuehl"/>
          <w:sz w:val="28"/>
          <w:rtl/>
        </w:rPr>
        <w:t>לעניין העבירות טען כי הנאשם הורשע בעבירה של נשיאת נשק בלבד ולא הייתה לו כוונת שימוש באקדח, בנוסף הדגיש כי מרחק נשיאת הנשק ה</w:t>
      </w:r>
      <w:r>
        <w:rPr>
          <w:rFonts w:ascii="FrankRuehl" w:hAnsi="FrankRuehl" w:hint="cs"/>
          <w:sz w:val="28"/>
          <w:rtl/>
        </w:rPr>
        <w:t xml:space="preserve">יה </w:t>
      </w:r>
      <w:r w:rsidRPr="008B389B">
        <w:rPr>
          <w:rFonts w:ascii="FrankRuehl" w:hAnsi="FrankRuehl"/>
          <w:sz w:val="28"/>
          <w:rtl/>
        </w:rPr>
        <w:t>קצר ועמד על 130 מ' בלבד.</w:t>
      </w:r>
    </w:p>
    <w:p w14:paraId="77223FF8" w14:textId="77777777" w:rsidR="00F1737A" w:rsidRDefault="00F1737A" w:rsidP="00F1737A">
      <w:pPr>
        <w:pStyle w:val="ListParagraph"/>
        <w:spacing w:line="360" w:lineRule="auto"/>
        <w:jc w:val="both"/>
        <w:rPr>
          <w:rFonts w:ascii="FrankRuehl" w:hAnsi="FrankRuehl"/>
          <w:sz w:val="28"/>
          <w:rtl/>
        </w:rPr>
      </w:pPr>
      <w:r w:rsidRPr="008B389B">
        <w:rPr>
          <w:rFonts w:ascii="FrankRuehl" w:hAnsi="FrankRuehl"/>
          <w:sz w:val="28"/>
          <w:rtl/>
        </w:rPr>
        <w:t>בנוסף הדגיש כי לנאשם יש משפחה תומכת ומכובדת בשפרעם, ולא בכדי הגיעו שני עדי אופי שהם מלח הארץ להעיד לטובתו, כאשר כל משפחתו והסביבה מעוניינ</w:t>
      </w:r>
      <w:r>
        <w:rPr>
          <w:rFonts w:ascii="FrankRuehl" w:hAnsi="FrankRuehl" w:hint="cs"/>
          <w:sz w:val="28"/>
          <w:rtl/>
        </w:rPr>
        <w:t>ים</w:t>
      </w:r>
      <w:r w:rsidRPr="008B389B">
        <w:rPr>
          <w:rFonts w:ascii="FrankRuehl" w:hAnsi="FrankRuehl"/>
          <w:sz w:val="28"/>
          <w:rtl/>
        </w:rPr>
        <w:t xml:space="preserve"> לסייע לנאשם על מנת שישתקם.</w:t>
      </w:r>
    </w:p>
    <w:p w14:paraId="77FD12D6" w14:textId="77777777" w:rsidR="00F1737A" w:rsidRPr="008B389B" w:rsidRDefault="00F1737A" w:rsidP="00F1737A">
      <w:pPr>
        <w:pStyle w:val="ListParagraph"/>
        <w:spacing w:line="360" w:lineRule="auto"/>
        <w:jc w:val="both"/>
        <w:rPr>
          <w:rFonts w:ascii="FrankRuehl" w:hAnsi="FrankRuehl"/>
          <w:sz w:val="28"/>
          <w:rtl/>
        </w:rPr>
      </w:pPr>
    </w:p>
    <w:p w14:paraId="42C8A4C9" w14:textId="77777777" w:rsidR="00F1737A" w:rsidRPr="008B389B" w:rsidRDefault="00F1737A" w:rsidP="00F1737A">
      <w:pPr>
        <w:pStyle w:val="ListParagraph"/>
        <w:spacing w:line="360" w:lineRule="auto"/>
        <w:jc w:val="both"/>
        <w:rPr>
          <w:rFonts w:ascii="FrankRuehl" w:hAnsi="FrankRuehl"/>
          <w:sz w:val="28"/>
          <w:rtl/>
        </w:rPr>
      </w:pPr>
      <w:r w:rsidRPr="008B389B">
        <w:rPr>
          <w:rFonts w:ascii="FrankRuehl" w:hAnsi="FrankRuehl"/>
          <w:sz w:val="28"/>
          <w:rtl/>
        </w:rPr>
        <w:t xml:space="preserve">בתום הדיון הוסיף ב"כ הנאשם וביקש כי </w:t>
      </w:r>
      <w:r>
        <w:rPr>
          <w:rFonts w:ascii="FrankRuehl" w:hAnsi="FrankRuehl" w:hint="cs"/>
          <w:sz w:val="28"/>
          <w:rtl/>
        </w:rPr>
        <w:t>הנאשם יועמד ב</w:t>
      </w:r>
      <w:r w:rsidRPr="008B389B">
        <w:rPr>
          <w:rFonts w:ascii="FrankRuehl" w:hAnsi="FrankRuehl"/>
          <w:sz w:val="28"/>
          <w:rtl/>
        </w:rPr>
        <w:t>מבחן לתקופה של 18 חודשים, חרף העובדה כי שירות המבחן לא המליץ המלצה שכזאת.</w:t>
      </w:r>
    </w:p>
    <w:p w14:paraId="26669567" w14:textId="77777777" w:rsidR="00F1737A" w:rsidRPr="008B389B" w:rsidRDefault="00F1737A" w:rsidP="00F1737A">
      <w:pPr>
        <w:pStyle w:val="ListParagraph"/>
        <w:spacing w:line="360" w:lineRule="auto"/>
        <w:jc w:val="both"/>
        <w:rPr>
          <w:rFonts w:ascii="FrankRuehl" w:hAnsi="FrankRuehl"/>
          <w:sz w:val="28"/>
          <w:rtl/>
        </w:rPr>
      </w:pPr>
      <w:r w:rsidRPr="008B389B">
        <w:rPr>
          <w:rFonts w:ascii="FrankRuehl" w:hAnsi="FrankRuehl"/>
          <w:sz w:val="28"/>
          <w:rtl/>
        </w:rPr>
        <w:t>לתמיכה בטענותיו הפנה לפסקי דין שונים.</w:t>
      </w:r>
    </w:p>
    <w:p w14:paraId="487E56DA" w14:textId="77777777" w:rsidR="00F1737A" w:rsidRDefault="00F1737A" w:rsidP="00F1737A">
      <w:pPr>
        <w:pStyle w:val="ListParagraph"/>
        <w:spacing w:line="360" w:lineRule="auto"/>
        <w:jc w:val="both"/>
        <w:rPr>
          <w:rFonts w:ascii="FrankRuehl" w:hAnsi="FrankRuehl"/>
          <w:sz w:val="28"/>
        </w:rPr>
      </w:pPr>
    </w:p>
    <w:p w14:paraId="31D6B925" w14:textId="77777777" w:rsidR="00F1737A" w:rsidRPr="008B389B" w:rsidRDefault="00F1737A" w:rsidP="00F1737A">
      <w:pPr>
        <w:pStyle w:val="ListParagraph"/>
        <w:numPr>
          <w:ilvl w:val="0"/>
          <w:numId w:val="1"/>
        </w:numPr>
        <w:spacing w:line="360" w:lineRule="auto"/>
        <w:jc w:val="both"/>
        <w:rPr>
          <w:rFonts w:ascii="FrankRuehl" w:hAnsi="FrankRuehl"/>
          <w:sz w:val="28"/>
          <w:rtl/>
        </w:rPr>
      </w:pPr>
      <w:r w:rsidRPr="008B389B">
        <w:rPr>
          <w:rFonts w:ascii="FrankRuehl" w:hAnsi="FrankRuehl"/>
          <w:sz w:val="28"/>
          <w:rtl/>
        </w:rPr>
        <w:t>בתום דברי הסנגור, הביע הנאשם צער על מעשיו, אמר שהוא מודה בטעות שהוא עשה והוא משלם עליה, אמר שהוא לא רוצה שחייו יהרסו ושהוא רוצה להמשיך הלאה עם חייו.</w:t>
      </w:r>
    </w:p>
    <w:p w14:paraId="15899304" w14:textId="77777777" w:rsidR="00F1737A" w:rsidRPr="008B389B" w:rsidRDefault="00F1737A" w:rsidP="00F1737A">
      <w:pPr>
        <w:pStyle w:val="ListParagraph"/>
        <w:spacing w:line="360" w:lineRule="auto"/>
        <w:jc w:val="both"/>
        <w:rPr>
          <w:rFonts w:ascii="FrankRuehl" w:hAnsi="FrankRuehl"/>
          <w:sz w:val="28"/>
        </w:rPr>
      </w:pPr>
    </w:p>
    <w:p w14:paraId="59D9BA5F" w14:textId="77777777" w:rsidR="00F1737A" w:rsidRPr="00840E2D" w:rsidRDefault="00F1737A" w:rsidP="00F1737A">
      <w:pPr>
        <w:pStyle w:val="ListParagraph"/>
        <w:spacing w:line="360" w:lineRule="auto"/>
        <w:jc w:val="both"/>
        <w:rPr>
          <w:rFonts w:ascii="Miriam" w:hAnsi="Miriam" w:cs="Miriam"/>
          <w:szCs w:val="24"/>
          <w:rtl/>
        </w:rPr>
      </w:pPr>
      <w:r w:rsidRPr="00840E2D">
        <w:rPr>
          <w:rFonts w:ascii="Miriam" w:hAnsi="Miriam" w:cs="Miriam"/>
          <w:szCs w:val="24"/>
          <w:rtl/>
        </w:rPr>
        <w:t>דיון</w:t>
      </w:r>
    </w:p>
    <w:p w14:paraId="10CFB804" w14:textId="77777777" w:rsidR="00F1737A" w:rsidRPr="008B389B" w:rsidRDefault="00F1737A" w:rsidP="00F1737A">
      <w:pPr>
        <w:pStyle w:val="ListParagraph"/>
        <w:numPr>
          <w:ilvl w:val="0"/>
          <w:numId w:val="1"/>
        </w:numPr>
        <w:spacing w:line="360" w:lineRule="auto"/>
        <w:jc w:val="both"/>
        <w:rPr>
          <w:rFonts w:ascii="FrankRuehl" w:hAnsi="FrankRuehl"/>
          <w:color w:val="000000"/>
          <w:sz w:val="28"/>
        </w:rPr>
      </w:pPr>
      <w:r w:rsidRPr="008B389B">
        <w:rPr>
          <w:rFonts w:ascii="FrankRuehl" w:hAnsi="FrankRuehl"/>
          <w:color w:val="000000"/>
          <w:sz w:val="28"/>
          <w:rtl/>
        </w:rPr>
        <w:t>במקרה זה חל תיקון 113 לחוק שקובע כי "</w:t>
      </w:r>
      <w:r w:rsidRPr="008B389B">
        <w:rPr>
          <w:rFonts w:ascii="FrankRuehl" w:hAnsi="FrankRuehl"/>
          <w:sz w:val="28"/>
          <w:rtl/>
        </w:rPr>
        <w:t xml:space="preserve">העיקרון המנחה בענישה הוא קיומו של יחס הולם בין חומרת מעשה העבירה בנסיבותיו ומידת אשמו של הנאשם ובין סוג ומידת העונש המוטל </w:t>
      </w:r>
      <w:r w:rsidRPr="008B389B">
        <w:rPr>
          <w:rFonts w:ascii="FrankRuehl" w:hAnsi="FrankRuehl"/>
          <w:color w:val="000000"/>
          <w:sz w:val="28"/>
          <w:rtl/>
        </w:rPr>
        <w:t>עליו" (</w:t>
      </w:r>
      <w:hyperlink r:id="rId16" w:history="1">
        <w:r w:rsidR="00B744DB" w:rsidRPr="00B744DB">
          <w:rPr>
            <w:rFonts w:ascii="FrankRuehl" w:hAnsi="FrankRuehl"/>
            <w:color w:val="0000FF"/>
            <w:sz w:val="28"/>
            <w:u w:val="single"/>
            <w:rtl/>
          </w:rPr>
          <w:t>סעיף 40ב'</w:t>
        </w:r>
      </w:hyperlink>
      <w:r w:rsidRPr="008B389B">
        <w:rPr>
          <w:rFonts w:ascii="FrankRuehl" w:hAnsi="FrankRuehl"/>
          <w:color w:val="000000"/>
          <w:sz w:val="28"/>
          <w:rtl/>
        </w:rPr>
        <w:t xml:space="preserve"> לחוק).</w:t>
      </w:r>
    </w:p>
    <w:p w14:paraId="0BD31B57" w14:textId="77777777" w:rsidR="00F1737A" w:rsidRPr="008B389B" w:rsidRDefault="00F1737A" w:rsidP="00F1737A">
      <w:pPr>
        <w:pStyle w:val="ListParagraph"/>
        <w:spacing w:line="360" w:lineRule="auto"/>
        <w:jc w:val="both"/>
        <w:rPr>
          <w:rFonts w:ascii="FrankRuehl" w:hAnsi="FrankRuehl"/>
          <w:color w:val="000000"/>
          <w:sz w:val="28"/>
        </w:rPr>
      </w:pPr>
    </w:p>
    <w:p w14:paraId="3CCCA0B0" w14:textId="77777777" w:rsidR="00F1737A" w:rsidRPr="00840E2D" w:rsidRDefault="00F1737A" w:rsidP="00F1737A">
      <w:pPr>
        <w:pStyle w:val="ListParagraph"/>
        <w:spacing w:line="360" w:lineRule="auto"/>
        <w:jc w:val="both"/>
        <w:rPr>
          <w:rFonts w:ascii="Miriam" w:hAnsi="Miriam" w:cs="Miriam"/>
          <w:szCs w:val="24"/>
        </w:rPr>
      </w:pPr>
      <w:r w:rsidRPr="00840E2D">
        <w:rPr>
          <w:rFonts w:ascii="Miriam" w:hAnsi="Miriam" w:cs="Miriam"/>
          <w:szCs w:val="24"/>
          <w:rtl/>
        </w:rPr>
        <w:t>מתחם העונש ההולם</w:t>
      </w:r>
    </w:p>
    <w:p w14:paraId="113D4FBD" w14:textId="77777777" w:rsidR="00F1737A" w:rsidRDefault="00F1737A" w:rsidP="00F1737A">
      <w:pPr>
        <w:pStyle w:val="ListParagraph"/>
        <w:numPr>
          <w:ilvl w:val="0"/>
          <w:numId w:val="1"/>
        </w:numPr>
        <w:spacing w:line="360" w:lineRule="auto"/>
        <w:jc w:val="both"/>
        <w:rPr>
          <w:rFonts w:ascii="FrankRuehl" w:hAnsi="FrankRuehl"/>
          <w:sz w:val="28"/>
        </w:rPr>
      </w:pPr>
      <w:r w:rsidRPr="008B389B">
        <w:rPr>
          <w:rFonts w:ascii="FrankRuehl" w:hAnsi="FrankRuehl"/>
          <w:sz w:val="28"/>
          <w:rtl/>
        </w:rPr>
        <w:t>במקרה זה מדובר באירוע אחד המורכב משתי עבירות. הנאשם נשא והוביל אקדח ומחסנית הטעונה בשישה כדורים ממטע הזיתים הסמוך לביתו.  בנוסף, באותו יום, הנאשם החזיק באקדח בתוך נעל בחדר השינה של הוריו, ואת המחסנית עם הכדורים הסתיר בתוך נרתיק משקפיים באותו חדר.</w:t>
      </w:r>
    </w:p>
    <w:p w14:paraId="7828CA4B" w14:textId="77777777" w:rsidR="00F1737A" w:rsidRPr="008B389B" w:rsidRDefault="00F1737A" w:rsidP="00F1737A">
      <w:pPr>
        <w:pStyle w:val="ListParagraph"/>
        <w:spacing w:line="360" w:lineRule="auto"/>
        <w:jc w:val="both"/>
        <w:rPr>
          <w:rFonts w:ascii="FrankRuehl" w:hAnsi="FrankRuehl"/>
          <w:sz w:val="28"/>
          <w:rtl/>
        </w:rPr>
      </w:pPr>
    </w:p>
    <w:p w14:paraId="4FE587C5" w14:textId="77777777" w:rsidR="00F1737A" w:rsidRPr="008B389B" w:rsidRDefault="00F1737A" w:rsidP="00F1737A">
      <w:pPr>
        <w:spacing w:line="360" w:lineRule="auto"/>
        <w:ind w:left="720"/>
        <w:jc w:val="both"/>
        <w:rPr>
          <w:rFonts w:ascii="FrankRuehl" w:hAnsi="FrankRuehl" w:cs="FrankRuehl"/>
          <w:sz w:val="28"/>
          <w:szCs w:val="28"/>
          <w:rtl/>
        </w:rPr>
      </w:pPr>
      <w:r w:rsidRPr="008B389B">
        <w:rPr>
          <w:rFonts w:ascii="FrankRuehl" w:hAnsi="FrankRuehl" w:cs="FrankRuehl"/>
          <w:sz w:val="28"/>
          <w:szCs w:val="28"/>
          <w:rtl/>
        </w:rPr>
        <w:t xml:space="preserve">בכל עבירה בנשק יש פוטנציאל פגיעה משמעותי בערך החברתי של שלום הציבור וביטחונו וסיכון ממשי לחיי אדם. במקרה זה הפגיעה בערכים אלו לא הייתה גבוהה. </w:t>
      </w:r>
    </w:p>
    <w:p w14:paraId="33967964" w14:textId="77777777" w:rsidR="00F1737A" w:rsidRPr="008B389B" w:rsidRDefault="00F1737A" w:rsidP="00F1737A">
      <w:pPr>
        <w:pStyle w:val="ListParagraph"/>
        <w:spacing w:line="360" w:lineRule="auto"/>
        <w:jc w:val="both"/>
        <w:rPr>
          <w:rFonts w:ascii="FrankRuehl" w:hAnsi="FrankRuehl"/>
          <w:sz w:val="28"/>
          <w:rtl/>
        </w:rPr>
      </w:pPr>
    </w:p>
    <w:p w14:paraId="2EBBCF97" w14:textId="77777777" w:rsidR="00F1737A" w:rsidRPr="008B389B" w:rsidRDefault="00F1737A" w:rsidP="00F1737A">
      <w:pPr>
        <w:spacing w:line="360" w:lineRule="auto"/>
        <w:ind w:left="720"/>
        <w:jc w:val="both"/>
        <w:rPr>
          <w:rFonts w:ascii="FrankRuehl" w:hAnsi="FrankRuehl" w:cs="FrankRuehl"/>
          <w:sz w:val="28"/>
          <w:szCs w:val="28"/>
          <w:rtl/>
        </w:rPr>
      </w:pPr>
      <w:r w:rsidRPr="008B389B">
        <w:rPr>
          <w:rFonts w:ascii="FrankRuehl" w:hAnsi="FrankRuehl" w:cs="FrankRuehl"/>
          <w:sz w:val="28"/>
          <w:szCs w:val="28"/>
          <w:rtl/>
        </w:rPr>
        <w:t xml:space="preserve">אשר למדיניות הענישה הנהוגה, מנעד הענישה בעבירות בנשק רחב, בין השאר בהתחשב בסוג העבירה (החזקה, נשיאה, סחר), סוג הנשק וכמותו. במקרה זה מדובר בעבירת החזקה ונשיאה של נשק מסוג אקדח ואין להתעלם כי ביחד עם הנשק החזיק הנאשם מחסנית טעונה בכדורים.  </w:t>
      </w:r>
    </w:p>
    <w:p w14:paraId="76179AA9" w14:textId="77777777" w:rsidR="00F1737A" w:rsidRPr="008B389B" w:rsidRDefault="00F1737A" w:rsidP="00F1737A">
      <w:pPr>
        <w:spacing w:line="360" w:lineRule="auto"/>
        <w:ind w:left="720"/>
        <w:jc w:val="both"/>
        <w:rPr>
          <w:rFonts w:ascii="FrankRuehl" w:hAnsi="FrankRuehl" w:cs="FrankRuehl"/>
          <w:sz w:val="28"/>
          <w:szCs w:val="28"/>
          <w:rtl/>
        </w:rPr>
      </w:pPr>
    </w:p>
    <w:p w14:paraId="02953830" w14:textId="77777777" w:rsidR="00F1737A" w:rsidRPr="008B389B" w:rsidRDefault="00F1737A" w:rsidP="00F1737A">
      <w:pPr>
        <w:spacing w:line="360" w:lineRule="auto"/>
        <w:ind w:left="720"/>
        <w:jc w:val="both"/>
        <w:rPr>
          <w:rFonts w:ascii="FrankRuehl" w:hAnsi="FrankRuehl" w:cs="FrankRuehl"/>
          <w:sz w:val="28"/>
          <w:szCs w:val="28"/>
          <w:rtl/>
        </w:rPr>
      </w:pPr>
      <w:r w:rsidRPr="008B389B">
        <w:rPr>
          <w:rFonts w:ascii="FrankRuehl" w:hAnsi="FrankRuehl" w:cs="FrankRuehl"/>
          <w:sz w:val="28"/>
          <w:szCs w:val="28"/>
          <w:rtl/>
        </w:rPr>
        <w:t>זה המקום להזכיר כי לא בכדי העונש המרבי הקבוע בחוק בגין עבירה של נשיאה והובלת נשק עומד על 10 שנות מאסר (</w:t>
      </w:r>
      <w:hyperlink r:id="rId17" w:history="1">
        <w:r w:rsidR="00B744DB" w:rsidRPr="00B744DB">
          <w:rPr>
            <w:rFonts w:ascii="FrankRuehl" w:hAnsi="FrankRuehl" w:cs="FrankRuehl"/>
            <w:color w:val="0000FF"/>
            <w:sz w:val="28"/>
            <w:szCs w:val="28"/>
            <w:u w:val="single"/>
            <w:rtl/>
          </w:rPr>
          <w:t>סעיף 144(ב)</w:t>
        </w:r>
      </w:hyperlink>
      <w:r w:rsidRPr="008B389B">
        <w:rPr>
          <w:rFonts w:ascii="FrankRuehl" w:hAnsi="FrankRuehl" w:cs="FrankRuehl"/>
          <w:sz w:val="28"/>
          <w:szCs w:val="28"/>
          <w:rtl/>
        </w:rPr>
        <w:t xml:space="preserve"> לחוק) והעונש הקבוע על החזקת נשק עומד על 7 שנות מאסר (</w:t>
      </w:r>
      <w:hyperlink r:id="rId18" w:history="1">
        <w:r w:rsidR="00B744DB" w:rsidRPr="00B744DB">
          <w:rPr>
            <w:rFonts w:ascii="FrankRuehl" w:hAnsi="FrankRuehl" w:cs="FrankRuehl"/>
            <w:color w:val="0000FF"/>
            <w:sz w:val="28"/>
            <w:szCs w:val="28"/>
            <w:u w:val="single"/>
            <w:rtl/>
          </w:rPr>
          <w:t>סעיף 144(א)</w:t>
        </w:r>
      </w:hyperlink>
      <w:r w:rsidRPr="008B389B">
        <w:rPr>
          <w:rFonts w:ascii="FrankRuehl" w:hAnsi="FrankRuehl" w:cs="FrankRuehl"/>
          <w:sz w:val="28"/>
          <w:szCs w:val="28"/>
          <w:rtl/>
        </w:rPr>
        <w:t xml:space="preserve"> רישא).</w:t>
      </w:r>
    </w:p>
    <w:p w14:paraId="31994768" w14:textId="77777777" w:rsidR="00F1737A" w:rsidRPr="008B389B" w:rsidRDefault="00F1737A" w:rsidP="00F1737A">
      <w:pPr>
        <w:spacing w:line="360" w:lineRule="auto"/>
        <w:ind w:left="720"/>
        <w:jc w:val="both"/>
        <w:rPr>
          <w:rFonts w:ascii="FrankRuehl" w:hAnsi="FrankRuehl" w:cs="FrankRuehl"/>
          <w:sz w:val="28"/>
          <w:szCs w:val="28"/>
        </w:rPr>
      </w:pPr>
    </w:p>
    <w:p w14:paraId="60551C93" w14:textId="77777777" w:rsidR="00F1737A" w:rsidRPr="008B389B" w:rsidRDefault="00F1737A" w:rsidP="00F1737A">
      <w:pPr>
        <w:spacing w:line="360" w:lineRule="auto"/>
        <w:ind w:left="720"/>
        <w:jc w:val="both"/>
        <w:rPr>
          <w:rFonts w:ascii="FrankRuehl" w:hAnsi="FrankRuehl" w:cs="FrankRuehl"/>
          <w:sz w:val="28"/>
          <w:szCs w:val="28"/>
          <w:rtl/>
        </w:rPr>
      </w:pPr>
      <w:r w:rsidRPr="008B389B">
        <w:rPr>
          <w:rFonts w:ascii="FrankRuehl" w:hAnsi="FrankRuehl" w:cs="FrankRuehl"/>
          <w:sz w:val="28"/>
          <w:szCs w:val="28"/>
          <w:rtl/>
        </w:rPr>
        <w:t xml:space="preserve">בתי  המשפט עמדו לא פעם על החומרה הרבה הגלומה בעבירות בנשק, גם כאשר מדובר בעבירה של החזקה ונשיאה, </w:t>
      </w:r>
      <w:r w:rsidRPr="008B389B">
        <w:rPr>
          <w:rFonts w:ascii="FrankRuehl" w:hAnsi="FrankRuehl" w:cs="FrankRuehl"/>
          <w:color w:val="000000"/>
          <w:sz w:val="28"/>
          <w:szCs w:val="28"/>
          <w:rtl/>
        </w:rPr>
        <w:t>בין היתר בשל הפוטנציאל לגרימת נזק חמור יותר</w:t>
      </w:r>
      <w:r w:rsidRPr="008B389B">
        <w:rPr>
          <w:rFonts w:ascii="FrankRuehl" w:hAnsi="FrankRuehl" w:cs="FrankRuehl"/>
          <w:sz w:val="28"/>
          <w:szCs w:val="28"/>
          <w:rtl/>
        </w:rPr>
        <w:t xml:space="preserve">. </w:t>
      </w:r>
      <w:r w:rsidRPr="008B389B">
        <w:rPr>
          <w:rFonts w:ascii="FrankRuehl" w:hAnsi="FrankRuehl" w:cs="FrankRuehl"/>
          <w:spacing w:val="10"/>
          <w:sz w:val="28"/>
          <w:szCs w:val="28"/>
          <w:rtl/>
        </w:rPr>
        <w:t>ראו לעניין זה דברי כב' השופט סולברג ב</w:t>
      </w:r>
      <w:hyperlink r:id="rId19" w:history="1">
        <w:r w:rsidR="00606E7C" w:rsidRPr="00606E7C">
          <w:rPr>
            <w:rFonts w:ascii="FrankRuehl" w:hAnsi="FrankRuehl" w:cs="FrankRuehl"/>
            <w:color w:val="0000FF"/>
            <w:spacing w:val="10"/>
            <w:sz w:val="28"/>
            <w:szCs w:val="28"/>
            <w:u w:val="single"/>
            <w:rtl/>
          </w:rPr>
          <w:t>ע"פ  135/17</w:t>
        </w:r>
      </w:hyperlink>
      <w:r w:rsidRPr="008B389B">
        <w:rPr>
          <w:rFonts w:ascii="FrankRuehl" w:hAnsi="FrankRuehl" w:cs="FrankRuehl"/>
          <w:spacing w:val="10"/>
          <w:sz w:val="28"/>
          <w:szCs w:val="28"/>
          <w:rtl/>
        </w:rPr>
        <w:t xml:space="preserve"> </w:t>
      </w:r>
      <w:r w:rsidRPr="00840E2D">
        <w:rPr>
          <w:rFonts w:ascii="Miriam" w:hAnsi="Miriam" w:cs="Miriam"/>
          <w:spacing w:val="10"/>
          <w:rtl/>
        </w:rPr>
        <w:t>מדינת ישראל נגד בסל</w:t>
      </w:r>
      <w:r w:rsidRPr="008B389B">
        <w:rPr>
          <w:rFonts w:ascii="FrankRuehl" w:hAnsi="FrankRuehl" w:cs="FrankRuehl"/>
          <w:spacing w:val="10"/>
          <w:sz w:val="28"/>
          <w:szCs w:val="28"/>
          <w:rtl/>
        </w:rPr>
        <w:t xml:space="preserve"> (8.3.2018) אשר קובע כ</w:t>
      </w:r>
      <w:r>
        <w:rPr>
          <w:rFonts w:ascii="FrankRuehl" w:hAnsi="FrankRuehl" w:cs="FrankRuehl" w:hint="cs"/>
          <w:spacing w:val="10"/>
          <w:sz w:val="28"/>
          <w:szCs w:val="28"/>
          <w:rtl/>
        </w:rPr>
        <w:t>ך</w:t>
      </w:r>
      <w:r w:rsidRPr="008B389B">
        <w:rPr>
          <w:rFonts w:ascii="FrankRuehl" w:hAnsi="FrankRuehl" w:cs="FrankRuehl"/>
          <w:spacing w:val="10"/>
          <w:sz w:val="28"/>
          <w:szCs w:val="28"/>
          <w:rtl/>
        </w:rPr>
        <w:t>:</w:t>
      </w:r>
    </w:p>
    <w:p w14:paraId="3C36224C" w14:textId="77777777" w:rsidR="00F1737A" w:rsidRPr="008B389B" w:rsidRDefault="00F1737A" w:rsidP="00F1737A">
      <w:pPr>
        <w:ind w:left="1440" w:right="709"/>
        <w:jc w:val="both"/>
        <w:rPr>
          <w:rFonts w:ascii="FrankRuehl" w:hAnsi="FrankRuehl" w:cs="FrankRuehl"/>
          <w:spacing w:val="10"/>
          <w:sz w:val="28"/>
          <w:szCs w:val="28"/>
          <w:rtl/>
        </w:rPr>
      </w:pPr>
      <w:r w:rsidRPr="008B389B">
        <w:rPr>
          <w:rFonts w:ascii="FrankRuehl" w:hAnsi="FrankRuehl" w:cs="FrankRuehl"/>
          <w:spacing w:val="10"/>
          <w:sz w:val="28"/>
          <w:szCs w:val="28"/>
          <w:rtl/>
        </w:rPr>
        <w:t>"בית משפט זה עמד לא פעם על חומרתן של עבירות נשק, ובכללן עבירות של החזקת ונשיאת נשק, תוך שהוא מציין את חומרת המעשה ואת פוטנציאל הנזק הכרוך בו. נשק המתגלגל מיד ליד עלול להגיע לידי גורמים עברייניים או לפעילות ביטחונית, פגיעתו הרעה מורגשת ומהווה איום על שלום הציבור כולו; כתוצאה מכך גדל ההכרח להרתיע את היחיד והרבים מפני עיסוק בכך".</w:t>
      </w:r>
    </w:p>
    <w:p w14:paraId="03CE90DC" w14:textId="77777777" w:rsidR="00F1737A" w:rsidRPr="008B389B" w:rsidRDefault="00F1737A" w:rsidP="00F1737A">
      <w:pPr>
        <w:spacing w:line="360" w:lineRule="auto"/>
        <w:ind w:left="1080" w:right="851"/>
        <w:jc w:val="both"/>
        <w:rPr>
          <w:rFonts w:ascii="FrankRuehl" w:hAnsi="FrankRuehl" w:cs="FrankRuehl"/>
          <w:spacing w:val="10"/>
          <w:sz w:val="28"/>
          <w:szCs w:val="28"/>
          <w:rtl/>
        </w:rPr>
      </w:pPr>
    </w:p>
    <w:p w14:paraId="2697F3D5" w14:textId="77777777" w:rsidR="00F1737A" w:rsidRPr="008B389B" w:rsidRDefault="00F1737A" w:rsidP="00F1737A">
      <w:pPr>
        <w:spacing w:line="360" w:lineRule="auto"/>
        <w:ind w:left="720"/>
        <w:jc w:val="both"/>
        <w:outlineLvl w:val="0"/>
        <w:rPr>
          <w:rFonts w:ascii="FrankRuehl" w:hAnsi="FrankRuehl" w:cs="FrankRuehl"/>
          <w:sz w:val="28"/>
          <w:szCs w:val="28"/>
          <w:rtl/>
        </w:rPr>
      </w:pPr>
      <w:r w:rsidRPr="008B389B">
        <w:rPr>
          <w:rFonts w:ascii="FrankRuehl" w:hAnsi="FrankRuehl" w:cs="FrankRuehl"/>
          <w:sz w:val="28"/>
          <w:szCs w:val="28"/>
          <w:rtl/>
        </w:rPr>
        <w:t xml:space="preserve">עוד אפנה  </w:t>
      </w:r>
      <w:r w:rsidRPr="008B389B">
        <w:rPr>
          <w:rFonts w:ascii="FrankRuehl" w:hAnsi="FrankRuehl" w:cs="FrankRuehl"/>
          <w:spacing w:val="10"/>
          <w:sz w:val="28"/>
          <w:szCs w:val="28"/>
          <w:rtl/>
        </w:rPr>
        <w:t>ל</w:t>
      </w:r>
      <w:hyperlink r:id="rId20" w:history="1">
        <w:r w:rsidR="00606E7C" w:rsidRPr="00606E7C">
          <w:rPr>
            <w:rFonts w:ascii="FrankRuehl" w:hAnsi="FrankRuehl" w:cs="FrankRuehl"/>
            <w:color w:val="0000FF"/>
            <w:spacing w:val="10"/>
            <w:sz w:val="28"/>
            <w:szCs w:val="28"/>
            <w:u w:val="single"/>
            <w:rtl/>
          </w:rPr>
          <w:t>ע"פ 8846/15</w:t>
        </w:r>
      </w:hyperlink>
      <w:r w:rsidRPr="008B389B">
        <w:rPr>
          <w:rFonts w:ascii="FrankRuehl" w:hAnsi="FrankRuehl" w:cs="FrankRuehl"/>
          <w:sz w:val="28"/>
          <w:szCs w:val="28"/>
          <w:rtl/>
        </w:rPr>
        <w:t xml:space="preserve"> </w:t>
      </w:r>
      <w:r w:rsidRPr="00840E2D">
        <w:rPr>
          <w:rFonts w:ascii="Miriam" w:hAnsi="Miriam" w:cs="Miriam"/>
          <w:rtl/>
        </w:rPr>
        <w:t>דראז נגד מדינת ישראל</w:t>
      </w:r>
      <w:r w:rsidRPr="008B389B">
        <w:rPr>
          <w:rFonts w:ascii="FrankRuehl" w:hAnsi="FrankRuehl" w:cs="FrankRuehl"/>
          <w:sz w:val="28"/>
          <w:szCs w:val="28"/>
          <w:rtl/>
        </w:rPr>
        <w:t xml:space="preserve"> (13.3.2016) באותו מקרה נדחה ערעורו של נאשם שנדון ל-7 חודשי מאסר בפועל, בגין החזקת אקדח גנוב, שתי מחסניות וכדורים והפרעה לשוטר, בית משפט קמא קבע מתחם שבין 7 ל-20 חודשי מאסר בפועל וכך קבע בית המשפט העליון:</w:t>
      </w:r>
    </w:p>
    <w:p w14:paraId="2E71F6CA" w14:textId="77777777" w:rsidR="00F1737A" w:rsidRPr="008B389B" w:rsidRDefault="00F1737A" w:rsidP="00F1737A">
      <w:pPr>
        <w:tabs>
          <w:tab w:val="left" w:pos="800"/>
          <w:tab w:val="num" w:pos="907"/>
        </w:tabs>
        <w:overflowPunct w:val="0"/>
        <w:adjustRightInd w:val="0"/>
        <w:ind w:left="1440" w:right="720"/>
        <w:jc w:val="both"/>
        <w:rPr>
          <w:rFonts w:ascii="FrankRuehl" w:hAnsi="FrankRuehl" w:cs="FrankRuehl"/>
          <w:spacing w:val="10"/>
          <w:sz w:val="28"/>
          <w:szCs w:val="28"/>
          <w:rtl/>
        </w:rPr>
      </w:pPr>
      <w:r w:rsidRPr="008B389B">
        <w:rPr>
          <w:rFonts w:ascii="FrankRuehl" w:hAnsi="FrankRuehl" w:cs="FrankRuehl"/>
          <w:spacing w:val="10"/>
          <w:sz w:val="28"/>
          <w:szCs w:val="28"/>
          <w:rtl/>
        </w:rPr>
        <w:t xml:space="preserve">"בית משפט זה עמד לא פעם על החומרה הרבה הטמונה בהחזקה ובנשיאה של נשק שלא כדין ועל הצורך להרתיע מפני ביצוע עבירות כאלו בדרך של הטלת עונשי מאסר מאחורי סורג ובריח, גם כאשר מדובר בנאשמים נורמטיביים ונעדרי עבר פלילי". </w:t>
      </w:r>
    </w:p>
    <w:p w14:paraId="65157700" w14:textId="77777777" w:rsidR="00F1737A" w:rsidRPr="008B389B" w:rsidRDefault="00F1737A" w:rsidP="00F1737A">
      <w:pPr>
        <w:tabs>
          <w:tab w:val="left" w:pos="800"/>
          <w:tab w:val="num" w:pos="907"/>
        </w:tabs>
        <w:overflowPunct w:val="0"/>
        <w:adjustRightInd w:val="0"/>
        <w:spacing w:line="360" w:lineRule="auto"/>
        <w:ind w:right="720"/>
        <w:jc w:val="both"/>
        <w:rPr>
          <w:rFonts w:ascii="FrankRuehl" w:hAnsi="FrankRuehl" w:cs="FrankRuehl"/>
          <w:spacing w:val="10"/>
          <w:sz w:val="28"/>
          <w:szCs w:val="28"/>
          <w:rtl/>
        </w:rPr>
      </w:pPr>
    </w:p>
    <w:p w14:paraId="0383301E" w14:textId="77777777" w:rsidR="00F1737A" w:rsidRPr="008B389B" w:rsidRDefault="00F1737A" w:rsidP="00F1737A">
      <w:pPr>
        <w:pStyle w:val="ListParagraph"/>
        <w:numPr>
          <w:ilvl w:val="0"/>
          <w:numId w:val="1"/>
        </w:numPr>
        <w:spacing w:line="360" w:lineRule="auto"/>
        <w:jc w:val="both"/>
        <w:rPr>
          <w:rFonts w:ascii="FrankRuehl" w:hAnsi="FrankRuehl"/>
          <w:sz w:val="28"/>
          <w:rtl/>
        </w:rPr>
      </w:pPr>
      <w:r w:rsidRPr="008B389B">
        <w:rPr>
          <w:rFonts w:ascii="FrankRuehl" w:hAnsi="FrankRuehl"/>
          <w:sz w:val="28"/>
          <w:rtl/>
        </w:rPr>
        <w:t>ב"כ הצדדים פירטו מספר  פסקי דין לתמיכה במתחם הענישה שביקשו, רוב פסקי הדין אליהם הפנו וצרפו אינם של בית המשפט העליון. נוכח הע</w:t>
      </w:r>
      <w:r>
        <w:rPr>
          <w:rFonts w:ascii="FrankRuehl" w:hAnsi="FrankRuehl" w:hint="cs"/>
          <w:sz w:val="28"/>
          <w:rtl/>
        </w:rPr>
        <w:t>ו</w:t>
      </w:r>
      <w:r w:rsidRPr="008B389B">
        <w:rPr>
          <w:rFonts w:ascii="FrankRuehl" w:hAnsi="FrankRuehl"/>
          <w:sz w:val="28"/>
          <w:rtl/>
        </w:rPr>
        <w:t>בדה שלעבירות בנשק קיימת פסיקה לא מעטה של בית משפט העליון אתייחס לפסיקה רלבנטית מבית המשפט העליון.</w:t>
      </w:r>
    </w:p>
    <w:p w14:paraId="5AD99EB4" w14:textId="77777777" w:rsidR="00F1737A" w:rsidRPr="008B389B" w:rsidRDefault="00F1737A" w:rsidP="00F1737A">
      <w:pPr>
        <w:spacing w:line="360" w:lineRule="auto"/>
        <w:jc w:val="both"/>
        <w:rPr>
          <w:rFonts w:ascii="FrankRuehl" w:hAnsi="FrankRuehl" w:cs="FrankRuehl"/>
          <w:sz w:val="28"/>
          <w:szCs w:val="28"/>
        </w:rPr>
      </w:pPr>
    </w:p>
    <w:p w14:paraId="69AA34E2" w14:textId="77777777" w:rsidR="00F1737A" w:rsidRPr="008B389B" w:rsidRDefault="00F1737A" w:rsidP="00F1737A">
      <w:pPr>
        <w:spacing w:line="360" w:lineRule="auto"/>
        <w:ind w:left="720"/>
        <w:jc w:val="both"/>
        <w:rPr>
          <w:rFonts w:ascii="FrankRuehl" w:hAnsi="FrankRuehl" w:cs="FrankRuehl"/>
          <w:sz w:val="28"/>
          <w:szCs w:val="28"/>
          <w:rtl/>
        </w:rPr>
      </w:pPr>
      <w:r w:rsidRPr="008B389B">
        <w:rPr>
          <w:rFonts w:ascii="FrankRuehl" w:hAnsi="FrankRuehl" w:cs="FrankRuehl"/>
          <w:spacing w:val="10"/>
          <w:sz w:val="28"/>
          <w:szCs w:val="28"/>
          <w:rtl/>
        </w:rPr>
        <w:t>ב"כ המאשימה הפנה ל</w:t>
      </w:r>
      <w:hyperlink r:id="rId21" w:history="1">
        <w:r w:rsidR="00606E7C" w:rsidRPr="00606E7C">
          <w:rPr>
            <w:rFonts w:ascii="FrankRuehl" w:hAnsi="FrankRuehl" w:cs="FrankRuehl"/>
            <w:color w:val="0000FF"/>
            <w:spacing w:val="10"/>
            <w:sz w:val="28"/>
            <w:szCs w:val="28"/>
            <w:u w:val="single"/>
            <w:rtl/>
          </w:rPr>
          <w:t>ע"פ 9373/10</w:t>
        </w:r>
      </w:hyperlink>
      <w:r w:rsidRPr="008B389B">
        <w:rPr>
          <w:rFonts w:ascii="FrankRuehl" w:hAnsi="FrankRuehl" w:cs="FrankRuehl"/>
          <w:spacing w:val="10"/>
          <w:sz w:val="28"/>
          <w:szCs w:val="28"/>
          <w:rtl/>
        </w:rPr>
        <w:t xml:space="preserve"> </w:t>
      </w:r>
      <w:r w:rsidRPr="00840E2D">
        <w:rPr>
          <w:rFonts w:ascii="Miriam" w:hAnsi="Miriam" w:cs="Miriam"/>
          <w:spacing w:val="10"/>
          <w:rtl/>
        </w:rPr>
        <w:t>ותד נ' מדינת ישראל</w:t>
      </w:r>
      <w:r w:rsidRPr="008B389B">
        <w:rPr>
          <w:rFonts w:ascii="FrankRuehl" w:hAnsi="FrankRuehl" w:cs="FrankRuehl"/>
          <w:spacing w:val="10"/>
          <w:sz w:val="28"/>
          <w:szCs w:val="28"/>
          <w:rtl/>
        </w:rPr>
        <w:t xml:space="preserve"> (14.9.2011), בו המערער הורשע על יסוד הודאתו בעבירה של החזקה ונשיאה של נשק באופן בו </w:t>
      </w:r>
      <w:r w:rsidRPr="008B389B">
        <w:rPr>
          <w:rFonts w:ascii="FrankRuehl" w:hAnsi="FrankRuehl" w:cs="FrankRuehl"/>
          <w:sz w:val="28"/>
          <w:szCs w:val="28"/>
          <w:rtl/>
        </w:rPr>
        <w:t>אקדח ומחסנית בה היו 9 כדורים נמצאו מתחת למזרן בביתו ו-63 כדורים נוספים נמצאו מוטמנים בחצר.</w:t>
      </w:r>
      <w:r w:rsidRPr="008B389B">
        <w:rPr>
          <w:rFonts w:ascii="FrankRuehl" w:hAnsi="FrankRuehl" w:cs="FrankRuehl"/>
          <w:spacing w:val="10"/>
          <w:sz w:val="28"/>
          <w:szCs w:val="28"/>
          <w:rtl/>
        </w:rPr>
        <w:t xml:space="preserve"> המערער נידון בבית המשפט המחוזי ל-50 חודשי מאסר בפועל, בית משפט העליון הפחית את עונשו והעמידו על 30 חודשי מאסר בפועל.</w:t>
      </w:r>
    </w:p>
    <w:p w14:paraId="41BBA59B" w14:textId="77777777" w:rsidR="00F1737A" w:rsidRPr="008B389B" w:rsidRDefault="00F1737A" w:rsidP="00F1737A">
      <w:pPr>
        <w:spacing w:line="360" w:lineRule="auto"/>
        <w:ind w:left="720"/>
        <w:jc w:val="both"/>
        <w:rPr>
          <w:rFonts w:ascii="FrankRuehl" w:hAnsi="FrankRuehl" w:cs="FrankRuehl"/>
          <w:sz w:val="28"/>
          <w:szCs w:val="28"/>
          <w:rtl/>
        </w:rPr>
      </w:pPr>
    </w:p>
    <w:p w14:paraId="56CD0D8A" w14:textId="77777777" w:rsidR="00F1737A" w:rsidRPr="008B389B" w:rsidRDefault="00F1737A" w:rsidP="00F1737A">
      <w:pPr>
        <w:spacing w:line="360" w:lineRule="auto"/>
        <w:ind w:left="720"/>
        <w:jc w:val="both"/>
        <w:rPr>
          <w:rFonts w:ascii="FrankRuehl" w:hAnsi="FrankRuehl" w:cs="FrankRuehl"/>
          <w:sz w:val="28"/>
          <w:szCs w:val="28"/>
          <w:rtl/>
        </w:rPr>
      </w:pPr>
      <w:r w:rsidRPr="008B389B">
        <w:rPr>
          <w:rFonts w:ascii="FrankRuehl" w:hAnsi="FrankRuehl" w:cs="FrankRuehl"/>
          <w:sz w:val="28"/>
          <w:szCs w:val="28"/>
          <w:rtl/>
        </w:rPr>
        <w:t>בנוסף הפנה ל</w:t>
      </w:r>
      <w:hyperlink r:id="rId22" w:history="1">
        <w:r w:rsidR="00606E7C" w:rsidRPr="00606E7C">
          <w:rPr>
            <w:rFonts w:ascii="FrankRuehl" w:hAnsi="FrankRuehl" w:cs="FrankRuehl"/>
            <w:color w:val="0000FF"/>
            <w:sz w:val="28"/>
            <w:szCs w:val="28"/>
            <w:u w:val="single"/>
            <w:rtl/>
          </w:rPr>
          <w:t>ע"פ 3156/11</w:t>
        </w:r>
      </w:hyperlink>
      <w:r w:rsidRPr="008B389B">
        <w:rPr>
          <w:rFonts w:ascii="FrankRuehl" w:hAnsi="FrankRuehl" w:cs="FrankRuehl"/>
          <w:sz w:val="28"/>
          <w:szCs w:val="28"/>
          <w:rtl/>
        </w:rPr>
        <w:t xml:space="preserve"> </w:t>
      </w:r>
      <w:r w:rsidRPr="00840E2D">
        <w:rPr>
          <w:rFonts w:ascii="Miriam" w:hAnsi="Miriam" w:cs="Miriam"/>
          <w:spacing w:val="10"/>
          <w:rtl/>
        </w:rPr>
        <w:t>זראיעה נ' מדינת ישראל</w:t>
      </w:r>
      <w:r w:rsidRPr="008B389B">
        <w:rPr>
          <w:rFonts w:ascii="FrankRuehl" w:hAnsi="FrankRuehl" w:cs="FrankRuehl"/>
          <w:sz w:val="28"/>
          <w:szCs w:val="28"/>
          <w:rtl/>
        </w:rPr>
        <w:t xml:space="preserve"> (21.2.2012), בו המערער הורשע על פי הודאתו בעבירות של נשיאת והובלת נשק, והסתייעות ברכב לביצוע פשע, כאשר בעת חיפוש שגרתי של המשטרה ברכבו נתפסו אקדח, מחסנית טעונה בכדורי אקדח וקופסאות עם כדורי אקדח. בית המשפט המחוזי השית עליו עונש של 24 חודשי מאסר בפועל, ערעורו של הנאשם לבית המשפט העליון נדחה. ל</w:t>
      </w:r>
      <w:r>
        <w:rPr>
          <w:rFonts w:ascii="FrankRuehl" w:hAnsi="FrankRuehl" w:cs="FrankRuehl" w:hint="cs"/>
          <w:sz w:val="28"/>
          <w:szCs w:val="28"/>
          <w:rtl/>
        </w:rPr>
        <w:t>נאשם</w:t>
      </w:r>
      <w:r w:rsidRPr="008B389B">
        <w:rPr>
          <w:rFonts w:ascii="FrankRuehl" w:hAnsi="FrankRuehl" w:cs="FrankRuehl"/>
          <w:sz w:val="28"/>
          <w:szCs w:val="28"/>
          <w:rtl/>
        </w:rPr>
        <w:t xml:space="preserve"> לא היה עבר פלילי.</w:t>
      </w:r>
    </w:p>
    <w:p w14:paraId="138D45FF" w14:textId="77777777" w:rsidR="00F1737A" w:rsidRPr="008B389B" w:rsidRDefault="00F1737A" w:rsidP="00F1737A">
      <w:pPr>
        <w:spacing w:line="360" w:lineRule="auto"/>
        <w:ind w:left="720"/>
        <w:jc w:val="both"/>
        <w:rPr>
          <w:rFonts w:ascii="FrankRuehl" w:hAnsi="FrankRuehl" w:cs="FrankRuehl"/>
          <w:sz w:val="28"/>
          <w:szCs w:val="28"/>
          <w:rtl/>
        </w:rPr>
      </w:pPr>
    </w:p>
    <w:p w14:paraId="2DC2F977" w14:textId="77777777" w:rsidR="00F1737A" w:rsidRPr="008B389B" w:rsidRDefault="00F1737A" w:rsidP="00F1737A">
      <w:pPr>
        <w:spacing w:line="360" w:lineRule="auto"/>
        <w:ind w:left="720"/>
        <w:jc w:val="both"/>
        <w:rPr>
          <w:rFonts w:ascii="FrankRuehl" w:hAnsi="FrankRuehl" w:cs="FrankRuehl"/>
          <w:sz w:val="28"/>
          <w:szCs w:val="28"/>
          <w:rtl/>
        </w:rPr>
      </w:pPr>
      <w:r w:rsidRPr="008B389B">
        <w:rPr>
          <w:rFonts w:ascii="FrankRuehl" w:hAnsi="FrankRuehl" w:cs="FrankRuehl"/>
          <w:sz w:val="28"/>
          <w:szCs w:val="28"/>
          <w:rtl/>
        </w:rPr>
        <w:t xml:space="preserve">ב"כ הנאשם </w:t>
      </w:r>
      <w:r>
        <w:rPr>
          <w:rFonts w:ascii="FrankRuehl" w:hAnsi="FrankRuehl" w:cs="FrankRuehl" w:hint="cs"/>
          <w:sz w:val="28"/>
          <w:szCs w:val="28"/>
          <w:rtl/>
        </w:rPr>
        <w:t>הפנה ל</w:t>
      </w:r>
      <w:hyperlink r:id="rId23" w:history="1">
        <w:r w:rsidR="00606E7C" w:rsidRPr="00606E7C">
          <w:rPr>
            <w:rFonts w:ascii="FrankRuehl" w:hAnsi="FrankRuehl" w:cs="FrankRuehl"/>
            <w:color w:val="0000FF"/>
            <w:sz w:val="28"/>
            <w:szCs w:val="28"/>
            <w:u w:val="single"/>
            <w:rtl/>
          </w:rPr>
          <w:t>ע"פ 9702/16</w:t>
        </w:r>
      </w:hyperlink>
      <w:r w:rsidRPr="008B389B">
        <w:rPr>
          <w:rFonts w:ascii="FrankRuehl" w:hAnsi="FrankRuehl" w:cs="FrankRuehl"/>
          <w:sz w:val="28"/>
          <w:szCs w:val="28"/>
          <w:rtl/>
        </w:rPr>
        <w:t xml:space="preserve"> </w:t>
      </w:r>
      <w:r w:rsidRPr="00F25D49">
        <w:rPr>
          <w:rFonts w:ascii="Miriam" w:hAnsi="Miriam" w:cs="Miriam"/>
          <w:spacing w:val="10"/>
          <w:rtl/>
        </w:rPr>
        <w:t>אלוליאיה נ' מדינת ישראל</w:t>
      </w:r>
      <w:r w:rsidRPr="008B389B">
        <w:rPr>
          <w:rFonts w:ascii="FrankRuehl" w:hAnsi="FrankRuehl" w:cs="FrankRuehl"/>
          <w:sz w:val="28"/>
          <w:szCs w:val="28"/>
          <w:rtl/>
        </w:rPr>
        <w:t xml:space="preserve"> (13.9.2017),  בו הורשע המערער על יסוד הודאתו בעבירות של נשיאת והובלת נשק ותחמושת ללא רשות על כך </w:t>
      </w:r>
      <w:r w:rsidRPr="008B389B">
        <w:rPr>
          <w:rFonts w:ascii="FrankRuehl" w:hAnsi="FrankRuehl" w:cs="FrankRuehl"/>
          <w:spacing w:val="10"/>
          <w:sz w:val="28"/>
          <w:szCs w:val="28"/>
          <w:rtl/>
        </w:rPr>
        <w:t xml:space="preserve">לאחר שמצא תיק ובתוכו תת מקלע מאולתר, קת מתכתית המתאימה לרובה סער </w:t>
      </w:r>
      <w:r w:rsidRPr="00F25D49">
        <w:rPr>
          <w:rFonts w:ascii="FrankRuehl" w:hAnsi="FrankRuehl" w:cs="FrankRuehl"/>
          <w:spacing w:val="10"/>
        </w:rPr>
        <w:t>M-16</w:t>
      </w:r>
      <w:r w:rsidRPr="00F25D49">
        <w:rPr>
          <w:rFonts w:ascii="FrankRuehl" w:hAnsi="FrankRuehl" w:cs="FrankRuehl"/>
          <w:spacing w:val="10"/>
          <w:rtl/>
        </w:rPr>
        <w:t>,</w:t>
      </w:r>
      <w:r w:rsidRPr="008B389B">
        <w:rPr>
          <w:rFonts w:ascii="FrankRuehl" w:hAnsi="FrankRuehl" w:cs="FrankRuehl"/>
          <w:spacing w:val="10"/>
          <w:sz w:val="28"/>
          <w:szCs w:val="28"/>
          <w:rtl/>
        </w:rPr>
        <w:t xml:space="preserve"> שתי מחסניות ריקות וקופסה של 50 כדורי 9 מ"מ, לקח והחביא את הנשק והתחמושת במשך כחצי שנה בחנותו. </w:t>
      </w:r>
      <w:r w:rsidRPr="008B389B">
        <w:rPr>
          <w:rFonts w:ascii="FrankRuehl" w:hAnsi="FrankRuehl" w:cs="FrankRuehl"/>
          <w:sz w:val="28"/>
          <w:szCs w:val="28"/>
          <w:rtl/>
        </w:rPr>
        <w:t xml:space="preserve">בית </w:t>
      </w:r>
      <w:r>
        <w:rPr>
          <w:rFonts w:ascii="FrankRuehl" w:hAnsi="FrankRuehl" w:cs="FrankRuehl" w:hint="cs"/>
          <w:sz w:val="28"/>
          <w:szCs w:val="28"/>
          <w:rtl/>
        </w:rPr>
        <w:t>ה</w:t>
      </w:r>
      <w:r w:rsidRPr="008B389B">
        <w:rPr>
          <w:rFonts w:ascii="FrankRuehl" w:hAnsi="FrankRuehl" w:cs="FrankRuehl"/>
          <w:sz w:val="28"/>
          <w:szCs w:val="28"/>
          <w:rtl/>
        </w:rPr>
        <w:t xml:space="preserve">משפט המחוזי השית עליו 18 חודשי מאסר בפועל. בית משפט העליון קבע מתחם ענישה שנע בין 10 חודשים </w:t>
      </w:r>
      <w:r>
        <w:rPr>
          <w:rFonts w:ascii="FrankRuehl" w:hAnsi="FrankRuehl" w:cs="FrankRuehl" w:hint="cs"/>
          <w:sz w:val="28"/>
          <w:szCs w:val="28"/>
          <w:rtl/>
        </w:rPr>
        <w:t>ל</w:t>
      </w:r>
      <w:r w:rsidRPr="008B389B">
        <w:rPr>
          <w:rFonts w:ascii="FrankRuehl" w:hAnsi="FrankRuehl" w:cs="FrankRuehl"/>
          <w:sz w:val="28"/>
          <w:szCs w:val="28"/>
          <w:rtl/>
        </w:rPr>
        <w:t>-30 חודשי מאסר בפועל אולם בדעת רוב דחה את הערעור ולא התערב בעונש שהושת.</w:t>
      </w:r>
    </w:p>
    <w:p w14:paraId="2BE91C0E" w14:textId="77777777" w:rsidR="00F1737A" w:rsidRPr="008B389B" w:rsidRDefault="00F1737A" w:rsidP="00F1737A">
      <w:pPr>
        <w:spacing w:line="360" w:lineRule="auto"/>
        <w:ind w:left="720"/>
        <w:jc w:val="both"/>
        <w:rPr>
          <w:rFonts w:ascii="FrankRuehl" w:hAnsi="FrankRuehl" w:cs="FrankRuehl"/>
          <w:sz w:val="28"/>
          <w:szCs w:val="28"/>
          <w:rtl/>
        </w:rPr>
      </w:pPr>
    </w:p>
    <w:p w14:paraId="28E6060D" w14:textId="77777777" w:rsidR="00F1737A" w:rsidRPr="008B389B" w:rsidRDefault="00F1737A" w:rsidP="00F1737A">
      <w:pPr>
        <w:spacing w:line="360" w:lineRule="auto"/>
        <w:ind w:left="720"/>
        <w:jc w:val="both"/>
        <w:outlineLvl w:val="0"/>
        <w:rPr>
          <w:rFonts w:ascii="FrankRuehl" w:hAnsi="FrankRuehl" w:cs="FrankRuehl"/>
          <w:sz w:val="28"/>
          <w:szCs w:val="28"/>
          <w:rtl/>
        </w:rPr>
      </w:pPr>
      <w:r w:rsidRPr="008B389B">
        <w:rPr>
          <w:rFonts w:ascii="FrankRuehl" w:hAnsi="FrankRuehl" w:cs="FrankRuehl"/>
          <w:sz w:val="28"/>
          <w:szCs w:val="28"/>
          <w:rtl/>
        </w:rPr>
        <w:t>ב</w:t>
      </w:r>
      <w:hyperlink r:id="rId24" w:history="1">
        <w:r w:rsidR="00606E7C" w:rsidRPr="00606E7C">
          <w:rPr>
            <w:rFonts w:ascii="FrankRuehl" w:hAnsi="FrankRuehl" w:cs="FrankRuehl"/>
            <w:color w:val="0000FF"/>
            <w:sz w:val="28"/>
            <w:szCs w:val="28"/>
            <w:u w:val="single"/>
            <w:rtl/>
          </w:rPr>
          <w:t>ע"פ 5646/15</w:t>
        </w:r>
      </w:hyperlink>
      <w:r w:rsidRPr="008B389B">
        <w:rPr>
          <w:rFonts w:ascii="FrankRuehl" w:hAnsi="FrankRuehl" w:cs="FrankRuehl"/>
          <w:sz w:val="28"/>
          <w:szCs w:val="28"/>
          <w:rtl/>
        </w:rPr>
        <w:t xml:space="preserve"> </w:t>
      </w:r>
      <w:r w:rsidRPr="00F25D49">
        <w:rPr>
          <w:rFonts w:ascii="Miriam" w:hAnsi="Miriam" w:cs="Miriam"/>
          <w:rtl/>
        </w:rPr>
        <w:t>תיהאווי נגד מדינת ישראל</w:t>
      </w:r>
      <w:r w:rsidRPr="008B389B">
        <w:rPr>
          <w:rFonts w:ascii="FrankRuehl" w:hAnsi="FrankRuehl" w:cs="FrankRuehl"/>
          <w:sz w:val="28"/>
          <w:szCs w:val="28"/>
          <w:rtl/>
        </w:rPr>
        <w:t xml:space="preserve"> (14.2.2016), הטיל בית המשפט המחוזי עונש של 15 חודשי מאסר בפועל, בתוך מתחם שבין 9 ל-36 חודשי מאסר בגין החזקת אקדח טעון עם מחסנית וכדורים שנמצא ברכב מתחת לרגליו של הנאשם, העבירות בוצעו על רקע של סכסוך פעיל. בית המשפט העליון  אישר את פסק הדין וקבע:</w:t>
      </w:r>
    </w:p>
    <w:p w14:paraId="1B82E6B5" w14:textId="77777777" w:rsidR="00F1737A" w:rsidRPr="008B389B" w:rsidRDefault="00F1737A" w:rsidP="00F1737A">
      <w:pPr>
        <w:ind w:left="1440" w:right="851"/>
        <w:jc w:val="both"/>
        <w:outlineLvl w:val="0"/>
        <w:rPr>
          <w:rFonts w:ascii="FrankRuehl" w:hAnsi="FrankRuehl" w:cs="FrankRuehl"/>
          <w:sz w:val="28"/>
          <w:szCs w:val="28"/>
          <w:rtl/>
        </w:rPr>
      </w:pPr>
      <w:r w:rsidRPr="008B389B">
        <w:rPr>
          <w:rFonts w:ascii="FrankRuehl" w:hAnsi="FrankRuehl" w:cs="FrankRuehl"/>
          <w:sz w:val="28"/>
          <w:szCs w:val="28"/>
          <w:rtl/>
        </w:rPr>
        <w:t>"החזקת נשק שלא כדין היא עבירה חמורה המאיימת על שלום הציבור ובטחונו ומגלמת בתוכה פוטנציאל לגרימת נזק קטלני. על כן, היא מחייבת ענישה אשר תרתיע את היחיד והרבים. "יש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 (</w:t>
      </w:r>
      <w:hyperlink r:id="rId25" w:history="1">
        <w:r w:rsidR="00606E7C" w:rsidRPr="00606E7C">
          <w:rPr>
            <w:rFonts w:ascii="FrankRuehl" w:hAnsi="FrankRuehl" w:cs="FrankRuehl"/>
            <w:color w:val="0000FF"/>
            <w:sz w:val="28"/>
            <w:szCs w:val="28"/>
            <w:u w:val="single"/>
            <w:rtl/>
          </w:rPr>
          <w:t>ע"פ 3300/06</w:t>
        </w:r>
      </w:hyperlink>
      <w:r w:rsidRPr="008B389B">
        <w:rPr>
          <w:rFonts w:ascii="FrankRuehl" w:hAnsi="FrankRuehl" w:cs="FrankRuehl"/>
          <w:sz w:val="28"/>
          <w:szCs w:val="28"/>
          <w:rtl/>
        </w:rPr>
        <w:t xml:space="preserve"> </w:t>
      </w:r>
      <w:r w:rsidRPr="00F25D49">
        <w:rPr>
          <w:rFonts w:ascii="Miriam" w:hAnsi="Miriam" w:cs="Miriam"/>
          <w:rtl/>
        </w:rPr>
        <w:t>אבו סנינה נ' מדינת ישראל</w:t>
      </w:r>
      <w:r w:rsidRPr="008B389B">
        <w:rPr>
          <w:rFonts w:ascii="FrankRuehl" w:hAnsi="FrankRuehl" w:cs="FrankRuehl"/>
          <w:sz w:val="28"/>
          <w:szCs w:val="28"/>
          <w:rtl/>
        </w:rPr>
        <w:t xml:space="preserve"> (15.08.2006))".</w:t>
      </w:r>
    </w:p>
    <w:p w14:paraId="07D97A42" w14:textId="77777777" w:rsidR="00F1737A" w:rsidRPr="008B389B" w:rsidRDefault="00F1737A" w:rsidP="00F1737A">
      <w:pPr>
        <w:spacing w:line="360" w:lineRule="auto"/>
        <w:ind w:left="1440" w:right="851"/>
        <w:jc w:val="both"/>
        <w:outlineLvl w:val="0"/>
        <w:rPr>
          <w:rFonts w:ascii="FrankRuehl" w:hAnsi="FrankRuehl" w:cs="FrankRuehl"/>
          <w:sz w:val="28"/>
          <w:szCs w:val="28"/>
          <w:rtl/>
        </w:rPr>
      </w:pPr>
    </w:p>
    <w:p w14:paraId="3D33FAE9" w14:textId="77777777" w:rsidR="00F1737A" w:rsidRPr="008B389B" w:rsidRDefault="00F1737A" w:rsidP="00F1737A">
      <w:pPr>
        <w:spacing w:line="360" w:lineRule="auto"/>
        <w:ind w:left="720"/>
        <w:jc w:val="both"/>
        <w:outlineLvl w:val="0"/>
        <w:rPr>
          <w:rFonts w:ascii="FrankRuehl" w:hAnsi="FrankRuehl" w:cs="FrankRuehl"/>
          <w:sz w:val="28"/>
          <w:szCs w:val="28"/>
          <w:rtl/>
        </w:rPr>
      </w:pPr>
      <w:r w:rsidRPr="008B389B">
        <w:rPr>
          <w:rFonts w:ascii="FrankRuehl" w:hAnsi="FrankRuehl" w:cs="FrankRuehl"/>
          <w:sz w:val="28"/>
          <w:szCs w:val="28"/>
          <w:rtl/>
        </w:rPr>
        <w:t>ב</w:t>
      </w:r>
      <w:hyperlink r:id="rId26" w:history="1">
        <w:r w:rsidR="00606E7C" w:rsidRPr="00606E7C">
          <w:rPr>
            <w:rFonts w:ascii="FrankRuehl" w:hAnsi="FrankRuehl" w:cs="FrankRuehl"/>
            <w:color w:val="0000FF"/>
            <w:sz w:val="28"/>
            <w:szCs w:val="28"/>
            <w:u w:val="single"/>
            <w:rtl/>
          </w:rPr>
          <w:t>ע"פ 4982/15</w:t>
        </w:r>
      </w:hyperlink>
      <w:r w:rsidRPr="008B389B">
        <w:rPr>
          <w:rFonts w:ascii="FrankRuehl" w:hAnsi="FrankRuehl" w:cs="FrankRuehl"/>
          <w:sz w:val="28"/>
          <w:szCs w:val="28"/>
          <w:rtl/>
        </w:rPr>
        <w:t xml:space="preserve"> </w:t>
      </w:r>
      <w:r w:rsidRPr="00F25D49">
        <w:rPr>
          <w:rFonts w:ascii="Miriam" w:hAnsi="Miriam" w:cs="Miriam"/>
          <w:rtl/>
        </w:rPr>
        <w:t>שחיטה נגד מדינת ישראל</w:t>
      </w:r>
      <w:r w:rsidRPr="008B389B">
        <w:rPr>
          <w:rFonts w:ascii="FrankRuehl" w:hAnsi="FrankRuehl" w:cs="FrankRuehl"/>
          <w:sz w:val="28"/>
          <w:szCs w:val="28"/>
          <w:rtl/>
        </w:rPr>
        <w:t xml:space="preserve"> (3.9.2015), נדון ענינו של נאשם שהורשע בנשיאה של אקדח לא תקין עם מחסנית ריקה, בית המשפט המחוזי הטיל עליו 20 חודשי מאסר בפועל (במתחם שבין 12 ל-36 חודשי מאסר בפועל), בית המשפט העליון הפחית את העונש  ל-16 חודשי מאסר בפועל.</w:t>
      </w:r>
    </w:p>
    <w:p w14:paraId="0E2D9AAF" w14:textId="77777777" w:rsidR="00F1737A" w:rsidRPr="008B389B" w:rsidRDefault="00F1737A" w:rsidP="00F1737A">
      <w:pPr>
        <w:spacing w:line="360" w:lineRule="auto"/>
        <w:jc w:val="both"/>
        <w:outlineLvl w:val="0"/>
        <w:rPr>
          <w:rFonts w:ascii="FrankRuehl" w:hAnsi="FrankRuehl" w:cs="FrankRuehl"/>
          <w:sz w:val="28"/>
          <w:szCs w:val="28"/>
          <w:rtl/>
        </w:rPr>
      </w:pPr>
    </w:p>
    <w:p w14:paraId="0693DD7B" w14:textId="77777777" w:rsidR="00F1737A" w:rsidRPr="008B389B" w:rsidRDefault="00F1737A" w:rsidP="00F1737A">
      <w:pPr>
        <w:spacing w:line="360" w:lineRule="auto"/>
        <w:ind w:left="720"/>
        <w:jc w:val="both"/>
        <w:outlineLvl w:val="0"/>
        <w:rPr>
          <w:rFonts w:ascii="FrankRuehl" w:hAnsi="FrankRuehl" w:cs="FrankRuehl"/>
          <w:spacing w:val="10"/>
          <w:sz w:val="28"/>
          <w:szCs w:val="28"/>
          <w:rtl/>
        </w:rPr>
      </w:pPr>
      <w:r w:rsidRPr="008B389B">
        <w:rPr>
          <w:rFonts w:ascii="FrankRuehl" w:hAnsi="FrankRuehl" w:cs="FrankRuehl"/>
          <w:sz w:val="28"/>
          <w:szCs w:val="28"/>
          <w:rtl/>
        </w:rPr>
        <w:t>ב</w:t>
      </w:r>
      <w:hyperlink r:id="rId27" w:history="1">
        <w:r w:rsidR="00606E7C" w:rsidRPr="00606E7C">
          <w:rPr>
            <w:rFonts w:ascii="FrankRuehl" w:hAnsi="FrankRuehl" w:cs="FrankRuehl"/>
            <w:color w:val="0000FF"/>
            <w:sz w:val="28"/>
            <w:szCs w:val="28"/>
            <w:u w:val="single"/>
            <w:rtl/>
          </w:rPr>
          <w:t>ע"פ 2398/14</w:t>
        </w:r>
      </w:hyperlink>
      <w:r w:rsidRPr="008B389B">
        <w:rPr>
          <w:rFonts w:ascii="FrankRuehl" w:hAnsi="FrankRuehl" w:cs="FrankRuehl"/>
          <w:sz w:val="28"/>
          <w:szCs w:val="28"/>
          <w:rtl/>
        </w:rPr>
        <w:t xml:space="preserve"> </w:t>
      </w:r>
      <w:r w:rsidRPr="00F25D49">
        <w:rPr>
          <w:rFonts w:ascii="Miriam" w:hAnsi="Miriam" w:cs="Miriam"/>
          <w:rtl/>
        </w:rPr>
        <w:t>אלהזייל נגד מדינת ישראל</w:t>
      </w:r>
      <w:r w:rsidRPr="008B389B">
        <w:rPr>
          <w:rFonts w:ascii="FrankRuehl" w:hAnsi="FrankRuehl" w:cs="FrankRuehl"/>
          <w:sz w:val="28"/>
          <w:szCs w:val="28"/>
          <w:rtl/>
        </w:rPr>
        <w:t xml:space="preserve"> (8.7.2014) נתברר  עניינו של נאשם שהחזיק ברכבו אקדח, מחסנית וכדורים, הוא נדון ל-13 חודשי מאסר (המתחם שנקבע הועמד על 10-24 חודשי מאסר). בית המשפט דחה את הערעור. </w:t>
      </w:r>
    </w:p>
    <w:p w14:paraId="71A46A1C" w14:textId="77777777" w:rsidR="00F1737A" w:rsidRPr="008B389B" w:rsidRDefault="00F1737A" w:rsidP="00F1737A">
      <w:pPr>
        <w:spacing w:line="360" w:lineRule="auto"/>
        <w:ind w:left="1080" w:right="851"/>
        <w:jc w:val="both"/>
        <w:rPr>
          <w:rFonts w:ascii="FrankRuehl" w:hAnsi="FrankRuehl" w:cs="FrankRuehl"/>
          <w:spacing w:val="10"/>
          <w:sz w:val="28"/>
          <w:szCs w:val="28"/>
          <w:rtl/>
        </w:rPr>
      </w:pPr>
    </w:p>
    <w:p w14:paraId="4B879760" w14:textId="77777777" w:rsidR="00F1737A" w:rsidRPr="008B389B" w:rsidRDefault="00F1737A" w:rsidP="00F1737A">
      <w:pPr>
        <w:pStyle w:val="2"/>
        <w:spacing w:line="360" w:lineRule="auto"/>
        <w:jc w:val="both"/>
        <w:outlineLvl w:val="0"/>
        <w:rPr>
          <w:rFonts w:ascii="FrankRuehl" w:hAnsi="FrankRuehl" w:cs="FrankRuehl"/>
          <w:sz w:val="28"/>
          <w:szCs w:val="28"/>
          <w:rtl/>
        </w:rPr>
      </w:pPr>
      <w:r w:rsidRPr="008B389B">
        <w:rPr>
          <w:rFonts w:ascii="FrankRuehl" w:hAnsi="FrankRuehl" w:cs="FrankRuehl"/>
          <w:sz w:val="28"/>
          <w:szCs w:val="28"/>
          <w:rtl/>
        </w:rPr>
        <w:t>אשר לנסיבות הקשורות בביצוע העבירה (</w:t>
      </w:r>
      <w:hyperlink r:id="rId28" w:history="1">
        <w:r w:rsidR="00B744DB" w:rsidRPr="00B744DB">
          <w:rPr>
            <w:rFonts w:ascii="FrankRuehl" w:hAnsi="FrankRuehl" w:cs="FrankRuehl"/>
            <w:color w:val="0000FF"/>
            <w:sz w:val="28"/>
            <w:szCs w:val="28"/>
            <w:u w:val="single"/>
            <w:rtl/>
          </w:rPr>
          <w:t>סעיף 40ט</w:t>
        </w:r>
      </w:hyperlink>
      <w:r w:rsidRPr="008B389B">
        <w:rPr>
          <w:rFonts w:ascii="FrankRuehl" w:hAnsi="FrankRuehl" w:cs="FrankRuehl"/>
          <w:sz w:val="28"/>
          <w:szCs w:val="28"/>
          <w:rtl/>
        </w:rPr>
        <w:t xml:space="preserve"> לחוק), המעשים נעשו מתוך מודעות, הנאשם נשא והוביל את הנשק והתחמושת על מנת להחביאם בביתו.</w:t>
      </w:r>
    </w:p>
    <w:p w14:paraId="2BC72A99" w14:textId="77777777" w:rsidR="00F1737A" w:rsidRDefault="00F1737A" w:rsidP="00F1737A">
      <w:pPr>
        <w:pStyle w:val="ListParagraph"/>
        <w:spacing w:line="360" w:lineRule="auto"/>
        <w:jc w:val="both"/>
        <w:rPr>
          <w:rFonts w:ascii="FrankRuehl" w:hAnsi="FrankRuehl"/>
          <w:sz w:val="28"/>
          <w:rtl/>
        </w:rPr>
      </w:pPr>
    </w:p>
    <w:p w14:paraId="12B9F891" w14:textId="77777777" w:rsidR="00F1737A" w:rsidRPr="008B389B" w:rsidRDefault="00F1737A" w:rsidP="00F1737A">
      <w:pPr>
        <w:pStyle w:val="ListParagraph"/>
        <w:spacing w:line="360" w:lineRule="auto"/>
        <w:jc w:val="both"/>
        <w:rPr>
          <w:rFonts w:ascii="FrankRuehl" w:hAnsi="FrankRuehl"/>
          <w:sz w:val="28"/>
          <w:u w:val="single"/>
          <w:rtl/>
        </w:rPr>
      </w:pPr>
      <w:r w:rsidRPr="008B389B">
        <w:rPr>
          <w:rFonts w:ascii="FrankRuehl" w:hAnsi="FrankRuehl"/>
          <w:sz w:val="28"/>
          <w:rtl/>
        </w:rPr>
        <w:t xml:space="preserve">בהתחשב בערכים החברתיים שנפגעו מביצוע העבירות במידת הפגיעה בהם, במדיניות הענישה הנהוגה ובנסיבות הקשורות בביצוע העבירה אני קובע כי העונש ההולם במקרה זה הוא מאסר </w:t>
      </w:r>
      <w:r>
        <w:rPr>
          <w:rFonts w:ascii="FrankRuehl" w:hAnsi="FrankRuehl" w:hint="cs"/>
          <w:sz w:val="28"/>
          <w:rtl/>
        </w:rPr>
        <w:t xml:space="preserve">בפועל </w:t>
      </w:r>
      <w:r w:rsidRPr="008B389B">
        <w:rPr>
          <w:rFonts w:ascii="FrankRuehl" w:hAnsi="FrankRuehl"/>
          <w:sz w:val="28"/>
          <w:rtl/>
        </w:rPr>
        <w:t xml:space="preserve">במתחם שבין </w:t>
      </w:r>
      <w:r w:rsidRPr="008B389B">
        <w:rPr>
          <w:rFonts w:ascii="FrankRuehl" w:hAnsi="FrankRuehl"/>
          <w:sz w:val="28"/>
          <w:u w:val="single"/>
          <w:rtl/>
        </w:rPr>
        <w:t>10</w:t>
      </w:r>
      <w:r w:rsidRPr="008B389B">
        <w:rPr>
          <w:rFonts w:ascii="FrankRuehl" w:hAnsi="FrankRuehl"/>
          <w:sz w:val="28"/>
          <w:rtl/>
        </w:rPr>
        <w:t xml:space="preserve"> לבין </w:t>
      </w:r>
      <w:r w:rsidRPr="008B389B">
        <w:rPr>
          <w:rFonts w:ascii="FrankRuehl" w:hAnsi="FrankRuehl"/>
          <w:sz w:val="28"/>
          <w:u w:val="single"/>
          <w:rtl/>
        </w:rPr>
        <w:t xml:space="preserve">30 </w:t>
      </w:r>
      <w:r w:rsidRPr="008B389B">
        <w:rPr>
          <w:rFonts w:ascii="FrankRuehl" w:hAnsi="FrankRuehl"/>
          <w:sz w:val="28"/>
          <w:rtl/>
        </w:rPr>
        <w:t>חודשי מאסר בפועל.</w:t>
      </w:r>
    </w:p>
    <w:p w14:paraId="03818302" w14:textId="77777777" w:rsidR="00F1737A" w:rsidRPr="008B389B" w:rsidRDefault="00F1737A" w:rsidP="00F1737A">
      <w:pPr>
        <w:pStyle w:val="ListParagraph"/>
        <w:spacing w:line="360" w:lineRule="auto"/>
        <w:jc w:val="both"/>
        <w:rPr>
          <w:rFonts w:ascii="FrankRuehl" w:hAnsi="FrankRuehl"/>
          <w:sz w:val="28"/>
          <w:u w:val="single"/>
          <w:rtl/>
        </w:rPr>
      </w:pPr>
    </w:p>
    <w:p w14:paraId="1A8B9D46" w14:textId="77777777" w:rsidR="00F1737A" w:rsidRPr="00F25D49" w:rsidRDefault="00F1737A" w:rsidP="00F1737A">
      <w:pPr>
        <w:spacing w:line="360" w:lineRule="auto"/>
        <w:ind w:left="720"/>
        <w:jc w:val="both"/>
        <w:rPr>
          <w:rFonts w:ascii="Miriam" w:hAnsi="Miriam" w:cs="Miriam"/>
          <w:rtl/>
        </w:rPr>
      </w:pPr>
      <w:r w:rsidRPr="00F25D49">
        <w:rPr>
          <w:rFonts w:ascii="Miriam" w:hAnsi="Miriam" w:cs="Miriam"/>
          <w:rtl/>
        </w:rPr>
        <w:t>העונש המתאים</w:t>
      </w:r>
    </w:p>
    <w:p w14:paraId="791D4D15" w14:textId="77777777" w:rsidR="00F1737A" w:rsidRPr="008B389B" w:rsidRDefault="00F1737A" w:rsidP="00F1737A">
      <w:pPr>
        <w:pStyle w:val="2"/>
        <w:numPr>
          <w:ilvl w:val="0"/>
          <w:numId w:val="1"/>
        </w:numPr>
        <w:spacing w:line="360" w:lineRule="auto"/>
        <w:jc w:val="both"/>
        <w:rPr>
          <w:rFonts w:ascii="FrankRuehl" w:hAnsi="FrankRuehl" w:cs="FrankRuehl"/>
          <w:sz w:val="28"/>
          <w:szCs w:val="28"/>
          <w:u w:val="single"/>
          <w:rtl/>
        </w:rPr>
      </w:pPr>
      <w:r w:rsidRPr="008B389B">
        <w:rPr>
          <w:rFonts w:ascii="FrankRuehl" w:hAnsi="FrankRuehl" w:cs="FrankRuehl"/>
          <w:sz w:val="28"/>
          <w:szCs w:val="28"/>
          <w:rtl/>
        </w:rPr>
        <w:t>לפי תסקיר שירות המבחן הנאשם מתקשה לקחת אחריות באופן מלא על ביצוע העבירה והמניעים שגרמו לביצועה ועל כן אין בעניינו המלצה בעלת אופי טיפולי או חלופה עונשית שתסייע בהפחתת הסיכון.  בנוסף, לא מצאתי בטענות הסנגור או בתסקיר שירות המבחן סיבה לסטות ממתחם הענישה שקבעתי ועל כן העונש יהיה בתוך המתחם.</w:t>
      </w:r>
    </w:p>
    <w:p w14:paraId="742329D8" w14:textId="77777777" w:rsidR="00F1737A" w:rsidRPr="008B389B" w:rsidRDefault="00F1737A" w:rsidP="00F1737A">
      <w:pPr>
        <w:pStyle w:val="2"/>
        <w:spacing w:line="360" w:lineRule="auto"/>
        <w:jc w:val="both"/>
        <w:rPr>
          <w:rFonts w:ascii="FrankRuehl" w:hAnsi="FrankRuehl" w:cs="FrankRuehl"/>
          <w:sz w:val="28"/>
          <w:szCs w:val="28"/>
          <w:u w:val="single"/>
        </w:rPr>
      </w:pPr>
    </w:p>
    <w:p w14:paraId="04093032" w14:textId="77777777" w:rsidR="00F1737A" w:rsidRPr="008B389B" w:rsidRDefault="00F1737A" w:rsidP="00F1737A">
      <w:pPr>
        <w:pStyle w:val="ListParagraph"/>
        <w:spacing w:line="360" w:lineRule="auto"/>
        <w:jc w:val="both"/>
        <w:rPr>
          <w:rFonts w:ascii="FrankRuehl" w:hAnsi="FrankRuehl"/>
          <w:sz w:val="28"/>
          <w:rtl/>
        </w:rPr>
      </w:pPr>
      <w:r w:rsidRPr="008B389B">
        <w:rPr>
          <w:rFonts w:ascii="FrankRuehl" w:hAnsi="FrankRuehl"/>
          <w:sz w:val="28"/>
          <w:rtl/>
        </w:rPr>
        <w:t xml:space="preserve">לעניין הנסיבות שאינן קשורות בביצוע העבירה לפי </w:t>
      </w:r>
      <w:hyperlink r:id="rId29" w:history="1">
        <w:r w:rsidR="00B744DB" w:rsidRPr="00B744DB">
          <w:rPr>
            <w:rFonts w:ascii="FrankRuehl" w:hAnsi="FrankRuehl"/>
            <w:color w:val="0000FF"/>
            <w:sz w:val="28"/>
            <w:u w:val="single"/>
            <w:rtl/>
          </w:rPr>
          <w:t>סעיף 40יא'</w:t>
        </w:r>
      </w:hyperlink>
      <w:r w:rsidRPr="008B389B">
        <w:rPr>
          <w:rFonts w:ascii="FrankRuehl" w:hAnsi="FrankRuehl"/>
          <w:sz w:val="28"/>
          <w:rtl/>
        </w:rPr>
        <w:t xml:space="preserve"> לחוק, א</w:t>
      </w:r>
      <w:r>
        <w:rPr>
          <w:rFonts w:ascii="FrankRuehl" w:hAnsi="FrankRuehl" w:hint="cs"/>
          <w:sz w:val="28"/>
          <w:rtl/>
        </w:rPr>
        <w:t xml:space="preserve">זקוף </w:t>
      </w:r>
      <w:r w:rsidRPr="008B389B">
        <w:rPr>
          <w:rFonts w:ascii="FrankRuehl" w:hAnsi="FrankRuehl"/>
          <w:sz w:val="28"/>
          <w:rtl/>
        </w:rPr>
        <w:t xml:space="preserve">לזכות הנאשם את הודאתו בהזדמנות הראשונה שהביאה לחיסכון בזמן שיפוטי, את הבעת הצער שהביע בפניי על מעשיו, את עברו הפלילי הנקי ואת העובדה כי משפחתו הינה משפחה נורמטיבית </w:t>
      </w:r>
      <w:r>
        <w:rPr>
          <w:rFonts w:ascii="FrankRuehl" w:hAnsi="FrankRuehl" w:hint="cs"/>
          <w:sz w:val="28"/>
          <w:rtl/>
        </w:rPr>
        <w:t xml:space="preserve">תומכת </w:t>
      </w:r>
      <w:r w:rsidRPr="008B389B">
        <w:rPr>
          <w:rFonts w:ascii="FrankRuehl" w:hAnsi="FrankRuehl"/>
          <w:sz w:val="28"/>
          <w:rtl/>
        </w:rPr>
        <w:t>אשר תעזור בשיקומו ותסייע לחזרתו לחיים נורמטיביים.</w:t>
      </w:r>
    </w:p>
    <w:p w14:paraId="6F8A90DA" w14:textId="77777777" w:rsidR="00F1737A" w:rsidRPr="008B389B" w:rsidRDefault="00F1737A" w:rsidP="00F1737A">
      <w:pPr>
        <w:pStyle w:val="ListParagraph"/>
        <w:spacing w:line="360" w:lineRule="auto"/>
        <w:jc w:val="both"/>
        <w:rPr>
          <w:rFonts w:ascii="FrankRuehl" w:hAnsi="FrankRuehl"/>
          <w:sz w:val="28"/>
          <w:rtl/>
        </w:rPr>
      </w:pPr>
    </w:p>
    <w:p w14:paraId="31E3FF38" w14:textId="77777777" w:rsidR="00F1737A" w:rsidRPr="008B389B" w:rsidRDefault="00F1737A" w:rsidP="00F1737A">
      <w:pPr>
        <w:pStyle w:val="ListParagraph"/>
        <w:spacing w:line="360" w:lineRule="auto"/>
        <w:jc w:val="both"/>
        <w:rPr>
          <w:rFonts w:ascii="FrankRuehl" w:hAnsi="FrankRuehl"/>
          <w:sz w:val="28"/>
          <w:rtl/>
        </w:rPr>
      </w:pPr>
      <w:r w:rsidRPr="008B389B">
        <w:rPr>
          <w:rFonts w:ascii="FrankRuehl" w:hAnsi="FrankRuehl"/>
          <w:sz w:val="28"/>
          <w:rtl/>
        </w:rPr>
        <w:t>בנוסף, אתחשב בגילו הצעיר של הנאשם בן ה-21.5, ובכך שכל עתידו עוד לפניו, במיוחד עת התרשמתי כי ניהל עד ביצוע עבירה זו אור</w:t>
      </w:r>
      <w:r>
        <w:rPr>
          <w:rFonts w:ascii="FrankRuehl" w:hAnsi="FrankRuehl" w:hint="cs"/>
          <w:sz w:val="28"/>
          <w:rtl/>
        </w:rPr>
        <w:t>ח</w:t>
      </w:r>
      <w:r w:rsidRPr="008B389B">
        <w:rPr>
          <w:rFonts w:ascii="FrankRuehl" w:hAnsi="FrankRuehl"/>
          <w:sz w:val="28"/>
          <w:rtl/>
        </w:rPr>
        <w:t xml:space="preserve"> חיים נורמטיבי.</w:t>
      </w:r>
    </w:p>
    <w:p w14:paraId="12C2E349" w14:textId="77777777" w:rsidR="00F1737A" w:rsidRPr="008B389B" w:rsidRDefault="00F1737A" w:rsidP="00F1737A">
      <w:pPr>
        <w:pStyle w:val="ListParagraph"/>
        <w:spacing w:line="360" w:lineRule="auto"/>
        <w:jc w:val="both"/>
        <w:rPr>
          <w:rFonts w:ascii="FrankRuehl" w:hAnsi="FrankRuehl"/>
          <w:sz w:val="28"/>
          <w:rtl/>
        </w:rPr>
      </w:pPr>
    </w:p>
    <w:p w14:paraId="59961620" w14:textId="77777777" w:rsidR="00F1737A" w:rsidRPr="00F25D49" w:rsidRDefault="00F1737A" w:rsidP="00F1737A">
      <w:pPr>
        <w:spacing w:line="360" w:lineRule="auto"/>
        <w:ind w:left="360" w:firstLine="360"/>
        <w:contextualSpacing/>
        <w:jc w:val="both"/>
        <w:rPr>
          <w:rFonts w:ascii="Miriam" w:hAnsi="Miriam" w:cs="Miriam" w:hint="cs"/>
          <w:rtl/>
        </w:rPr>
      </w:pPr>
      <w:r w:rsidRPr="00F25D49">
        <w:rPr>
          <w:rFonts w:ascii="Miriam" w:hAnsi="Miriam" w:cs="Miriam"/>
          <w:rtl/>
        </w:rPr>
        <w:t>סיכום</w:t>
      </w:r>
      <w:r w:rsidR="00595BE2">
        <w:rPr>
          <w:rFonts w:ascii="Miriam" w:hAnsi="Miriam" w:cs="Miriam" w:hint="cs"/>
          <w:rtl/>
        </w:rPr>
        <w:t xml:space="preserve">   </w:t>
      </w:r>
    </w:p>
    <w:p w14:paraId="6DDBA2B6" w14:textId="77777777" w:rsidR="00F1737A" w:rsidRPr="008B389B" w:rsidRDefault="00F1737A" w:rsidP="00F1737A">
      <w:pPr>
        <w:pStyle w:val="ListParagraph"/>
        <w:spacing w:line="360" w:lineRule="auto"/>
        <w:jc w:val="both"/>
        <w:rPr>
          <w:rFonts w:ascii="FrankRuehl" w:hAnsi="FrankRuehl"/>
          <w:sz w:val="28"/>
        </w:rPr>
      </w:pPr>
      <w:r w:rsidRPr="008B389B">
        <w:rPr>
          <w:rFonts w:ascii="FrankRuehl" w:hAnsi="FrankRuehl"/>
          <w:sz w:val="28"/>
          <w:rtl/>
        </w:rPr>
        <w:t>לאור האמור לעיל אני דן את הנאשם לעונשים הבאים:</w:t>
      </w:r>
    </w:p>
    <w:p w14:paraId="1DFE1F33" w14:textId="77777777" w:rsidR="00F1737A" w:rsidRPr="008B389B" w:rsidRDefault="00F1737A" w:rsidP="00F1737A">
      <w:pPr>
        <w:pStyle w:val="2"/>
        <w:numPr>
          <w:ilvl w:val="0"/>
          <w:numId w:val="2"/>
        </w:numPr>
        <w:spacing w:line="360" w:lineRule="auto"/>
        <w:jc w:val="both"/>
        <w:rPr>
          <w:rFonts w:ascii="FrankRuehl" w:hAnsi="FrankRuehl" w:cs="FrankRuehl"/>
          <w:sz w:val="28"/>
          <w:szCs w:val="28"/>
        </w:rPr>
      </w:pPr>
      <w:r w:rsidRPr="008B389B">
        <w:rPr>
          <w:rFonts w:ascii="FrankRuehl" w:hAnsi="FrankRuehl" w:cs="FrankRuehl"/>
          <w:sz w:val="28"/>
          <w:szCs w:val="28"/>
          <w:u w:val="single"/>
          <w:rtl/>
        </w:rPr>
        <w:t>10</w:t>
      </w:r>
      <w:r w:rsidRPr="008B389B">
        <w:rPr>
          <w:rFonts w:ascii="FrankRuehl" w:hAnsi="FrankRuehl" w:cs="FrankRuehl"/>
          <w:sz w:val="28"/>
          <w:szCs w:val="28"/>
          <w:rtl/>
        </w:rPr>
        <w:t xml:space="preserve"> חודשי מאסר בפועל בניכוי ימי מעצרו, מיום 16.9.2018 ועד היום.</w:t>
      </w:r>
    </w:p>
    <w:p w14:paraId="38FF9D67" w14:textId="77777777" w:rsidR="00F1737A" w:rsidRPr="008B389B" w:rsidRDefault="00F1737A" w:rsidP="00F1737A">
      <w:pPr>
        <w:pStyle w:val="2"/>
        <w:numPr>
          <w:ilvl w:val="0"/>
          <w:numId w:val="2"/>
        </w:numPr>
        <w:spacing w:line="360" w:lineRule="auto"/>
        <w:jc w:val="both"/>
        <w:rPr>
          <w:rFonts w:ascii="FrankRuehl" w:hAnsi="FrankRuehl" w:cs="FrankRuehl"/>
          <w:sz w:val="28"/>
          <w:szCs w:val="28"/>
        </w:rPr>
      </w:pPr>
      <w:r w:rsidRPr="008B389B">
        <w:rPr>
          <w:rFonts w:ascii="FrankRuehl" w:hAnsi="FrankRuehl" w:cs="FrankRuehl"/>
          <w:sz w:val="28"/>
          <w:szCs w:val="28"/>
          <w:u w:val="single"/>
          <w:rtl/>
        </w:rPr>
        <w:t xml:space="preserve"> 5 </w:t>
      </w:r>
      <w:r w:rsidRPr="008B389B">
        <w:rPr>
          <w:rFonts w:ascii="FrankRuehl" w:hAnsi="FrankRuehl" w:cs="FrankRuehl"/>
          <w:sz w:val="28"/>
          <w:szCs w:val="28"/>
          <w:rtl/>
        </w:rPr>
        <w:t>חודשי מאסר על תנאי,  הנאשם לא יישא את עונש המאסר על  תנאי אלא אם יעבור תוך שלוש שנים</w:t>
      </w:r>
      <w:r>
        <w:rPr>
          <w:rFonts w:ascii="FrankRuehl" w:hAnsi="FrankRuehl" w:cs="FrankRuehl" w:hint="cs"/>
          <w:sz w:val="28"/>
          <w:szCs w:val="28"/>
          <w:rtl/>
        </w:rPr>
        <w:t xml:space="preserve">, </w:t>
      </w:r>
      <w:r w:rsidRPr="008B389B">
        <w:rPr>
          <w:rFonts w:ascii="FrankRuehl" w:hAnsi="FrankRuehl" w:cs="FrankRuehl"/>
          <w:sz w:val="28"/>
          <w:szCs w:val="28"/>
          <w:rtl/>
        </w:rPr>
        <w:t xml:space="preserve">עבירה בנשק ויורשע בשל עבירה כזאת תוך תקופת התנאי או לאחריה. </w:t>
      </w:r>
    </w:p>
    <w:p w14:paraId="414642E6" w14:textId="77777777" w:rsidR="00F1737A" w:rsidRPr="008B389B" w:rsidRDefault="00F1737A" w:rsidP="00F1737A">
      <w:pPr>
        <w:pStyle w:val="ListParagraph"/>
        <w:spacing w:line="360" w:lineRule="auto"/>
        <w:ind w:left="780"/>
        <w:jc w:val="both"/>
        <w:rPr>
          <w:rFonts w:ascii="FrankRuehl" w:hAnsi="FrankRuehl"/>
          <w:sz w:val="28"/>
        </w:rPr>
      </w:pPr>
      <w:r w:rsidRPr="008B389B">
        <w:rPr>
          <w:rFonts w:ascii="FrankRuehl" w:hAnsi="FrankRuehl"/>
          <w:sz w:val="28"/>
          <w:rtl/>
        </w:rPr>
        <w:t>בהתחשב בתקופת המאסר ובגילו הצעיר של הנאשם לא מצאתי לנכון להטיל על הנאשם קנס.</w:t>
      </w:r>
    </w:p>
    <w:p w14:paraId="3F813A29" w14:textId="77777777" w:rsidR="00F1737A" w:rsidRPr="008B389B" w:rsidRDefault="00F1737A" w:rsidP="00F1737A">
      <w:pPr>
        <w:pStyle w:val="ListParagraph"/>
        <w:spacing w:line="360" w:lineRule="auto"/>
        <w:ind w:left="780"/>
        <w:jc w:val="both"/>
        <w:rPr>
          <w:rFonts w:ascii="FrankRuehl" w:hAnsi="FrankRuehl"/>
          <w:sz w:val="28"/>
        </w:rPr>
      </w:pPr>
      <w:r w:rsidRPr="008B389B">
        <w:rPr>
          <w:rFonts w:ascii="FrankRuehl" w:hAnsi="FrankRuehl"/>
          <w:sz w:val="28"/>
          <w:rtl/>
        </w:rPr>
        <w:t>אני מפנה את תשומת לב שירות בתי הסוהר להמלצת שירות המבחן לשילוב הנאשם בהליך טיפולי, כמובן במיד</w:t>
      </w:r>
      <w:r>
        <w:rPr>
          <w:rFonts w:ascii="FrankRuehl" w:hAnsi="FrankRuehl" w:hint="cs"/>
          <w:sz w:val="28"/>
          <w:rtl/>
        </w:rPr>
        <w:t>ת</w:t>
      </w:r>
      <w:r w:rsidRPr="008B389B">
        <w:rPr>
          <w:rFonts w:ascii="FrankRuehl" w:hAnsi="FrankRuehl"/>
          <w:sz w:val="28"/>
          <w:rtl/>
        </w:rPr>
        <w:t xml:space="preserve"> האפשר בהתחשב ביתרת תקופת המאסר שנותרה.</w:t>
      </w:r>
    </w:p>
    <w:p w14:paraId="5BA1111B" w14:textId="77777777" w:rsidR="00F1737A" w:rsidRPr="008B389B" w:rsidRDefault="00F1737A" w:rsidP="00F1737A">
      <w:pPr>
        <w:pStyle w:val="ListParagraph"/>
        <w:spacing w:line="360" w:lineRule="auto"/>
        <w:ind w:left="780"/>
        <w:jc w:val="both"/>
        <w:rPr>
          <w:rFonts w:ascii="FrankRuehl" w:hAnsi="FrankRuehl"/>
          <w:sz w:val="28"/>
          <w:rtl/>
        </w:rPr>
      </w:pPr>
    </w:p>
    <w:p w14:paraId="4D1A2D52" w14:textId="77777777" w:rsidR="00F1737A" w:rsidRPr="008B389B" w:rsidRDefault="00F1737A" w:rsidP="00F1737A">
      <w:pPr>
        <w:pStyle w:val="ListParagraph"/>
        <w:spacing w:line="360" w:lineRule="auto"/>
        <w:ind w:left="780"/>
        <w:jc w:val="both"/>
        <w:rPr>
          <w:rFonts w:ascii="FrankRuehl" w:hAnsi="FrankRuehl"/>
          <w:sz w:val="28"/>
        </w:rPr>
      </w:pPr>
      <w:r w:rsidRPr="008B389B">
        <w:rPr>
          <w:rFonts w:ascii="FrankRuehl" w:hAnsi="FrankRuehl"/>
          <w:sz w:val="28"/>
          <w:rtl/>
        </w:rPr>
        <w:t>אני מורה על חילוט הנשק והתחמושת לטובת מ</w:t>
      </w:r>
      <w:r>
        <w:rPr>
          <w:rFonts w:ascii="FrankRuehl" w:hAnsi="FrankRuehl" w:hint="cs"/>
          <w:sz w:val="28"/>
          <w:rtl/>
        </w:rPr>
        <w:t>דינת ישראל</w:t>
      </w:r>
      <w:r w:rsidRPr="008B389B">
        <w:rPr>
          <w:rFonts w:ascii="FrankRuehl" w:hAnsi="FrankRuehl"/>
          <w:sz w:val="28"/>
          <w:rtl/>
        </w:rPr>
        <w:t>.</w:t>
      </w:r>
    </w:p>
    <w:p w14:paraId="00498DF1" w14:textId="77777777" w:rsidR="00F1737A" w:rsidRPr="008B389B" w:rsidRDefault="00F1737A" w:rsidP="00F1737A">
      <w:pPr>
        <w:pStyle w:val="ListParagraph"/>
        <w:spacing w:line="360" w:lineRule="auto"/>
        <w:ind w:left="780"/>
        <w:jc w:val="both"/>
        <w:rPr>
          <w:rFonts w:ascii="FrankRuehl" w:hAnsi="FrankRuehl"/>
          <w:sz w:val="28"/>
        </w:rPr>
      </w:pPr>
    </w:p>
    <w:p w14:paraId="20D7004A" w14:textId="77777777" w:rsidR="00F1737A" w:rsidRPr="008B389B" w:rsidRDefault="00F1737A" w:rsidP="00F1737A">
      <w:pPr>
        <w:spacing w:line="360" w:lineRule="auto"/>
        <w:ind w:left="720"/>
        <w:jc w:val="both"/>
        <w:rPr>
          <w:rFonts w:ascii="FrankRuehl" w:hAnsi="FrankRuehl" w:cs="FrankRuehl"/>
          <w:sz w:val="28"/>
          <w:szCs w:val="28"/>
          <w:u w:val="single"/>
          <w:rtl/>
        </w:rPr>
      </w:pPr>
      <w:r w:rsidRPr="008B389B">
        <w:rPr>
          <w:rFonts w:ascii="FrankRuehl" w:hAnsi="FrankRuehl" w:cs="FrankRuehl"/>
          <w:sz w:val="28"/>
          <w:szCs w:val="28"/>
          <w:u w:val="single"/>
          <w:rtl/>
        </w:rPr>
        <w:t>זכות ערעור לבית המשפט העליון תוך 45 יום.</w:t>
      </w:r>
    </w:p>
    <w:p w14:paraId="7332D107" w14:textId="77777777" w:rsidR="00F1737A" w:rsidRPr="008B389B" w:rsidRDefault="00F1737A" w:rsidP="00F1737A">
      <w:pPr>
        <w:rPr>
          <w:rFonts w:ascii="FrankRuehl" w:hAnsi="FrankRuehl" w:cs="FrankRuehl"/>
          <w:sz w:val="28"/>
          <w:szCs w:val="28"/>
          <w:rtl/>
        </w:rPr>
      </w:pPr>
    </w:p>
    <w:p w14:paraId="7F89DFF7" w14:textId="77777777" w:rsidR="00F1737A" w:rsidRPr="008B389B" w:rsidRDefault="00F1737A" w:rsidP="00F1737A">
      <w:pPr>
        <w:rPr>
          <w:rFonts w:ascii="FrankRuehl" w:hAnsi="FrankRuehl" w:cs="FrankRuehl"/>
          <w:sz w:val="28"/>
          <w:szCs w:val="28"/>
          <w:rtl/>
        </w:rPr>
      </w:pPr>
    </w:p>
    <w:p w14:paraId="6762129F" w14:textId="77777777" w:rsidR="00F1737A" w:rsidRPr="008B389B" w:rsidRDefault="00606E7C" w:rsidP="00F1737A">
      <w:pPr>
        <w:spacing w:line="360" w:lineRule="auto"/>
        <w:jc w:val="both"/>
        <w:rPr>
          <w:rFonts w:ascii="FrankRuehl" w:hAnsi="FrankRuehl" w:cs="FrankRuehl"/>
          <w:sz w:val="28"/>
          <w:szCs w:val="28"/>
        </w:rPr>
      </w:pPr>
      <w:bookmarkStart w:id="7" w:name="Nitan"/>
      <w:r w:rsidRPr="00606E7C">
        <w:rPr>
          <w:rFonts w:ascii="FrankRuehl" w:hAnsi="FrankRuehl" w:cs="FrankRuehl"/>
          <w:color w:val="FFFFFF"/>
          <w:sz w:val="2"/>
          <w:szCs w:val="2"/>
          <w:rtl/>
        </w:rPr>
        <w:t>5129371</w:t>
      </w:r>
      <w:r>
        <w:rPr>
          <w:rFonts w:ascii="FrankRuehl" w:hAnsi="FrankRuehl" w:cs="FrankRuehl"/>
          <w:sz w:val="28"/>
          <w:szCs w:val="28"/>
          <w:rtl/>
        </w:rPr>
        <w:t xml:space="preserve">ניתן היום,  א' סיוון תשע"ט, 04 יוני 2019, בנוכחות ב"כ המאשימה עו"ד אייל משה, הסנגור עו"ד </w:t>
      </w:r>
      <w:bookmarkEnd w:id="7"/>
      <w:r w:rsidR="00F1737A" w:rsidRPr="008B389B">
        <w:rPr>
          <w:rFonts w:ascii="FrankRuehl" w:hAnsi="FrankRuehl" w:cs="FrankRuehl"/>
          <w:sz w:val="28"/>
          <w:szCs w:val="28"/>
          <w:rtl/>
        </w:rPr>
        <w:t>ענאן עליאן והנאשם באמצעות שב"ס.</w:t>
      </w:r>
    </w:p>
    <w:p w14:paraId="38713C66" w14:textId="77777777" w:rsidR="00F1737A" w:rsidRPr="00606E7C" w:rsidRDefault="00606E7C" w:rsidP="00F1737A">
      <w:pPr>
        <w:rPr>
          <w:rFonts w:ascii="FrankRuehl" w:hAnsi="FrankRuehl" w:cs="FrankRuehl"/>
          <w:color w:val="FFFFFF"/>
          <w:sz w:val="2"/>
          <w:szCs w:val="2"/>
          <w:rtl/>
        </w:rPr>
      </w:pPr>
      <w:r w:rsidRPr="00606E7C">
        <w:rPr>
          <w:rFonts w:ascii="FrankRuehl" w:hAnsi="FrankRuehl" w:cs="FrankRuehl"/>
          <w:color w:val="FFFFFF"/>
          <w:sz w:val="2"/>
          <w:szCs w:val="2"/>
          <w:rtl/>
        </w:rPr>
        <w:t>54678313</w:t>
      </w:r>
    </w:p>
    <w:p w14:paraId="6B26D857" w14:textId="77777777" w:rsidR="00F1737A" w:rsidRPr="008B389B" w:rsidRDefault="00F1737A" w:rsidP="00606E7C">
      <w:pPr>
        <w:jc w:val="center"/>
      </w:pPr>
      <w:r w:rsidRPr="008B389B">
        <w:rPr>
          <w:rFonts w:ascii="FrankRuehl" w:hAnsi="FrankRuehl" w:cs="FrankRuehl"/>
          <w:sz w:val="28"/>
          <w:szCs w:val="28"/>
          <w:rtl/>
        </w:rPr>
        <w:t xml:space="preserve">   </w:t>
      </w:r>
      <w:r w:rsidRPr="008B389B">
        <w:rPr>
          <w:rFonts w:ascii="FrankRuehl" w:hAnsi="FrankRuehl" w:cs="FrankRuehl"/>
          <w:sz w:val="28"/>
          <w:szCs w:val="28"/>
          <w:rtl/>
        </w:rPr>
        <w:tab/>
      </w:r>
      <w:r w:rsidRPr="008B389B">
        <w:rPr>
          <w:rFonts w:ascii="FrankRuehl" w:hAnsi="FrankRuehl" w:cs="FrankRuehl"/>
          <w:sz w:val="28"/>
          <w:szCs w:val="28"/>
          <w:rtl/>
        </w:rPr>
        <w:tab/>
      </w:r>
      <w:r w:rsidRPr="008B389B">
        <w:rPr>
          <w:rFonts w:ascii="FrankRuehl" w:hAnsi="FrankRuehl" w:cs="FrankRuehl"/>
          <w:sz w:val="28"/>
          <w:szCs w:val="28"/>
          <w:rtl/>
        </w:rPr>
        <w:tab/>
      </w:r>
      <w:r w:rsidRPr="008B389B">
        <w:rPr>
          <w:rFonts w:ascii="FrankRuehl" w:hAnsi="FrankRuehl" w:cs="FrankRuehl"/>
          <w:sz w:val="28"/>
          <w:szCs w:val="28"/>
          <w:rtl/>
        </w:rPr>
        <w:tab/>
      </w:r>
      <w:r w:rsidRPr="008B389B">
        <w:rPr>
          <w:rFonts w:ascii="FrankRuehl" w:hAnsi="FrankRuehl" w:cs="FrankRuehl"/>
          <w:sz w:val="28"/>
          <w:szCs w:val="28"/>
          <w:rtl/>
        </w:rPr>
        <w:tab/>
      </w:r>
    </w:p>
    <w:p w14:paraId="4C465FCA" w14:textId="77777777" w:rsidR="00F1737A" w:rsidRPr="008B389B" w:rsidRDefault="00F1737A" w:rsidP="00F1737A">
      <w:pPr>
        <w:jc w:val="center"/>
        <w:rPr>
          <w:rFonts w:ascii="FrankRuehl" w:hAnsi="FrankRuehl" w:cs="FrankRuehl"/>
          <w:sz w:val="28"/>
          <w:szCs w:val="28"/>
          <w:rtl/>
        </w:rPr>
      </w:pPr>
    </w:p>
    <w:p w14:paraId="42D5AEA9" w14:textId="77777777" w:rsidR="00F1737A" w:rsidRPr="008B389B" w:rsidRDefault="00F1737A" w:rsidP="00F1737A">
      <w:pPr>
        <w:rPr>
          <w:rFonts w:ascii="FrankRuehl" w:hAnsi="FrankRuehl" w:cs="FrankRuehl"/>
          <w:sz w:val="28"/>
          <w:szCs w:val="28"/>
          <w:rtl/>
        </w:rPr>
      </w:pPr>
    </w:p>
    <w:p w14:paraId="1A9A60EA" w14:textId="77777777" w:rsidR="00F1737A" w:rsidRPr="00B744DB" w:rsidRDefault="00B744DB" w:rsidP="00F1737A">
      <w:pPr>
        <w:pStyle w:val="a3"/>
        <w:jc w:val="center"/>
        <w:rPr>
          <w:rFonts w:ascii="FrankRuehl" w:hAnsi="FrankRuehl" w:cs="FrankRuehl"/>
          <w:color w:val="FFFFFF"/>
          <w:sz w:val="2"/>
          <w:szCs w:val="2"/>
          <w:rtl/>
        </w:rPr>
      </w:pPr>
      <w:r w:rsidRPr="00B744DB">
        <w:rPr>
          <w:rFonts w:ascii="FrankRuehl" w:hAnsi="FrankRuehl" w:cs="FrankRuehl"/>
          <w:color w:val="FFFFFF"/>
          <w:sz w:val="2"/>
          <w:szCs w:val="2"/>
          <w:rtl/>
        </w:rPr>
        <w:t>5129371</w:t>
      </w:r>
    </w:p>
    <w:p w14:paraId="2F84AA7B" w14:textId="77777777" w:rsidR="009169C4" w:rsidRPr="00B744DB" w:rsidRDefault="00B744DB" w:rsidP="00606E7C">
      <w:pPr>
        <w:keepNext/>
        <w:rPr>
          <w:rFonts w:ascii="David" w:hAnsi="David"/>
          <w:color w:val="FFFFFF"/>
          <w:sz w:val="2"/>
          <w:szCs w:val="2"/>
          <w:rtl/>
        </w:rPr>
      </w:pPr>
      <w:r w:rsidRPr="00B744DB">
        <w:rPr>
          <w:rFonts w:ascii="David" w:hAnsi="David"/>
          <w:color w:val="FFFFFF"/>
          <w:sz w:val="2"/>
          <w:szCs w:val="2"/>
          <w:rtl/>
        </w:rPr>
        <w:t>54678313</w:t>
      </w:r>
    </w:p>
    <w:p w14:paraId="0F8CF060" w14:textId="77777777" w:rsidR="00606E7C" w:rsidRPr="00606E7C" w:rsidRDefault="00606E7C" w:rsidP="00606E7C">
      <w:pPr>
        <w:keepNext/>
        <w:rPr>
          <w:rFonts w:ascii="David" w:hAnsi="David"/>
          <w:color w:val="000000"/>
          <w:sz w:val="22"/>
          <w:szCs w:val="22"/>
          <w:rtl/>
        </w:rPr>
      </w:pPr>
      <w:r w:rsidRPr="00606E7C">
        <w:rPr>
          <w:rFonts w:ascii="David" w:hAnsi="David"/>
          <w:color w:val="000000"/>
          <w:sz w:val="22"/>
          <w:szCs w:val="22"/>
          <w:rtl/>
        </w:rPr>
        <w:t>אברהם אליקים 54678313</w:t>
      </w:r>
    </w:p>
    <w:p w14:paraId="2CEE557D" w14:textId="77777777" w:rsidR="00606E7C" w:rsidRDefault="00606E7C" w:rsidP="00606E7C">
      <w:r w:rsidRPr="00606E7C">
        <w:rPr>
          <w:color w:val="000000"/>
          <w:rtl/>
        </w:rPr>
        <w:t>נוסח מסמך זה כפוף לשינויי ניסוח ועריכה</w:t>
      </w:r>
    </w:p>
    <w:p w14:paraId="4E52623E" w14:textId="77777777" w:rsidR="00606E7C" w:rsidRDefault="00606E7C" w:rsidP="00606E7C">
      <w:pPr>
        <w:rPr>
          <w:rtl/>
        </w:rPr>
      </w:pPr>
    </w:p>
    <w:p w14:paraId="498FC974" w14:textId="77777777" w:rsidR="00606E7C" w:rsidRDefault="00606E7C" w:rsidP="00606E7C">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2C303451" w14:textId="77777777" w:rsidR="00B744DB" w:rsidRPr="00B744DB" w:rsidRDefault="00B744DB" w:rsidP="00B744DB">
      <w:pPr>
        <w:keepNext/>
        <w:rPr>
          <w:rFonts w:ascii="David" w:hAnsi="David"/>
          <w:color w:val="000000"/>
          <w:sz w:val="22"/>
          <w:szCs w:val="22"/>
          <w:rtl/>
        </w:rPr>
      </w:pPr>
    </w:p>
    <w:p w14:paraId="5053E4B6" w14:textId="77777777" w:rsidR="00606E7C" w:rsidRPr="00606E7C" w:rsidRDefault="00606E7C" w:rsidP="00B744DB">
      <w:pPr>
        <w:rPr>
          <w:color w:val="0000FF"/>
          <w:u w:val="single"/>
        </w:rPr>
      </w:pPr>
    </w:p>
    <w:sectPr w:rsidR="00606E7C" w:rsidRPr="00606E7C" w:rsidSect="00B744DB">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9CEFF" w14:textId="77777777" w:rsidR="00661968" w:rsidRDefault="00661968" w:rsidP="00811897">
      <w:r>
        <w:separator/>
      </w:r>
    </w:p>
  </w:endnote>
  <w:endnote w:type="continuationSeparator" w:id="0">
    <w:p w14:paraId="26321AE5" w14:textId="77777777" w:rsidR="00661968" w:rsidRDefault="00661968" w:rsidP="00811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EBC65" w14:textId="77777777" w:rsidR="00B744DB" w:rsidRDefault="00B744DB" w:rsidP="00B744D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42E3173" w14:textId="77777777" w:rsidR="00867605" w:rsidRPr="00B744DB" w:rsidRDefault="00B744DB" w:rsidP="00B744DB">
    <w:pPr>
      <w:pStyle w:val="a5"/>
      <w:pBdr>
        <w:top w:val="single" w:sz="4" w:space="1" w:color="auto"/>
        <w:between w:val="single" w:sz="4" w:space="0" w:color="auto"/>
      </w:pBdr>
      <w:spacing w:after="60"/>
      <w:jc w:val="center"/>
      <w:rPr>
        <w:rFonts w:ascii="FrankRuehl" w:hAnsi="FrankRuehl" w:cs="FrankRuehl"/>
        <w:color w:val="000000"/>
      </w:rPr>
    </w:pPr>
    <w:r w:rsidRPr="00B744D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88155" w14:textId="77777777" w:rsidR="00B744DB" w:rsidRDefault="00B744DB" w:rsidP="00B744D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E6222">
      <w:rPr>
        <w:rFonts w:ascii="FrankRuehl" w:hAnsi="FrankRuehl" w:cs="FrankRuehl"/>
        <w:noProof/>
        <w:rtl/>
      </w:rPr>
      <w:t>1</w:t>
    </w:r>
    <w:r>
      <w:rPr>
        <w:rFonts w:ascii="FrankRuehl" w:hAnsi="FrankRuehl" w:cs="FrankRuehl"/>
        <w:rtl/>
      </w:rPr>
      <w:fldChar w:fldCharType="end"/>
    </w:r>
  </w:p>
  <w:p w14:paraId="240667CE" w14:textId="77777777" w:rsidR="00867605" w:rsidRPr="00B744DB" w:rsidRDefault="00B744DB" w:rsidP="00B744DB">
    <w:pPr>
      <w:pStyle w:val="a5"/>
      <w:pBdr>
        <w:top w:val="single" w:sz="4" w:space="1" w:color="auto"/>
        <w:between w:val="single" w:sz="4" w:space="0" w:color="auto"/>
      </w:pBdr>
      <w:spacing w:after="60"/>
      <w:jc w:val="center"/>
      <w:rPr>
        <w:rFonts w:ascii="FrankRuehl" w:hAnsi="FrankRuehl" w:cs="FrankRuehl"/>
        <w:color w:val="000000"/>
      </w:rPr>
    </w:pPr>
    <w:r w:rsidRPr="00B744DB">
      <w:rPr>
        <w:rFonts w:ascii="FrankRuehl" w:hAnsi="FrankRuehl" w:cs="FrankRuehl"/>
        <w:color w:val="000000"/>
      </w:rPr>
      <w:pict w14:anchorId="08F76D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2A63D" w14:textId="77777777" w:rsidR="00661968" w:rsidRDefault="00661968" w:rsidP="00811897">
      <w:r>
        <w:separator/>
      </w:r>
    </w:p>
  </w:footnote>
  <w:footnote w:type="continuationSeparator" w:id="0">
    <w:p w14:paraId="4FD84630" w14:textId="77777777" w:rsidR="00661968" w:rsidRDefault="00661968" w:rsidP="00811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00639" w14:textId="77777777" w:rsidR="00606E7C" w:rsidRPr="00B744DB" w:rsidRDefault="00B744DB" w:rsidP="00B744D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39800-09-18</w:t>
    </w:r>
    <w:r>
      <w:rPr>
        <w:rFonts w:ascii="David" w:hAnsi="David"/>
        <w:color w:val="000000"/>
        <w:sz w:val="22"/>
        <w:szCs w:val="22"/>
        <w:rtl/>
      </w:rPr>
      <w:tab/>
      <w:t xml:space="preserve"> מדינת ישראל נ' ג'ליל זיד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B53F3" w14:textId="77777777" w:rsidR="00606E7C" w:rsidRPr="00B744DB" w:rsidRDefault="00B744DB" w:rsidP="00B744D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39800-09-18</w:t>
    </w:r>
    <w:r>
      <w:rPr>
        <w:rFonts w:ascii="David" w:hAnsi="David"/>
        <w:color w:val="000000"/>
        <w:sz w:val="22"/>
        <w:szCs w:val="22"/>
        <w:rtl/>
      </w:rPr>
      <w:tab/>
      <w:t xml:space="preserve"> מדינת ישראל נ' ג'ליל זיד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6C0"/>
    <w:multiLevelType w:val="hybridMultilevel"/>
    <w:tmpl w:val="364090E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94C6DD14">
      <w:numFmt w:val="bullet"/>
      <w:lvlText w:val="-"/>
      <w:lvlJc w:val="left"/>
      <w:pPr>
        <w:tabs>
          <w:tab w:val="num" w:pos="2340"/>
        </w:tabs>
        <w:ind w:left="2340" w:hanging="360"/>
      </w:pPr>
      <w:rPr>
        <w:rFonts w:ascii="Arial" w:eastAsia="Times New Roman" w:hAnsi="Arial" w:cs="FrankRueh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9FD6947"/>
    <w:multiLevelType w:val="hybridMultilevel"/>
    <w:tmpl w:val="8C24A72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num w:numId="1" w16cid:durableId="934940644">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2064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1737A"/>
    <w:rsid w:val="00381020"/>
    <w:rsid w:val="00595BE2"/>
    <w:rsid w:val="005E6222"/>
    <w:rsid w:val="00606E7C"/>
    <w:rsid w:val="00661968"/>
    <w:rsid w:val="00734F06"/>
    <w:rsid w:val="00811897"/>
    <w:rsid w:val="00867605"/>
    <w:rsid w:val="009169C4"/>
    <w:rsid w:val="009E36E5"/>
    <w:rsid w:val="00B744DB"/>
    <w:rsid w:val="00D22BF9"/>
    <w:rsid w:val="00E722C2"/>
    <w:rsid w:val="00F173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DCA839"/>
  <w15:chartTrackingRefBased/>
  <w15:docId w15:val="{BF2E0F4C-4D10-4256-8F2D-A4EE9ACD1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1737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1737A"/>
    <w:pPr>
      <w:tabs>
        <w:tab w:val="center" w:pos="4153"/>
        <w:tab w:val="right" w:pos="8306"/>
      </w:tabs>
    </w:pPr>
  </w:style>
  <w:style w:type="character" w:customStyle="1" w:styleId="a4">
    <w:name w:val="כותרת עליונה תו"/>
    <w:link w:val="a3"/>
    <w:rsid w:val="00F1737A"/>
    <w:rPr>
      <w:rFonts w:ascii="Times New Roman" w:eastAsia="Times New Roman" w:hAnsi="Times New Roman" w:cs="David"/>
      <w:sz w:val="24"/>
      <w:szCs w:val="24"/>
    </w:rPr>
  </w:style>
  <w:style w:type="paragraph" w:styleId="a5">
    <w:name w:val="footer"/>
    <w:basedOn w:val="a"/>
    <w:link w:val="a6"/>
    <w:rsid w:val="00F1737A"/>
    <w:pPr>
      <w:tabs>
        <w:tab w:val="center" w:pos="4153"/>
        <w:tab w:val="right" w:pos="8306"/>
      </w:tabs>
    </w:pPr>
  </w:style>
  <w:style w:type="character" w:customStyle="1" w:styleId="a6">
    <w:name w:val="כותרת תחתונה תו"/>
    <w:link w:val="a5"/>
    <w:rsid w:val="00F1737A"/>
    <w:rPr>
      <w:rFonts w:ascii="Times New Roman" w:eastAsia="Times New Roman" w:hAnsi="Times New Roman" w:cs="David"/>
      <w:sz w:val="24"/>
      <w:szCs w:val="24"/>
    </w:rPr>
  </w:style>
  <w:style w:type="table" w:styleId="a7">
    <w:name w:val="Table Grid"/>
    <w:basedOn w:val="a1"/>
    <w:rsid w:val="00F1737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1737A"/>
  </w:style>
  <w:style w:type="paragraph" w:customStyle="1" w:styleId="ListParagraph">
    <w:name w:val="List Paragraph"/>
    <w:basedOn w:val="a"/>
    <w:qFormat/>
    <w:rsid w:val="00F1737A"/>
    <w:pPr>
      <w:ind w:left="720"/>
      <w:contextualSpacing/>
    </w:pPr>
    <w:rPr>
      <w:rFonts w:ascii="Arial" w:hAnsi="Arial" w:cs="FrankRuehl"/>
      <w:szCs w:val="28"/>
    </w:rPr>
  </w:style>
  <w:style w:type="paragraph" w:customStyle="1" w:styleId="2">
    <w:name w:val="פיסקת רשימה2"/>
    <w:basedOn w:val="a"/>
    <w:rsid w:val="00F1737A"/>
    <w:pPr>
      <w:ind w:left="720"/>
      <w:contextualSpacing/>
    </w:pPr>
  </w:style>
  <w:style w:type="character" w:styleId="Hyperlink">
    <w:name w:val="Hyperlink"/>
    <w:rsid w:val="00606E7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20446658" TargetMode="External"/><Relationship Id="rId3" Type="http://schemas.openxmlformats.org/officeDocument/2006/relationships/settings" Target="settings.xml"/><Relationship Id="rId21" Type="http://schemas.openxmlformats.org/officeDocument/2006/relationships/hyperlink" Target="http://www.nevo.co.il/case/6151556"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5887664"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40b" TargetMode="External"/><Relationship Id="rId20" Type="http://schemas.openxmlformats.org/officeDocument/2006/relationships/hyperlink" Target="http://www.nevo.co.il/case/20817891" TargetMode="External"/><Relationship Id="rId29" Type="http://schemas.openxmlformats.org/officeDocument/2006/relationships/hyperlink" Target="http://www.nevo.co.il/law/70301/40j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20531134"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case/21771409" TargetMode="External"/><Relationship Id="rId28" Type="http://schemas.openxmlformats.org/officeDocument/2006/relationships/hyperlink" Target="http://www.nevo.co.il/law/70301/40i" TargetMode="External"/><Relationship Id="rId36" Type="http://schemas.openxmlformats.org/officeDocument/2006/relationships/theme" Target="theme/theme1.xml"/><Relationship Id="rId10" Type="http://schemas.openxmlformats.org/officeDocument/2006/relationships/hyperlink" Target="http://www.nevo.co.il/law/70301/144.a" TargetMode="External"/><Relationship Id="rId19" Type="http://schemas.openxmlformats.org/officeDocument/2006/relationships/hyperlink" Target="http://www.nevo.co.il/case/22006503"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878682" TargetMode="External"/><Relationship Id="rId27" Type="http://schemas.openxmlformats.org/officeDocument/2006/relationships/hyperlink" Target="http://www.nevo.co.il/case/13093744"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40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1974</Words>
  <Characters>9870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11821</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262155</vt:i4>
      </vt:variant>
      <vt:variant>
        <vt:i4>66</vt:i4>
      </vt:variant>
      <vt:variant>
        <vt:i4>0</vt:i4>
      </vt:variant>
      <vt:variant>
        <vt:i4>5</vt:i4>
      </vt:variant>
      <vt:variant>
        <vt:lpwstr>http://www.nevo.co.il/law/70301/40ja</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3539065</vt:i4>
      </vt:variant>
      <vt:variant>
        <vt:i4>60</vt:i4>
      </vt:variant>
      <vt:variant>
        <vt:i4>0</vt:i4>
      </vt:variant>
      <vt:variant>
        <vt:i4>5</vt:i4>
      </vt:variant>
      <vt:variant>
        <vt:lpwstr>http://www.nevo.co.il/case/13093744</vt:lpwstr>
      </vt:variant>
      <vt:variant>
        <vt:lpwstr/>
      </vt:variant>
      <vt:variant>
        <vt:i4>3473526</vt:i4>
      </vt:variant>
      <vt:variant>
        <vt:i4>57</vt:i4>
      </vt:variant>
      <vt:variant>
        <vt:i4>0</vt:i4>
      </vt:variant>
      <vt:variant>
        <vt:i4>5</vt:i4>
      </vt:variant>
      <vt:variant>
        <vt:lpwstr>http://www.nevo.co.il/case/20446658</vt:lpwstr>
      </vt:variant>
      <vt:variant>
        <vt:lpwstr/>
      </vt:variant>
      <vt:variant>
        <vt:i4>4128893</vt:i4>
      </vt:variant>
      <vt:variant>
        <vt:i4>54</vt:i4>
      </vt:variant>
      <vt:variant>
        <vt:i4>0</vt:i4>
      </vt:variant>
      <vt:variant>
        <vt:i4>5</vt:i4>
      </vt:variant>
      <vt:variant>
        <vt:lpwstr>http://www.nevo.co.il/case/5887664</vt:lpwstr>
      </vt:variant>
      <vt:variant>
        <vt:lpwstr/>
      </vt:variant>
      <vt:variant>
        <vt:i4>3473526</vt:i4>
      </vt:variant>
      <vt:variant>
        <vt:i4>51</vt:i4>
      </vt:variant>
      <vt:variant>
        <vt:i4>0</vt:i4>
      </vt:variant>
      <vt:variant>
        <vt:i4>5</vt:i4>
      </vt:variant>
      <vt:variant>
        <vt:lpwstr>http://www.nevo.co.il/case/20531134</vt:lpwstr>
      </vt:variant>
      <vt:variant>
        <vt:lpwstr/>
      </vt:variant>
      <vt:variant>
        <vt:i4>3407990</vt:i4>
      </vt:variant>
      <vt:variant>
        <vt:i4>48</vt:i4>
      </vt:variant>
      <vt:variant>
        <vt:i4>0</vt:i4>
      </vt:variant>
      <vt:variant>
        <vt:i4>5</vt:i4>
      </vt:variant>
      <vt:variant>
        <vt:lpwstr>http://www.nevo.co.il/case/21771409</vt:lpwstr>
      </vt:variant>
      <vt:variant>
        <vt:lpwstr/>
      </vt:variant>
      <vt:variant>
        <vt:i4>3539068</vt:i4>
      </vt:variant>
      <vt:variant>
        <vt:i4>45</vt:i4>
      </vt:variant>
      <vt:variant>
        <vt:i4>0</vt:i4>
      </vt:variant>
      <vt:variant>
        <vt:i4>5</vt:i4>
      </vt:variant>
      <vt:variant>
        <vt:lpwstr>http://www.nevo.co.il/case/5878682</vt:lpwstr>
      </vt:variant>
      <vt:variant>
        <vt:lpwstr/>
      </vt:variant>
      <vt:variant>
        <vt:i4>3145841</vt:i4>
      </vt:variant>
      <vt:variant>
        <vt:i4>42</vt:i4>
      </vt:variant>
      <vt:variant>
        <vt:i4>0</vt:i4>
      </vt:variant>
      <vt:variant>
        <vt:i4>5</vt:i4>
      </vt:variant>
      <vt:variant>
        <vt:lpwstr>http://www.nevo.co.il/case/6151556</vt:lpwstr>
      </vt:variant>
      <vt:variant>
        <vt:lpwstr/>
      </vt:variant>
      <vt:variant>
        <vt:i4>3407997</vt:i4>
      </vt:variant>
      <vt:variant>
        <vt:i4>39</vt:i4>
      </vt:variant>
      <vt:variant>
        <vt:i4>0</vt:i4>
      </vt:variant>
      <vt:variant>
        <vt:i4>5</vt:i4>
      </vt:variant>
      <vt:variant>
        <vt:lpwstr>http://www.nevo.co.il/case/20817891</vt:lpwstr>
      </vt:variant>
      <vt:variant>
        <vt:lpwstr/>
      </vt:variant>
      <vt:variant>
        <vt:i4>3407987</vt:i4>
      </vt:variant>
      <vt:variant>
        <vt:i4>36</vt:i4>
      </vt:variant>
      <vt:variant>
        <vt:i4>0</vt:i4>
      </vt:variant>
      <vt:variant>
        <vt:i4>5</vt:i4>
      </vt:variant>
      <vt:variant>
        <vt:lpwstr>http://www.nevo.co.il/case/22006503</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6619233</vt:i4>
      </vt:variant>
      <vt:variant>
        <vt:i4>27</vt:i4>
      </vt:variant>
      <vt:variant>
        <vt:i4>0</vt:i4>
      </vt:variant>
      <vt:variant>
        <vt:i4>5</vt:i4>
      </vt:variant>
      <vt:variant>
        <vt:lpwstr>http://www.nevo.co.il/law/70301/40b</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2023-12-07T12:11:00Z</dcterms:created>
  <dcterms:modified xsi:type="dcterms:W3CDTF">2023-12-07T12:11:00Z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39800</vt:lpwstr>
  </property>
  <property fmtid="{D5CDD505-2E9C-101B-9397-08002B2CF9AE}" pid="6" name="NEWPARTB">
    <vt:lpwstr>09</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ג'ליל זיד</vt:lpwstr>
  </property>
  <property fmtid="{D5CDD505-2E9C-101B-9397-08002B2CF9AE}" pid="10" name="JUDGE">
    <vt:lpwstr>אברהם אליקים</vt:lpwstr>
  </property>
  <property fmtid="{D5CDD505-2E9C-101B-9397-08002B2CF9AE}" pid="11" name="CITY">
    <vt:lpwstr>חי'</vt:lpwstr>
  </property>
  <property fmtid="{D5CDD505-2E9C-101B-9397-08002B2CF9AE}" pid="12" name="DATE">
    <vt:lpwstr>20190604</vt:lpwstr>
  </property>
  <property fmtid="{D5CDD505-2E9C-101B-9397-08002B2CF9AE}" pid="13" name="TYPE_N_DATE">
    <vt:lpwstr>39020190604</vt:lpwstr>
  </property>
  <property fmtid="{D5CDD505-2E9C-101B-9397-08002B2CF9AE}" pid="14" name="CASESLISTTMP1">
    <vt:lpwstr>22006503;20817891;6151556;5878682;21771409;20531134;5887664;20446658;13093744</vt:lpwstr>
  </property>
  <property fmtid="{D5CDD505-2E9C-101B-9397-08002B2CF9AE}" pid="15" name="CASENOTES1">
    <vt:lpwstr>ProcID=235&amp;PartA=10&amp;PartC=24</vt:lpwstr>
  </property>
  <property fmtid="{D5CDD505-2E9C-101B-9397-08002B2CF9AE}" pid="16" name="WORDNUMPAGES">
    <vt:lpwstr>8</vt:lpwstr>
  </property>
  <property fmtid="{D5CDD505-2E9C-101B-9397-08002B2CF9AE}" pid="17" name="TYPE_ABS_DATE">
    <vt:lpwstr>390020190604</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70301/144.a:2;144.b:2;040b;040i;40ja</vt:lpwstr>
  </property>
</Properties>
</file>