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6A6402" w:rsidRPr="007274EA" w14:paraId="4A1EA755" w14:textId="77777777" w:rsidTr="00A66A12">
        <w:trPr>
          <w:trHeight w:hRule="exact" w:val="858"/>
          <w:jc w:val="center"/>
        </w:trPr>
        <w:tc>
          <w:tcPr>
            <w:tcW w:w="8721" w:type="dxa"/>
            <w:gridSpan w:val="2"/>
          </w:tcPr>
          <w:p w14:paraId="6AA192B2" w14:textId="77777777" w:rsidR="006A6402" w:rsidRPr="007274EA" w:rsidRDefault="006A6402" w:rsidP="0017622B">
            <w:pPr>
              <w:pStyle w:val="a3"/>
              <w:spacing w:line="360" w:lineRule="auto"/>
              <w:jc w:val="center"/>
              <w:rPr>
                <w:rFonts w:ascii="Tahoma" w:hAnsi="Tahoma" w:cs="Tahoma"/>
                <w:b/>
                <w:bCs/>
                <w:color w:val="000080"/>
                <w:rtl/>
              </w:rPr>
            </w:pPr>
            <w:bookmarkStart w:id="0" w:name="LastJudge"/>
            <w:r w:rsidRPr="007274EA">
              <w:rPr>
                <w:rFonts w:ascii="Tahoma" w:hAnsi="Tahoma" w:cs="Tahoma"/>
                <w:b/>
                <w:bCs/>
                <w:color w:val="000080"/>
                <w:rtl/>
              </w:rPr>
              <w:t>בית המשפט המחוזי בירושלים</w:t>
            </w:r>
          </w:p>
          <w:p w14:paraId="5385ABDA" w14:textId="77777777" w:rsidR="006A6402" w:rsidRPr="007274EA" w:rsidRDefault="006A6402" w:rsidP="0017622B">
            <w:pPr>
              <w:pStyle w:val="a3"/>
              <w:spacing w:line="360" w:lineRule="auto"/>
              <w:jc w:val="center"/>
              <w:rPr>
                <w:rFonts w:ascii="Tahoma" w:hAnsi="Tahoma" w:cs="Tahoma"/>
                <w:b/>
                <w:bCs/>
                <w:color w:val="000080"/>
                <w:rtl/>
              </w:rPr>
            </w:pPr>
            <w:r w:rsidRPr="007274EA">
              <w:rPr>
                <w:rFonts w:ascii="Tahoma" w:hAnsi="Tahoma" w:cs="Tahoma" w:hint="cs"/>
                <w:b/>
                <w:bCs/>
                <w:color w:val="000080"/>
                <w:rtl/>
              </w:rPr>
              <w:t>לפני כבוד השופט יעקב צבן</w:t>
            </w:r>
          </w:p>
        </w:tc>
      </w:tr>
      <w:tr w:rsidR="006A6402" w:rsidRPr="007274EA" w14:paraId="789CDD47" w14:textId="77777777" w:rsidTr="00A66A12">
        <w:trPr>
          <w:trHeight w:val="337"/>
          <w:jc w:val="center"/>
        </w:trPr>
        <w:tc>
          <w:tcPr>
            <w:tcW w:w="5054" w:type="dxa"/>
          </w:tcPr>
          <w:p w14:paraId="15063941" w14:textId="77777777" w:rsidR="006A6402" w:rsidRPr="007274EA" w:rsidRDefault="006A6402" w:rsidP="0017622B">
            <w:pPr>
              <w:rPr>
                <w:rFonts w:ascii="David" w:hAnsi="David"/>
                <w:b/>
                <w:bCs/>
                <w:rtl/>
              </w:rPr>
            </w:pPr>
            <w:r w:rsidRPr="007274EA">
              <w:rPr>
                <w:rFonts w:ascii="David" w:hAnsi="David"/>
                <w:b/>
                <w:bCs/>
                <w:rtl/>
              </w:rPr>
              <w:t xml:space="preserve">ת"פ 69640-10-18 מדינת ישראל נ' עדואן </w:t>
            </w:r>
          </w:p>
          <w:p w14:paraId="2ACF3022" w14:textId="77777777" w:rsidR="006A6402" w:rsidRPr="007274EA" w:rsidRDefault="006A6402" w:rsidP="0017622B">
            <w:pPr>
              <w:pStyle w:val="a3"/>
              <w:rPr>
                <w:rFonts w:ascii="David" w:hAnsi="David"/>
                <w:b/>
                <w:bCs/>
                <w:rtl/>
              </w:rPr>
            </w:pPr>
          </w:p>
        </w:tc>
        <w:tc>
          <w:tcPr>
            <w:tcW w:w="3667" w:type="dxa"/>
          </w:tcPr>
          <w:p w14:paraId="697640B2" w14:textId="77777777" w:rsidR="006A6402" w:rsidRPr="007274EA" w:rsidRDefault="006A6402" w:rsidP="0017622B">
            <w:pPr>
              <w:pStyle w:val="a3"/>
              <w:jc w:val="right"/>
              <w:rPr>
                <w:rFonts w:ascii="David" w:hAnsi="David"/>
                <w:b/>
                <w:bCs/>
                <w:rtl/>
              </w:rPr>
            </w:pPr>
          </w:p>
        </w:tc>
      </w:tr>
    </w:tbl>
    <w:p w14:paraId="34E1ED39" w14:textId="77777777" w:rsidR="006A6402" w:rsidRPr="007274EA" w:rsidRDefault="006A6402" w:rsidP="006A6402">
      <w:pPr>
        <w:pStyle w:val="a3"/>
        <w:rPr>
          <w:rtl/>
        </w:rPr>
      </w:pPr>
      <w:r w:rsidRPr="007274EA">
        <w:rPr>
          <w:rFonts w:hint="cs"/>
          <w:rtl/>
        </w:rPr>
        <w:t xml:space="preserve"> </w:t>
      </w:r>
    </w:p>
    <w:p w14:paraId="5A566412" w14:textId="77777777" w:rsidR="006A6402" w:rsidRPr="007274EA" w:rsidRDefault="006A6402" w:rsidP="006A6402">
      <w:pPr>
        <w:spacing w:line="360" w:lineRule="auto"/>
        <w:rPr>
          <w:rtl/>
        </w:rPr>
      </w:pPr>
    </w:p>
    <w:p w14:paraId="3F49E181" w14:textId="77777777" w:rsidR="006A6402" w:rsidRPr="007274EA" w:rsidRDefault="006A6402" w:rsidP="006A6402">
      <w:pPr>
        <w:spacing w:line="360" w:lineRule="auto"/>
        <w:rPr>
          <w:rtl/>
        </w:rPr>
      </w:pPr>
    </w:p>
    <w:tbl>
      <w:tblPr>
        <w:bidiVisual/>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1"/>
        <w:gridCol w:w="3538"/>
      </w:tblGrid>
      <w:tr w:rsidR="006A6402" w:rsidRPr="007274EA" w14:paraId="1673D68E" w14:textId="77777777" w:rsidTr="006A6402">
        <w:trPr>
          <w:trHeight w:val="355"/>
          <w:jc w:val="center"/>
        </w:trPr>
        <w:tc>
          <w:tcPr>
            <w:tcW w:w="4961" w:type="dxa"/>
            <w:tcBorders>
              <w:top w:val="nil"/>
              <w:left w:val="nil"/>
              <w:bottom w:val="nil"/>
              <w:right w:val="nil"/>
            </w:tcBorders>
            <w:shd w:val="clear" w:color="auto" w:fill="auto"/>
          </w:tcPr>
          <w:p w14:paraId="105CD8F9" w14:textId="77777777" w:rsidR="006A6402" w:rsidRPr="007274EA" w:rsidRDefault="006A6402" w:rsidP="006A6402">
            <w:pPr>
              <w:spacing w:line="360" w:lineRule="auto"/>
              <w:rPr>
                <w:rFonts w:ascii="David" w:hAnsi="David"/>
                <w:b/>
                <w:bCs/>
                <w:rtl/>
              </w:rPr>
            </w:pPr>
            <w:bookmarkStart w:id="1" w:name="FirstAppellant"/>
            <w:bookmarkStart w:id="2" w:name="FirstLawyer"/>
            <w:r w:rsidRPr="007274EA">
              <w:rPr>
                <w:rFonts w:ascii="David" w:hAnsi="David"/>
                <w:b/>
                <w:bCs/>
                <w:rtl/>
              </w:rPr>
              <w:t>מדינת ישראל</w:t>
            </w:r>
          </w:p>
          <w:p w14:paraId="54FC8A65" w14:textId="77777777" w:rsidR="006A6402" w:rsidRPr="007274EA" w:rsidRDefault="006A6402" w:rsidP="006A6402">
            <w:pPr>
              <w:spacing w:line="360" w:lineRule="auto"/>
              <w:rPr>
                <w:rFonts w:ascii="David" w:hAnsi="David"/>
              </w:rPr>
            </w:pPr>
            <w:r w:rsidRPr="007274EA">
              <w:rPr>
                <w:rFonts w:ascii="David" w:hAnsi="David" w:hint="cs"/>
                <w:rtl/>
              </w:rPr>
              <w:t>ע"י עו"ד אור גבאי</w:t>
            </w:r>
          </w:p>
        </w:tc>
        <w:tc>
          <w:tcPr>
            <w:tcW w:w="3538" w:type="dxa"/>
            <w:tcBorders>
              <w:top w:val="nil"/>
              <w:left w:val="nil"/>
              <w:bottom w:val="nil"/>
              <w:right w:val="nil"/>
            </w:tcBorders>
            <w:shd w:val="clear" w:color="auto" w:fill="auto"/>
          </w:tcPr>
          <w:p w14:paraId="77561888" w14:textId="77777777" w:rsidR="006A6402" w:rsidRPr="007274EA" w:rsidRDefault="006A6402" w:rsidP="006A6402">
            <w:pPr>
              <w:spacing w:line="360" w:lineRule="auto"/>
              <w:jc w:val="both"/>
              <w:rPr>
                <w:rFonts w:ascii="David" w:hAnsi="David"/>
                <w:b/>
                <w:bCs/>
                <w:rtl/>
              </w:rPr>
            </w:pPr>
          </w:p>
          <w:p w14:paraId="3CF8236D" w14:textId="77777777" w:rsidR="006A6402" w:rsidRPr="007274EA" w:rsidRDefault="006A6402" w:rsidP="006A6402">
            <w:pPr>
              <w:spacing w:line="360" w:lineRule="auto"/>
              <w:jc w:val="both"/>
              <w:rPr>
                <w:rFonts w:ascii="David" w:hAnsi="David"/>
                <w:b/>
                <w:bCs/>
              </w:rPr>
            </w:pPr>
            <w:r w:rsidRPr="007274EA">
              <w:rPr>
                <w:rFonts w:ascii="David" w:hAnsi="David" w:hint="cs"/>
                <w:b/>
                <w:bCs/>
                <w:rtl/>
              </w:rPr>
              <w:t>המאשימה</w:t>
            </w:r>
          </w:p>
        </w:tc>
      </w:tr>
      <w:bookmarkEnd w:id="1"/>
      <w:bookmarkEnd w:id="2"/>
      <w:tr w:rsidR="006A6402" w:rsidRPr="007274EA" w14:paraId="1F7B05C8" w14:textId="77777777" w:rsidTr="006A6402">
        <w:trPr>
          <w:trHeight w:val="355"/>
          <w:jc w:val="center"/>
        </w:trPr>
        <w:tc>
          <w:tcPr>
            <w:tcW w:w="8499" w:type="dxa"/>
            <w:gridSpan w:val="2"/>
            <w:tcBorders>
              <w:top w:val="nil"/>
              <w:left w:val="nil"/>
              <w:bottom w:val="nil"/>
              <w:right w:val="nil"/>
            </w:tcBorders>
            <w:shd w:val="clear" w:color="auto" w:fill="auto"/>
          </w:tcPr>
          <w:p w14:paraId="74FAC3C6" w14:textId="77777777" w:rsidR="006A6402" w:rsidRPr="007274EA" w:rsidRDefault="006A6402" w:rsidP="006A6402">
            <w:pPr>
              <w:jc w:val="center"/>
              <w:rPr>
                <w:rFonts w:ascii="David" w:hAnsi="David"/>
                <w:b/>
                <w:bCs/>
                <w:rtl/>
              </w:rPr>
            </w:pPr>
          </w:p>
          <w:p w14:paraId="533579FD" w14:textId="77777777" w:rsidR="006A6402" w:rsidRPr="007274EA" w:rsidRDefault="006A6402" w:rsidP="006A6402">
            <w:pPr>
              <w:jc w:val="center"/>
              <w:rPr>
                <w:rFonts w:ascii="David" w:hAnsi="David"/>
                <w:b/>
                <w:bCs/>
                <w:rtl/>
              </w:rPr>
            </w:pPr>
            <w:r w:rsidRPr="007274EA">
              <w:rPr>
                <w:rFonts w:ascii="David" w:hAnsi="David"/>
                <w:b/>
                <w:bCs/>
                <w:rtl/>
              </w:rPr>
              <w:t>נגד</w:t>
            </w:r>
          </w:p>
          <w:p w14:paraId="4595D0E0" w14:textId="77777777" w:rsidR="006A6402" w:rsidRPr="007274EA" w:rsidRDefault="006A6402" w:rsidP="006A6402">
            <w:pPr>
              <w:jc w:val="both"/>
              <w:rPr>
                <w:rFonts w:ascii="David" w:hAnsi="David"/>
                <w:b/>
                <w:bCs/>
              </w:rPr>
            </w:pPr>
          </w:p>
        </w:tc>
      </w:tr>
      <w:tr w:rsidR="006A6402" w:rsidRPr="007274EA" w14:paraId="6967C4BB" w14:textId="77777777" w:rsidTr="006A6402">
        <w:trPr>
          <w:trHeight w:val="355"/>
          <w:jc w:val="center"/>
        </w:trPr>
        <w:tc>
          <w:tcPr>
            <w:tcW w:w="4961" w:type="dxa"/>
            <w:tcBorders>
              <w:top w:val="nil"/>
              <w:left w:val="nil"/>
              <w:bottom w:val="nil"/>
              <w:right w:val="nil"/>
            </w:tcBorders>
            <w:shd w:val="clear" w:color="auto" w:fill="auto"/>
          </w:tcPr>
          <w:p w14:paraId="4D998C6B" w14:textId="77777777" w:rsidR="006A6402" w:rsidRPr="007274EA" w:rsidRDefault="006A6402" w:rsidP="006A6402">
            <w:pPr>
              <w:spacing w:line="360" w:lineRule="auto"/>
              <w:rPr>
                <w:rFonts w:ascii="David" w:hAnsi="David"/>
                <w:b/>
                <w:bCs/>
                <w:rtl/>
              </w:rPr>
            </w:pPr>
            <w:r w:rsidRPr="007274EA">
              <w:rPr>
                <w:rFonts w:ascii="David" w:hAnsi="David"/>
                <w:b/>
                <w:bCs/>
                <w:rtl/>
              </w:rPr>
              <w:t xml:space="preserve">מוחמד עדואן </w:t>
            </w:r>
          </w:p>
          <w:p w14:paraId="16ACB8A5" w14:textId="77777777" w:rsidR="006A6402" w:rsidRPr="007274EA" w:rsidRDefault="006A6402" w:rsidP="006A6402">
            <w:pPr>
              <w:spacing w:line="360" w:lineRule="auto"/>
              <w:rPr>
                <w:rFonts w:ascii="David" w:hAnsi="David"/>
                <w:rtl/>
              </w:rPr>
            </w:pPr>
            <w:r w:rsidRPr="007274EA">
              <w:rPr>
                <w:rFonts w:ascii="David" w:hAnsi="David" w:hint="cs"/>
                <w:rtl/>
              </w:rPr>
              <w:t>ע"י עו"ד שלמה גיגי, עו"ד בדריה עותמאן</w:t>
            </w:r>
          </w:p>
        </w:tc>
        <w:tc>
          <w:tcPr>
            <w:tcW w:w="3538" w:type="dxa"/>
            <w:tcBorders>
              <w:top w:val="nil"/>
              <w:left w:val="nil"/>
              <w:bottom w:val="nil"/>
              <w:right w:val="nil"/>
            </w:tcBorders>
            <w:shd w:val="clear" w:color="auto" w:fill="auto"/>
          </w:tcPr>
          <w:p w14:paraId="7B344843" w14:textId="77777777" w:rsidR="006A6402" w:rsidRPr="007274EA" w:rsidRDefault="006A6402" w:rsidP="006A6402">
            <w:pPr>
              <w:spacing w:line="360" w:lineRule="auto"/>
              <w:rPr>
                <w:rFonts w:ascii="David" w:hAnsi="David"/>
                <w:b/>
                <w:bCs/>
                <w:rtl/>
              </w:rPr>
            </w:pPr>
          </w:p>
          <w:p w14:paraId="1FC526A1" w14:textId="77777777" w:rsidR="006A6402" w:rsidRPr="007274EA" w:rsidRDefault="006A6402" w:rsidP="006A6402">
            <w:pPr>
              <w:spacing w:line="360" w:lineRule="auto"/>
              <w:rPr>
                <w:rFonts w:ascii="David" w:hAnsi="David"/>
                <w:b/>
                <w:bCs/>
              </w:rPr>
            </w:pPr>
            <w:r w:rsidRPr="007274EA">
              <w:rPr>
                <w:rFonts w:ascii="David" w:hAnsi="David" w:hint="cs"/>
                <w:b/>
                <w:bCs/>
                <w:rtl/>
              </w:rPr>
              <w:t>הנאשם</w:t>
            </w:r>
          </w:p>
        </w:tc>
      </w:tr>
    </w:tbl>
    <w:p w14:paraId="4CF31665" w14:textId="77777777" w:rsidR="006A6402" w:rsidRPr="007274EA" w:rsidRDefault="006A6402" w:rsidP="006A6402">
      <w:pPr>
        <w:spacing w:line="360" w:lineRule="auto"/>
      </w:pPr>
    </w:p>
    <w:p w14:paraId="24AF0014" w14:textId="77777777" w:rsidR="007274EA" w:rsidRPr="007274EA" w:rsidRDefault="007274EA" w:rsidP="007274EA">
      <w:pPr>
        <w:spacing w:before="120" w:after="120" w:line="240" w:lineRule="exact"/>
        <w:ind w:left="283" w:hanging="283"/>
        <w:jc w:val="both"/>
        <w:rPr>
          <w:rFonts w:ascii="FrankRuehl" w:hAnsi="FrankRuehl" w:cs="FrankRuehl"/>
          <w:rtl/>
        </w:rPr>
      </w:pPr>
    </w:p>
    <w:p w14:paraId="68A2BB81" w14:textId="77777777" w:rsidR="00A66A12" w:rsidRPr="00A66A12" w:rsidRDefault="00A66A12" w:rsidP="00A66A12">
      <w:pPr>
        <w:spacing w:before="120" w:after="120" w:line="240" w:lineRule="exact"/>
        <w:ind w:left="283" w:hanging="283"/>
        <w:jc w:val="both"/>
        <w:rPr>
          <w:rFonts w:ascii="FrankRuehl" w:hAnsi="FrankRuehl" w:cs="FrankRuehl"/>
          <w:rtl/>
        </w:rPr>
      </w:pPr>
      <w:bookmarkStart w:id="3" w:name="LawTable"/>
      <w:bookmarkEnd w:id="3"/>
      <w:r w:rsidRPr="00A66A12">
        <w:rPr>
          <w:rFonts w:ascii="FrankRuehl" w:hAnsi="FrankRuehl" w:cs="FrankRuehl"/>
          <w:rtl/>
        </w:rPr>
        <w:t xml:space="preserve">חקיקה שאוזכרה: </w:t>
      </w:r>
    </w:p>
    <w:p w14:paraId="46004590" w14:textId="77777777" w:rsidR="00A66A12" w:rsidRPr="00A66A12" w:rsidRDefault="00A66A12" w:rsidP="00A66A12">
      <w:pPr>
        <w:spacing w:before="120" w:after="120" w:line="240" w:lineRule="exact"/>
        <w:ind w:left="283" w:hanging="283"/>
        <w:jc w:val="both"/>
        <w:rPr>
          <w:rFonts w:ascii="FrankRuehl" w:hAnsi="FrankRuehl" w:cs="FrankRuehl"/>
          <w:rtl/>
        </w:rPr>
      </w:pPr>
      <w:hyperlink r:id="rId6" w:history="1">
        <w:r w:rsidRPr="00A66A12">
          <w:rPr>
            <w:rFonts w:ascii="FrankRuehl" w:hAnsi="FrankRuehl" w:cs="FrankRuehl"/>
            <w:color w:val="0000FF"/>
            <w:u w:val="single"/>
            <w:rtl/>
          </w:rPr>
          <w:t>חוק העונשין, תשל"ז-1977</w:t>
        </w:r>
      </w:hyperlink>
      <w:r w:rsidRPr="00A66A12">
        <w:rPr>
          <w:rFonts w:ascii="FrankRuehl" w:hAnsi="FrankRuehl" w:cs="FrankRuehl"/>
          <w:rtl/>
        </w:rPr>
        <w:t xml:space="preserve">: סע'  </w:t>
      </w:r>
      <w:hyperlink r:id="rId7" w:history="1">
        <w:r w:rsidRPr="00A66A12">
          <w:rPr>
            <w:rFonts w:ascii="FrankRuehl" w:hAnsi="FrankRuehl" w:cs="FrankRuehl"/>
            <w:color w:val="0000FF"/>
            <w:u w:val="single"/>
            <w:rtl/>
          </w:rPr>
          <w:t>29</w:t>
        </w:r>
      </w:hyperlink>
      <w:r w:rsidRPr="00A66A12">
        <w:rPr>
          <w:rFonts w:ascii="FrankRuehl" w:hAnsi="FrankRuehl" w:cs="FrankRuehl"/>
          <w:rtl/>
        </w:rPr>
        <w:t xml:space="preserve">, </w:t>
      </w:r>
      <w:hyperlink r:id="rId8" w:history="1">
        <w:r w:rsidRPr="00A66A12">
          <w:rPr>
            <w:rFonts w:ascii="FrankRuehl" w:hAnsi="FrankRuehl" w:cs="FrankRuehl"/>
            <w:color w:val="0000FF"/>
            <w:u w:val="single"/>
            <w:rtl/>
          </w:rPr>
          <w:t>40ט'</w:t>
        </w:r>
      </w:hyperlink>
      <w:r w:rsidRPr="00A66A12">
        <w:rPr>
          <w:rFonts w:ascii="FrankRuehl" w:hAnsi="FrankRuehl" w:cs="FrankRuehl"/>
          <w:rtl/>
        </w:rPr>
        <w:t xml:space="preserve">, </w:t>
      </w:r>
      <w:hyperlink r:id="rId9" w:history="1">
        <w:r w:rsidRPr="00A66A12">
          <w:rPr>
            <w:rFonts w:ascii="FrankRuehl" w:hAnsi="FrankRuehl" w:cs="FrankRuehl"/>
            <w:color w:val="0000FF"/>
            <w:u w:val="single"/>
            <w:rtl/>
          </w:rPr>
          <w:t>144</w:t>
        </w:r>
      </w:hyperlink>
      <w:r w:rsidRPr="00A66A12">
        <w:rPr>
          <w:rFonts w:ascii="FrankRuehl" w:hAnsi="FrankRuehl" w:cs="FrankRuehl"/>
          <w:rtl/>
        </w:rPr>
        <w:t xml:space="preserve">, </w:t>
      </w:r>
      <w:hyperlink r:id="rId10" w:history="1">
        <w:r w:rsidRPr="00A66A12">
          <w:rPr>
            <w:rFonts w:ascii="FrankRuehl" w:hAnsi="FrankRuehl" w:cs="FrankRuehl"/>
            <w:color w:val="0000FF"/>
            <w:u w:val="single"/>
            <w:rtl/>
          </w:rPr>
          <w:t>144(א)</w:t>
        </w:r>
      </w:hyperlink>
      <w:r w:rsidRPr="00A66A12">
        <w:rPr>
          <w:rFonts w:ascii="FrankRuehl" w:hAnsi="FrankRuehl" w:cs="FrankRuehl"/>
          <w:rtl/>
        </w:rPr>
        <w:t xml:space="preserve">, </w:t>
      </w:r>
      <w:hyperlink r:id="rId11" w:history="1">
        <w:r w:rsidRPr="00A66A12">
          <w:rPr>
            <w:rFonts w:ascii="FrankRuehl" w:hAnsi="FrankRuehl" w:cs="FrankRuehl"/>
            <w:color w:val="0000FF"/>
            <w:u w:val="single"/>
            <w:rtl/>
          </w:rPr>
          <w:t>144(ב2)</w:t>
        </w:r>
      </w:hyperlink>
    </w:p>
    <w:p w14:paraId="13798F44" w14:textId="77777777" w:rsidR="006A6402" w:rsidRDefault="006A6402" w:rsidP="00A66A12">
      <w:pPr>
        <w:spacing w:line="360" w:lineRule="auto"/>
        <w:jc w:val="both"/>
        <w:rPr>
          <w:rFonts w:ascii="Arial" w:hAnsi="Arial" w:hint="cs"/>
          <w:rtl/>
        </w:rPr>
      </w:pPr>
      <w:bookmarkStart w:id="4" w:name="LawTable_End"/>
      <w:bookmarkEnd w:id="4"/>
    </w:p>
    <w:p w14:paraId="3979D109" w14:textId="77777777" w:rsidR="00A66A12" w:rsidRDefault="00A66A12" w:rsidP="00A66A12">
      <w:pPr>
        <w:spacing w:line="360" w:lineRule="auto"/>
        <w:jc w:val="both"/>
        <w:rPr>
          <w:rFonts w:ascii="Arial" w:hAnsi="Arial" w:hint="cs"/>
          <w:rtl/>
        </w:rPr>
      </w:pPr>
    </w:p>
    <w:p w14:paraId="11551BFE" w14:textId="77777777" w:rsidR="00A66A12" w:rsidRPr="00A66A12" w:rsidRDefault="00A66A12" w:rsidP="00A66A12">
      <w:pPr>
        <w:spacing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A6402" w:rsidRPr="000921F3" w14:paraId="3F9B80FF" w14:textId="77777777" w:rsidTr="006A6402">
        <w:trPr>
          <w:trHeight w:val="355"/>
          <w:jc w:val="center"/>
        </w:trPr>
        <w:tc>
          <w:tcPr>
            <w:tcW w:w="8820" w:type="dxa"/>
            <w:tcBorders>
              <w:top w:val="nil"/>
              <w:left w:val="nil"/>
              <w:bottom w:val="nil"/>
              <w:right w:val="nil"/>
            </w:tcBorders>
            <w:shd w:val="clear" w:color="auto" w:fill="auto"/>
          </w:tcPr>
          <w:p w14:paraId="091F8AF6" w14:textId="77777777" w:rsidR="007274EA" w:rsidRPr="007274EA" w:rsidRDefault="007274EA" w:rsidP="007274EA">
            <w:pPr>
              <w:jc w:val="center"/>
              <w:rPr>
                <w:rFonts w:ascii="David" w:hAnsi="David"/>
                <w:b/>
                <w:bCs/>
                <w:sz w:val="32"/>
                <w:szCs w:val="32"/>
                <w:u w:val="single"/>
                <w:rtl/>
              </w:rPr>
            </w:pPr>
            <w:bookmarkStart w:id="5" w:name="PsakDin" w:colFirst="0" w:colLast="0"/>
            <w:bookmarkEnd w:id="0"/>
            <w:r w:rsidRPr="007274EA">
              <w:rPr>
                <w:rFonts w:ascii="David" w:hAnsi="David"/>
                <w:b/>
                <w:bCs/>
                <w:sz w:val="32"/>
                <w:szCs w:val="32"/>
                <w:u w:val="single"/>
                <w:rtl/>
              </w:rPr>
              <w:t>גזר דין</w:t>
            </w:r>
          </w:p>
          <w:p w14:paraId="1A22AEE0" w14:textId="77777777" w:rsidR="006A6402" w:rsidRPr="007274EA" w:rsidRDefault="006A6402" w:rsidP="007274EA">
            <w:pPr>
              <w:jc w:val="center"/>
              <w:rPr>
                <w:rFonts w:ascii="David" w:hAnsi="David"/>
                <w:bCs/>
                <w:sz w:val="32"/>
                <w:szCs w:val="32"/>
                <w:u w:val="single"/>
                <w:rtl/>
              </w:rPr>
            </w:pPr>
          </w:p>
        </w:tc>
      </w:tr>
      <w:bookmarkEnd w:id="5"/>
    </w:tbl>
    <w:p w14:paraId="4BB08443" w14:textId="77777777" w:rsidR="006A6402" w:rsidRDefault="006A6402" w:rsidP="006A6402">
      <w:pPr>
        <w:spacing w:line="360" w:lineRule="auto"/>
        <w:jc w:val="both"/>
        <w:rPr>
          <w:rFonts w:ascii="Arial" w:hAnsi="Arial"/>
          <w:rtl/>
        </w:rPr>
      </w:pPr>
    </w:p>
    <w:p w14:paraId="4DCEDF12" w14:textId="77777777" w:rsidR="006A6402" w:rsidRDefault="006A6402" w:rsidP="006A6402">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הורשע על יסוד הודאתו בעבירות של ניסיון לסחר בנשק, לפי </w:t>
      </w:r>
      <w:hyperlink r:id="rId12" w:history="1">
        <w:r w:rsidR="00A66A12" w:rsidRPr="00A66A12">
          <w:rPr>
            <w:rFonts w:ascii="Arial" w:hAnsi="Arial"/>
            <w:color w:val="0000FF"/>
            <w:u w:val="single"/>
            <w:rtl/>
          </w:rPr>
          <w:t>סעיף 144(ב2)</w:t>
        </w:r>
      </w:hyperlink>
      <w:r>
        <w:rPr>
          <w:rFonts w:ascii="Arial" w:hAnsi="Arial" w:hint="cs"/>
          <w:rtl/>
        </w:rPr>
        <w:t xml:space="preserve"> בצירוף </w:t>
      </w:r>
      <w:hyperlink r:id="rId13" w:history="1">
        <w:r w:rsidR="00A66A12" w:rsidRPr="00A66A12">
          <w:rPr>
            <w:rFonts w:ascii="Arial" w:hAnsi="Arial"/>
            <w:color w:val="0000FF"/>
            <w:u w:val="single"/>
            <w:rtl/>
          </w:rPr>
          <w:t>סעיף 29</w:t>
        </w:r>
      </w:hyperlink>
      <w:r>
        <w:rPr>
          <w:rFonts w:ascii="Arial" w:hAnsi="Arial" w:hint="cs"/>
          <w:rtl/>
        </w:rPr>
        <w:t xml:space="preserve"> ל</w:t>
      </w:r>
      <w:hyperlink r:id="rId14" w:history="1">
        <w:r w:rsidR="007274EA" w:rsidRPr="007274EA">
          <w:rPr>
            <w:rFonts w:ascii="Arial" w:hAnsi="Arial"/>
            <w:color w:val="0000FF"/>
            <w:u w:val="single"/>
            <w:rtl/>
          </w:rPr>
          <w:t>חוק העונשין</w:t>
        </w:r>
      </w:hyperlink>
      <w:r>
        <w:rPr>
          <w:rFonts w:ascii="Arial" w:hAnsi="Arial" w:hint="cs"/>
          <w:rtl/>
        </w:rPr>
        <w:t xml:space="preserve">; אחזקת נשק לפי </w:t>
      </w:r>
      <w:hyperlink r:id="rId15" w:history="1">
        <w:r w:rsidR="00A66A12" w:rsidRPr="00A66A12">
          <w:rPr>
            <w:rFonts w:ascii="Arial" w:hAnsi="Arial"/>
            <w:color w:val="0000FF"/>
            <w:u w:val="single"/>
            <w:rtl/>
          </w:rPr>
          <w:t>סעיף 144(א)</w:t>
        </w:r>
      </w:hyperlink>
      <w:r>
        <w:rPr>
          <w:rFonts w:ascii="Arial" w:hAnsi="Arial" w:hint="cs"/>
          <w:rtl/>
        </w:rPr>
        <w:t xml:space="preserve"> לחוק העונשין. </w:t>
      </w:r>
      <w:r>
        <w:rPr>
          <w:rFonts w:ascii="Arial" w:hAnsi="Arial" w:hint="cs"/>
          <w:b/>
          <w:bCs/>
          <w:rtl/>
        </w:rPr>
        <w:t>ואלה המעשים</w:t>
      </w:r>
      <w:r>
        <w:rPr>
          <w:rFonts w:ascii="Arial" w:hAnsi="Arial" w:hint="cs"/>
          <w:rtl/>
        </w:rPr>
        <w:t xml:space="preserve">: הנאשם הינו חבר של מחמד אבו-הייכל המשרת כחייל בגדוד הובלה בצה"ל ומשמש נהג משאית. בתאריך 15.10.18 נכנס אבו הייכל לאוהל בבסיס בדרום הארץ, נטל נשק צה"לי מסוג </w:t>
      </w:r>
      <w:r>
        <w:rPr>
          <w:rFonts w:ascii="Arial" w:hAnsi="Arial" w:hint="cs"/>
        </w:rPr>
        <w:t>M</w:t>
      </w:r>
      <w:r>
        <w:rPr>
          <w:rFonts w:ascii="Arial" w:hAnsi="Arial" w:hint="cs"/>
          <w:rtl/>
        </w:rPr>
        <w:t xml:space="preserve">4 מתחת למזרון אחד החיילים, הכניס הנשק למשאית ונסע מהבסיס, ובדרכו התקשר לנאשם, סיפר לו על הנשק והציע לנאשם למכור את הנשק ואף שלח לנאשם תמונה של הנשק. אבו הייכל והנאשם נפגשו בשעה 18:30 סמוך למחלף בן-שמן. אבו הייכל הכניס הנשק, בהתאם להוראת הנאשם, לתא המטען של הרכב עמו הגיע הנאשם למפגש. הנאשם נהג ברכב עם הנשק לכפר עין נקובא. זמן קצר אחר כך יצר הנאשם קשר עם מחמוד עבדאללה והציע לו לקנות הנשק תמורת עשרות אלפי שקלים. מחמוד עבדאללה סירב לשלם מלוא הסכום והציע לקנות הנשק בסכום קטן יותר. בהמשך הגיע הנאשם לביתו של מחמוד בעין נקובא והראה לו את הנשק. </w:t>
      </w:r>
    </w:p>
    <w:p w14:paraId="1450A27D" w14:textId="77777777" w:rsidR="006A6402" w:rsidRDefault="006A6402" w:rsidP="006A6402">
      <w:pPr>
        <w:spacing w:line="360" w:lineRule="auto"/>
        <w:jc w:val="both"/>
        <w:rPr>
          <w:rFonts w:ascii="Arial" w:hAnsi="Arial"/>
          <w:rtl/>
        </w:rPr>
      </w:pPr>
      <w:bookmarkStart w:id="7" w:name="ABSTRACT_END"/>
      <w:bookmarkEnd w:id="7"/>
    </w:p>
    <w:p w14:paraId="74764CEE" w14:textId="77777777" w:rsidR="006A6402" w:rsidRDefault="006A6402" w:rsidP="006A6402">
      <w:pPr>
        <w:spacing w:line="360" w:lineRule="auto"/>
        <w:jc w:val="both"/>
        <w:rPr>
          <w:rFonts w:ascii="Arial" w:hAnsi="Arial"/>
          <w:rtl/>
        </w:rPr>
      </w:pPr>
      <w:r>
        <w:rPr>
          <w:rFonts w:ascii="Arial" w:hAnsi="Arial" w:hint="cs"/>
          <w:rtl/>
        </w:rPr>
        <w:t>2.</w:t>
      </w:r>
      <w:r>
        <w:rPr>
          <w:rFonts w:ascii="Arial" w:hAnsi="Arial" w:hint="cs"/>
          <w:rtl/>
        </w:rPr>
        <w:tab/>
        <w:t xml:space="preserve">הנאשם, יליד 31.10.1996, מתגורר בבית הוריו בכפר עין נקובא, בוגר 12 שנות לימוד, בעל תעודת בגרות, עבד כראש צוות ניקיון במע"צ, בן למשפחה נורמטיבית, עברו נקי, מגלה יציבות במסגרות לימוד ועבודה. שירות המבחן ציין כי הנאשם לקח אחריות אף כי נוטה לצמצם חלקו באירוע. בחודשים האחרונים שולב בקבוצה טיפולית התורמת ליכולת התבוננות פנימית </w:t>
      </w:r>
      <w:r>
        <w:rPr>
          <w:rFonts w:ascii="Arial" w:hAnsi="Arial" w:hint="cs"/>
          <w:rtl/>
        </w:rPr>
        <w:lastRenderedPageBreak/>
        <w:t xml:space="preserve">וביקורתיות. גורמי הסיכון הם גישה מרצה של הנאשם ואישיות צעירה ולא מגובשת. גורמי הסיכוי מצד שני, הם משפחה תומכת, כיבוד מסגרות, הרתמות לטיפול משקם. שירות המבחן ממליץ על המשך טיפול משקם, מאסר בעבודות שירות כדי למנוע כליאה נוספת העלולה להוות גורם מדרדר. </w:t>
      </w:r>
    </w:p>
    <w:p w14:paraId="79723726" w14:textId="77777777" w:rsidR="006A6402" w:rsidRDefault="006A6402" w:rsidP="006A6402">
      <w:pPr>
        <w:spacing w:line="360" w:lineRule="auto"/>
        <w:jc w:val="both"/>
        <w:rPr>
          <w:rFonts w:ascii="Arial" w:hAnsi="Arial"/>
          <w:rtl/>
        </w:rPr>
      </w:pPr>
    </w:p>
    <w:p w14:paraId="2DBAB434" w14:textId="77777777" w:rsidR="006A6402" w:rsidRDefault="006A6402" w:rsidP="006A6402">
      <w:pPr>
        <w:spacing w:line="360" w:lineRule="auto"/>
        <w:jc w:val="both"/>
        <w:rPr>
          <w:rFonts w:ascii="Arial" w:hAnsi="Arial"/>
          <w:rtl/>
        </w:rPr>
      </w:pPr>
      <w:r>
        <w:rPr>
          <w:rFonts w:ascii="Arial" w:hAnsi="Arial" w:hint="cs"/>
          <w:rtl/>
        </w:rPr>
        <w:t>3.</w:t>
      </w:r>
      <w:r>
        <w:rPr>
          <w:rFonts w:ascii="Arial" w:hAnsi="Arial" w:hint="cs"/>
          <w:rtl/>
        </w:rPr>
        <w:tab/>
        <w:t xml:space="preserve">הנאשם היה עצור מאחורי סורג ובריח מיום 16.10.18 עד 14.2.19 ומאז נתון במעצר בית מלא עם איזוק אלקטרוני. </w:t>
      </w:r>
    </w:p>
    <w:p w14:paraId="6E9FEB0E" w14:textId="77777777" w:rsidR="006A6402" w:rsidRDefault="006A6402" w:rsidP="006A6402">
      <w:pPr>
        <w:spacing w:line="360" w:lineRule="auto"/>
        <w:jc w:val="both"/>
        <w:rPr>
          <w:rFonts w:ascii="Arial" w:hAnsi="Arial"/>
          <w:rtl/>
        </w:rPr>
      </w:pPr>
    </w:p>
    <w:p w14:paraId="080972D2" w14:textId="77777777" w:rsidR="006A6402" w:rsidRDefault="006A6402" w:rsidP="006A6402">
      <w:pPr>
        <w:spacing w:line="36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ב"כ המאשימה</w:t>
      </w:r>
      <w:r>
        <w:rPr>
          <w:rFonts w:ascii="Arial" w:hAnsi="Arial" w:hint="cs"/>
          <w:rtl/>
        </w:rPr>
        <w:t xml:space="preserve"> טען כי הערכים המוגנים בעבירות הנשק הן שמירה על החיים והביטחון החברתי, הדגיש כי הנשק לא נמצא עד היום, העבירות בוצעו עבור בצע כסף. מדיניות הענישה מבוססת על תקדימי בית המשפט העליון, לפיכך יש להחמיר בעבירות נשק (עפ"י 8045/17). הציבור זועק נגד מעשי פשע הנעשים בנשק ועל כן ביקש להעמיד מתחם ענישה 84-42 חודשי מאסר, ונוכח הנסיבות המקלות והתסקיר החיובי, טען כי יש למקם הנאשם בתחתית המתחם, בתוספת מאסר על תנאי וקנס. </w:t>
      </w:r>
    </w:p>
    <w:p w14:paraId="6D86AA25" w14:textId="77777777" w:rsidR="006A6402" w:rsidRDefault="006A6402" w:rsidP="006A6402">
      <w:pPr>
        <w:spacing w:line="360" w:lineRule="auto"/>
        <w:jc w:val="both"/>
        <w:rPr>
          <w:rFonts w:ascii="Arial" w:hAnsi="Arial"/>
          <w:rtl/>
        </w:rPr>
      </w:pPr>
    </w:p>
    <w:p w14:paraId="623A2EB2" w14:textId="77777777" w:rsidR="006A6402" w:rsidRDefault="006A6402" w:rsidP="006A6402">
      <w:pPr>
        <w:spacing w:line="360" w:lineRule="auto"/>
        <w:jc w:val="both"/>
        <w:rPr>
          <w:rFonts w:ascii="Arial" w:hAnsi="Arial"/>
          <w:rtl/>
        </w:rPr>
      </w:pPr>
      <w:r>
        <w:rPr>
          <w:rFonts w:ascii="Arial" w:hAnsi="Arial" w:hint="cs"/>
          <w:rtl/>
        </w:rPr>
        <w:t>5.</w:t>
      </w:r>
      <w:r>
        <w:rPr>
          <w:rFonts w:ascii="Arial" w:hAnsi="Arial" w:hint="cs"/>
          <w:rtl/>
        </w:rPr>
        <w:tab/>
      </w:r>
      <w:r>
        <w:rPr>
          <w:rFonts w:ascii="Arial" w:hAnsi="Arial" w:hint="cs"/>
          <w:b/>
          <w:bCs/>
          <w:rtl/>
        </w:rPr>
        <w:t>ב"כ הנאשם</w:t>
      </w:r>
      <w:r>
        <w:rPr>
          <w:rFonts w:ascii="Arial" w:hAnsi="Arial" w:hint="cs"/>
          <w:rtl/>
        </w:rPr>
        <w:t xml:space="preserve"> טענו כי מדובר בילד צעיר, בן 22, ללא עבר פלילי שנקלע לאירוע, לא הבין חומרת מעשיו, לא יזם ולא תכנן, לקח אחריות, הביע חרטה, בסך הכל רצה לעזור לחבר. עקב המקרה פוטר מעבודתו, אמו הפסיקה לעבוד כדי לשמור עליו במעצר הבית, השתלב בהליך שיקומי מועיל ובעיקר העבירה ברף הנמוך של עבירות הנשק. המעצר בו שהה בכלא וכן מעצר הבית מהווים גורם מרתיע ומעידה חד פעמית אינה מצדיקה מאסר בפועל, אלא מתן הזדמנות. הסנגורים הפנו לפסיקה מקלה שהסתפקה בדרך כלל במאסר בעבודות שירות ובמקרה שלפנינו יש הצדקה לסטות ממתחם הענישה בשל שיקולי שיקום מובהקים. </w:t>
      </w:r>
    </w:p>
    <w:p w14:paraId="6D1E5A2C" w14:textId="77777777" w:rsidR="006A6402" w:rsidRDefault="006A6402" w:rsidP="006A6402">
      <w:pPr>
        <w:spacing w:line="360" w:lineRule="auto"/>
        <w:jc w:val="both"/>
        <w:rPr>
          <w:rFonts w:ascii="Arial" w:hAnsi="Arial"/>
          <w:rtl/>
        </w:rPr>
      </w:pPr>
      <w:r>
        <w:rPr>
          <w:rFonts w:ascii="Arial" w:hAnsi="Arial" w:hint="cs"/>
          <w:b/>
          <w:bCs/>
          <w:rtl/>
        </w:rPr>
        <w:t>הנאשם</w:t>
      </w:r>
      <w:r>
        <w:rPr>
          <w:rFonts w:ascii="Arial" w:hAnsi="Arial" w:hint="cs"/>
          <w:rtl/>
        </w:rPr>
        <w:t xml:space="preserve"> הביע צער וחרטה, הודה בטעות וביקש הזדמנות לחזור לעצמו. </w:t>
      </w:r>
    </w:p>
    <w:p w14:paraId="40763F53" w14:textId="77777777" w:rsidR="006A6402" w:rsidRDefault="006A6402" w:rsidP="006A6402">
      <w:pPr>
        <w:spacing w:line="360" w:lineRule="auto"/>
        <w:jc w:val="both"/>
        <w:rPr>
          <w:rFonts w:ascii="Arial" w:hAnsi="Arial"/>
          <w:rtl/>
        </w:rPr>
      </w:pPr>
    </w:p>
    <w:p w14:paraId="13681804" w14:textId="77777777" w:rsidR="006A6402" w:rsidRDefault="006A6402" w:rsidP="006A6402">
      <w:pPr>
        <w:spacing w:line="360" w:lineRule="auto"/>
        <w:jc w:val="both"/>
        <w:rPr>
          <w:rFonts w:ascii="Arial" w:hAnsi="Arial"/>
          <w:rtl/>
        </w:rPr>
      </w:pPr>
      <w:r>
        <w:rPr>
          <w:rFonts w:ascii="Arial" w:hAnsi="Arial" w:hint="cs"/>
          <w:rtl/>
        </w:rPr>
        <w:t>6.</w:t>
      </w:r>
      <w:r>
        <w:rPr>
          <w:rFonts w:ascii="Arial" w:hAnsi="Arial" w:hint="cs"/>
          <w:rtl/>
        </w:rPr>
        <w:tab/>
      </w:r>
      <w:r>
        <w:rPr>
          <w:rFonts w:ascii="Arial" w:hAnsi="Arial" w:hint="cs"/>
          <w:b/>
          <w:bCs/>
          <w:rtl/>
        </w:rPr>
        <w:t>לציין</w:t>
      </w:r>
      <w:r>
        <w:rPr>
          <w:rFonts w:ascii="Arial" w:hAnsi="Arial" w:hint="cs"/>
          <w:rtl/>
        </w:rPr>
        <w:t xml:space="preserve">: עניינו של מחמד אבו הייכל, חייל צה"ל שהוציא הנשק מהבסיס הצבאי והעבירו לנאשם שלפנינו, נדון בבי"ד צבאי מטכ"ל מחוזי (תיק 646/18), שם אושר הסדר טיעון סגור של 60 חודשי מאסר בפועל, מאסרים על תנאי וקנס 5000 ₪. </w:t>
      </w:r>
    </w:p>
    <w:p w14:paraId="1B6E0229" w14:textId="77777777" w:rsidR="006A6402" w:rsidRDefault="006A6402" w:rsidP="006A6402">
      <w:pPr>
        <w:spacing w:line="360" w:lineRule="auto"/>
        <w:jc w:val="both"/>
        <w:rPr>
          <w:rFonts w:ascii="Arial" w:hAnsi="Arial"/>
          <w:rtl/>
        </w:rPr>
      </w:pPr>
      <w:r>
        <w:rPr>
          <w:rFonts w:ascii="Arial" w:hAnsi="Arial" w:hint="cs"/>
          <w:rtl/>
        </w:rPr>
        <w:t>מחמוד עבדאללה עמו ניהל הנאשם מו"מ למכירת הנשק נדון לחמישה וחצי חודשי מאסר בפועל (תקופת מעצרו) וכן מאסרים על תנאי (</w:t>
      </w:r>
      <w:hyperlink r:id="rId16" w:history="1">
        <w:r w:rsidR="007274EA" w:rsidRPr="007274EA">
          <w:rPr>
            <w:rFonts w:ascii="Arial" w:hAnsi="Arial"/>
            <w:color w:val="0000FF"/>
            <w:u w:val="single"/>
            <w:rtl/>
          </w:rPr>
          <w:t>ת"פ 70242-10-18</w:t>
        </w:r>
      </w:hyperlink>
      <w:r>
        <w:rPr>
          <w:rFonts w:ascii="Arial" w:hAnsi="Arial" w:hint="cs"/>
          <w:rtl/>
        </w:rPr>
        <w:t xml:space="preserve">, בית משפט שלום ירושלים, גז"ד מיום 16.6.19). </w:t>
      </w:r>
    </w:p>
    <w:p w14:paraId="665594EA" w14:textId="77777777" w:rsidR="006A6402" w:rsidRDefault="006A6402" w:rsidP="006A6402">
      <w:pPr>
        <w:spacing w:line="360" w:lineRule="auto"/>
        <w:jc w:val="both"/>
        <w:rPr>
          <w:rFonts w:ascii="Arial" w:hAnsi="Arial"/>
          <w:rtl/>
        </w:rPr>
      </w:pPr>
    </w:p>
    <w:p w14:paraId="7C3ED3C8" w14:textId="77777777" w:rsidR="006A6402" w:rsidRDefault="006A6402" w:rsidP="006A6402">
      <w:pPr>
        <w:spacing w:line="360" w:lineRule="auto"/>
        <w:jc w:val="both"/>
        <w:rPr>
          <w:rFonts w:ascii="Arial" w:hAnsi="Arial"/>
          <w:rtl/>
        </w:rPr>
      </w:pPr>
      <w:r>
        <w:rPr>
          <w:rFonts w:ascii="Arial" w:hAnsi="Arial" w:hint="cs"/>
          <w:rtl/>
        </w:rPr>
        <w:t>7.</w:t>
      </w:r>
      <w:r>
        <w:rPr>
          <w:rFonts w:ascii="Arial" w:hAnsi="Arial" w:hint="cs"/>
          <w:rtl/>
        </w:rPr>
        <w:tab/>
      </w:r>
      <w:r w:rsidRPr="002C4E03">
        <w:rPr>
          <w:rFonts w:ascii="Arial" w:hAnsi="Arial" w:hint="cs"/>
          <w:b/>
          <w:bCs/>
          <w:rtl/>
        </w:rPr>
        <w:t>הערכים המוגנים</w:t>
      </w:r>
      <w:r>
        <w:rPr>
          <w:rFonts w:ascii="Arial" w:hAnsi="Arial" w:hint="cs"/>
          <w:rtl/>
        </w:rPr>
        <w:t xml:space="preserve"> בעבירות נשק וסחר בנשק הם שלמות הגוף וחיי אדם, שלום הציבור וביטחונו (</w:t>
      </w:r>
      <w:hyperlink r:id="rId17" w:history="1">
        <w:r w:rsidR="007274EA" w:rsidRPr="007274EA">
          <w:rPr>
            <w:rFonts w:ascii="Arial" w:hAnsi="Arial"/>
            <w:color w:val="0000FF"/>
            <w:u w:val="single"/>
            <w:rtl/>
          </w:rPr>
          <w:t>ע"פ 8045/17</w:t>
        </w:r>
      </w:hyperlink>
      <w:r>
        <w:rPr>
          <w:rFonts w:ascii="Arial" w:hAnsi="Arial" w:hint="cs"/>
          <w:rtl/>
        </w:rPr>
        <w:t xml:space="preserve"> של ביהמ"ש העליון). </w:t>
      </w:r>
    </w:p>
    <w:p w14:paraId="114FACC0" w14:textId="77777777" w:rsidR="006A6402" w:rsidRDefault="006A6402" w:rsidP="006A6402">
      <w:pPr>
        <w:spacing w:line="360" w:lineRule="auto"/>
        <w:jc w:val="both"/>
        <w:rPr>
          <w:rFonts w:ascii="Arial" w:hAnsi="Arial"/>
          <w:rtl/>
        </w:rPr>
      </w:pPr>
    </w:p>
    <w:p w14:paraId="38A2F66D" w14:textId="77777777" w:rsidR="006A6402" w:rsidRDefault="006A6402" w:rsidP="006A6402">
      <w:pPr>
        <w:spacing w:line="360" w:lineRule="auto"/>
        <w:jc w:val="both"/>
        <w:rPr>
          <w:rFonts w:ascii="Arial" w:hAnsi="Arial"/>
          <w:rtl/>
        </w:rPr>
      </w:pPr>
      <w:r>
        <w:rPr>
          <w:rFonts w:ascii="Arial" w:hAnsi="Arial" w:hint="cs"/>
          <w:rtl/>
        </w:rPr>
        <w:tab/>
      </w:r>
      <w:r w:rsidRPr="00C219AF">
        <w:rPr>
          <w:rFonts w:ascii="Arial" w:hAnsi="Arial" w:hint="cs"/>
          <w:b/>
          <w:bCs/>
          <w:rtl/>
        </w:rPr>
        <w:t>באשר לענישה הנוהגת</w:t>
      </w:r>
      <w:r>
        <w:rPr>
          <w:rFonts w:ascii="Arial" w:hAnsi="Arial" w:hint="cs"/>
          <w:rtl/>
        </w:rPr>
        <w:t xml:space="preserve">: </w:t>
      </w:r>
      <w:r w:rsidRPr="002E7DDA">
        <w:rPr>
          <w:rFonts w:ascii="Arial" w:hAnsi="Arial" w:hint="cs"/>
          <w:b/>
          <w:bCs/>
          <w:rtl/>
        </w:rPr>
        <w:t>ב</w:t>
      </w:r>
      <w:hyperlink r:id="rId18" w:history="1">
        <w:r w:rsidR="007274EA" w:rsidRPr="007274EA">
          <w:rPr>
            <w:rFonts w:ascii="Arial" w:hAnsi="Arial"/>
            <w:b/>
            <w:bCs/>
            <w:color w:val="0000FF"/>
            <w:u w:val="single"/>
            <w:rtl/>
          </w:rPr>
          <w:t>ע"פ 8045/17</w:t>
        </w:r>
      </w:hyperlink>
      <w:r>
        <w:rPr>
          <w:rFonts w:ascii="Arial" w:hAnsi="Arial" w:hint="cs"/>
          <w:rtl/>
        </w:rPr>
        <w:t xml:space="preserve"> הנ"ל היו מספר נאשמים מעורבים בשורה של עסקאות נשק ונקבעו מתחמי ענישה שנעו בין 9-4 שנות מאסר, ולגבי נאשם שהורשע בעבירת נשק אחת נקבע מתחם 48-18 חודשי מאסר. הודגש כי נוכח היקף התופעה של סחר בנשק, יש להחמיר בענישה. </w:t>
      </w:r>
    </w:p>
    <w:p w14:paraId="5ED481AC" w14:textId="77777777" w:rsidR="006A6402" w:rsidRDefault="006A6402" w:rsidP="006A6402">
      <w:pPr>
        <w:spacing w:line="360" w:lineRule="auto"/>
        <w:jc w:val="both"/>
        <w:rPr>
          <w:rFonts w:ascii="Arial" w:hAnsi="Arial"/>
          <w:rtl/>
        </w:rPr>
      </w:pPr>
      <w:r>
        <w:rPr>
          <w:rFonts w:ascii="Arial" w:hAnsi="Arial" w:hint="cs"/>
          <w:b/>
          <w:bCs/>
          <w:rtl/>
        </w:rPr>
        <w:t>ב</w:t>
      </w:r>
      <w:hyperlink r:id="rId19" w:history="1">
        <w:r w:rsidR="007274EA" w:rsidRPr="007274EA">
          <w:rPr>
            <w:rFonts w:ascii="Arial" w:hAnsi="Arial"/>
            <w:b/>
            <w:bCs/>
            <w:color w:val="0000FF"/>
            <w:u w:val="single"/>
            <w:rtl/>
          </w:rPr>
          <w:t>ע"פ 4154/16</w:t>
        </w:r>
      </w:hyperlink>
      <w:r>
        <w:rPr>
          <w:rFonts w:ascii="Arial" w:hAnsi="Arial" w:hint="cs"/>
          <w:rtl/>
        </w:rPr>
        <w:t xml:space="preserve"> הורשע המערער בשני אישומים בעבירות סחר בנשק ונשיאת נשק, נקבע מתחם לכל אחד מהאישומים 60-24 חודשי מאסר וגזה"ד היה 45 חודשי מאסר. הערעור נדחה. </w:t>
      </w:r>
    </w:p>
    <w:p w14:paraId="197F87AB" w14:textId="77777777" w:rsidR="006A6402" w:rsidRDefault="006A6402" w:rsidP="006A6402">
      <w:pPr>
        <w:spacing w:line="360" w:lineRule="auto"/>
        <w:jc w:val="both"/>
        <w:rPr>
          <w:rFonts w:ascii="Arial" w:hAnsi="Arial"/>
          <w:rtl/>
        </w:rPr>
      </w:pPr>
      <w:r>
        <w:rPr>
          <w:rFonts w:ascii="Arial" w:hAnsi="Arial" w:hint="cs"/>
          <w:b/>
          <w:bCs/>
          <w:rtl/>
        </w:rPr>
        <w:lastRenderedPageBreak/>
        <w:t>ב</w:t>
      </w:r>
      <w:hyperlink r:id="rId20" w:history="1">
        <w:r w:rsidR="007274EA" w:rsidRPr="007274EA">
          <w:rPr>
            <w:rFonts w:ascii="Arial" w:hAnsi="Arial"/>
            <w:b/>
            <w:bCs/>
            <w:color w:val="0000FF"/>
            <w:u w:val="single"/>
            <w:rtl/>
          </w:rPr>
          <w:t>ע"פ 785/15</w:t>
        </w:r>
      </w:hyperlink>
      <w:r>
        <w:rPr>
          <w:rFonts w:ascii="Arial" w:hAnsi="Arial" w:hint="cs"/>
          <w:rtl/>
        </w:rPr>
        <w:t xml:space="preserve"> הורשע המערער בשתי עבירות סחר בנשק, עבירת ניסיון לסחר וכן עבירות סמים, נקבעו מתחמי ענישה לכל אירוע בין 60-24 חודשים, ובערעור הומתק עונש המאסר ל-78 חודשי מאסר בפועל. </w:t>
      </w:r>
    </w:p>
    <w:p w14:paraId="4C8458FA" w14:textId="77777777" w:rsidR="006A6402" w:rsidRDefault="006A6402" w:rsidP="006A6402">
      <w:pPr>
        <w:spacing w:line="360" w:lineRule="auto"/>
        <w:jc w:val="both"/>
        <w:rPr>
          <w:rFonts w:ascii="Arial" w:hAnsi="Arial"/>
          <w:rtl/>
        </w:rPr>
      </w:pPr>
      <w:r>
        <w:rPr>
          <w:rFonts w:ascii="Arial" w:hAnsi="Arial" w:hint="cs"/>
          <w:b/>
          <w:bCs/>
          <w:rtl/>
        </w:rPr>
        <w:t>ב</w:t>
      </w:r>
      <w:hyperlink r:id="rId21" w:history="1">
        <w:r w:rsidR="007274EA" w:rsidRPr="007274EA">
          <w:rPr>
            <w:rFonts w:ascii="Arial" w:hAnsi="Arial"/>
            <w:b/>
            <w:bCs/>
            <w:color w:val="0000FF"/>
            <w:u w:val="single"/>
            <w:rtl/>
          </w:rPr>
          <w:t>ת.פ. 59812-02-16</w:t>
        </w:r>
      </w:hyperlink>
      <w:r>
        <w:rPr>
          <w:rFonts w:ascii="Arial" w:hAnsi="Arial" w:hint="cs"/>
          <w:b/>
          <w:bCs/>
          <w:rtl/>
        </w:rPr>
        <w:t xml:space="preserve"> (מחוזי מרכז)</w:t>
      </w:r>
      <w:r>
        <w:rPr>
          <w:rFonts w:ascii="Arial" w:hAnsi="Arial" w:hint="cs"/>
          <w:rtl/>
        </w:rPr>
        <w:t xml:space="preserve"> הורשעה הנאשמת בעבירת סחר בנשק; מסירת ידיעה כוזבת; שיבוש מהלכי משפט. נקבע מתחם 36-18 חודשים לעבירת הנשק. ביהמ"ש החליט לסטות מהמתחם עקב נסיבות שיקום מיוחדות וגזר שישה חודשי מאסר לריצוי בעבודות שירות, מאסרים על תנאי, קנס 25,000 ₪ וצו מבחן. </w:t>
      </w:r>
    </w:p>
    <w:p w14:paraId="0C564EF5" w14:textId="77777777" w:rsidR="006A6402" w:rsidRDefault="006A6402" w:rsidP="006A6402">
      <w:pPr>
        <w:spacing w:line="360" w:lineRule="auto"/>
        <w:jc w:val="both"/>
        <w:rPr>
          <w:rFonts w:ascii="Arial" w:hAnsi="Arial"/>
          <w:rtl/>
        </w:rPr>
      </w:pPr>
      <w:r>
        <w:rPr>
          <w:rFonts w:ascii="Arial" w:hAnsi="Arial" w:hint="cs"/>
          <w:b/>
          <w:bCs/>
          <w:rtl/>
        </w:rPr>
        <w:t>ב</w:t>
      </w:r>
      <w:hyperlink r:id="rId22" w:history="1">
        <w:r w:rsidR="007274EA" w:rsidRPr="007274EA">
          <w:rPr>
            <w:rFonts w:ascii="Arial" w:hAnsi="Arial"/>
            <w:b/>
            <w:bCs/>
            <w:color w:val="0000FF"/>
            <w:u w:val="single"/>
            <w:rtl/>
          </w:rPr>
          <w:t>תפ. 42976-08-17</w:t>
        </w:r>
      </w:hyperlink>
      <w:r>
        <w:rPr>
          <w:rFonts w:ascii="Arial" w:hAnsi="Arial" w:hint="cs"/>
          <w:b/>
          <w:bCs/>
          <w:rtl/>
        </w:rPr>
        <w:t xml:space="preserve"> (מחוזי י-ם)</w:t>
      </w:r>
      <w:r>
        <w:rPr>
          <w:rFonts w:ascii="Arial" w:hAnsi="Arial" w:hint="cs"/>
          <w:rtl/>
        </w:rPr>
        <w:t xml:space="preserve"> הורשעו הנאשמים בסחר בכדורי אקדח וחלקי חילוף של נשק. נקבעו מתחמי ענישה בין עבודות שירות ומאסר עד 12, 18 חודשי מאסר ונגזרו מאסרים קצרים לריצוי בעבודות שירות למעט נאשם 2 שנדון ל-4 חודשי מאסר בפועל. </w:t>
      </w:r>
    </w:p>
    <w:p w14:paraId="661FC233" w14:textId="77777777" w:rsidR="006A6402" w:rsidRDefault="006A6402" w:rsidP="006A6402">
      <w:pPr>
        <w:spacing w:line="360" w:lineRule="auto"/>
        <w:jc w:val="both"/>
        <w:rPr>
          <w:rFonts w:ascii="Arial" w:hAnsi="Arial"/>
          <w:rtl/>
        </w:rPr>
      </w:pPr>
      <w:r>
        <w:rPr>
          <w:rFonts w:ascii="Arial" w:hAnsi="Arial" w:hint="cs"/>
          <w:b/>
          <w:bCs/>
          <w:rtl/>
        </w:rPr>
        <w:t>ב</w:t>
      </w:r>
      <w:hyperlink r:id="rId23" w:history="1">
        <w:r w:rsidR="007274EA" w:rsidRPr="007274EA">
          <w:rPr>
            <w:rFonts w:ascii="Arial" w:hAnsi="Arial"/>
            <w:b/>
            <w:bCs/>
            <w:color w:val="0000FF"/>
            <w:u w:val="single"/>
            <w:rtl/>
          </w:rPr>
          <w:t>ת.פ. 38015-01-12</w:t>
        </w:r>
      </w:hyperlink>
      <w:r>
        <w:rPr>
          <w:rFonts w:ascii="Arial" w:hAnsi="Arial" w:hint="cs"/>
          <w:rtl/>
        </w:rPr>
        <w:t xml:space="preserve"> (מחוזי חיפה) הורשע הנאשם ברכישת ואחזקת נשק, נקבע מתחם בין מאסר בעבודות שירות לבין 20 חודשי מאסר, ונגזר מאסר בעבודות שירות, מאסר על תנאי, קנס 2000 ₪ וצו מבחן. </w:t>
      </w:r>
    </w:p>
    <w:p w14:paraId="6B6A1D61" w14:textId="77777777" w:rsidR="006A6402" w:rsidRDefault="006A6402" w:rsidP="006A6402">
      <w:pPr>
        <w:spacing w:line="360" w:lineRule="auto"/>
        <w:jc w:val="both"/>
        <w:rPr>
          <w:rFonts w:ascii="Arial" w:hAnsi="Arial"/>
          <w:rtl/>
        </w:rPr>
      </w:pPr>
      <w:r>
        <w:rPr>
          <w:rFonts w:ascii="Arial" w:hAnsi="Arial" w:hint="cs"/>
          <w:b/>
          <w:bCs/>
          <w:rtl/>
        </w:rPr>
        <w:t>ב</w:t>
      </w:r>
      <w:hyperlink r:id="rId24" w:history="1">
        <w:r w:rsidR="007274EA" w:rsidRPr="007274EA">
          <w:rPr>
            <w:rFonts w:ascii="Arial" w:hAnsi="Arial"/>
            <w:b/>
            <w:bCs/>
            <w:color w:val="0000FF"/>
            <w:u w:val="single"/>
            <w:rtl/>
          </w:rPr>
          <w:t>ת.פ. 35683-04-18</w:t>
        </w:r>
      </w:hyperlink>
      <w:r>
        <w:rPr>
          <w:rFonts w:ascii="Arial" w:hAnsi="Arial" w:hint="cs"/>
          <w:b/>
          <w:bCs/>
          <w:rtl/>
        </w:rPr>
        <w:t xml:space="preserve"> (מחוזי י-ם)</w:t>
      </w:r>
      <w:r>
        <w:rPr>
          <w:rFonts w:ascii="Arial" w:hAnsi="Arial" w:hint="cs"/>
          <w:rtl/>
        </w:rPr>
        <w:t xml:space="preserve"> הורשעו 4 נאשמים בעבירות סחר בנשק. נקבעו מתחמי ענישה בטווח 48-20 חודשי מאסר. נאשם 1 לו עבר פלילי נדון למאסר 34 חודשים; נאשם 2 ללא עבר נדון ל-20 חודשי מאסר בפועל; נאשם 3 לתשעה וחצי חודשי מאסר והנאשם האחרון ל-12 חודשי מאסר בפועל. כל הנאשמים נדונו למאסרים על תנאי ולקנסות. </w:t>
      </w:r>
    </w:p>
    <w:p w14:paraId="60F5FFEE" w14:textId="77777777" w:rsidR="006A6402" w:rsidRDefault="006A6402" w:rsidP="006A6402">
      <w:pPr>
        <w:spacing w:line="360" w:lineRule="auto"/>
        <w:jc w:val="both"/>
        <w:rPr>
          <w:rFonts w:ascii="Arial" w:hAnsi="Arial"/>
          <w:rtl/>
        </w:rPr>
      </w:pPr>
    </w:p>
    <w:p w14:paraId="58684AAA" w14:textId="77777777" w:rsidR="006A6402" w:rsidRDefault="006A6402" w:rsidP="006A6402">
      <w:pPr>
        <w:spacing w:line="360" w:lineRule="auto"/>
        <w:jc w:val="both"/>
        <w:rPr>
          <w:rFonts w:ascii="Arial" w:hAnsi="Arial"/>
          <w:rtl/>
        </w:rPr>
      </w:pPr>
      <w:r>
        <w:rPr>
          <w:rFonts w:ascii="Arial" w:hAnsi="Arial" w:hint="cs"/>
          <w:rtl/>
        </w:rPr>
        <w:t>8.</w:t>
      </w:r>
      <w:r>
        <w:rPr>
          <w:rFonts w:ascii="Arial" w:hAnsi="Arial" w:hint="cs"/>
          <w:rtl/>
        </w:rPr>
        <w:tab/>
      </w:r>
      <w:r w:rsidRPr="00C219AF">
        <w:rPr>
          <w:rFonts w:ascii="Arial" w:hAnsi="Arial" w:hint="cs"/>
          <w:b/>
          <w:bCs/>
          <w:rtl/>
        </w:rPr>
        <w:t>באשר לנסיבות הקשורות בביצוע העבירות (</w:t>
      </w:r>
      <w:hyperlink r:id="rId25" w:history="1">
        <w:r w:rsidR="00A66A12" w:rsidRPr="00A66A12">
          <w:rPr>
            <w:rFonts w:ascii="Arial" w:hAnsi="Arial"/>
            <w:b/>
            <w:bCs/>
            <w:color w:val="0000FF"/>
            <w:u w:val="single"/>
            <w:rtl/>
          </w:rPr>
          <w:t>סעיף 40ט'</w:t>
        </w:r>
      </w:hyperlink>
      <w:r w:rsidRPr="00C219AF">
        <w:rPr>
          <w:rFonts w:ascii="Arial" w:hAnsi="Arial" w:hint="cs"/>
          <w:b/>
          <w:bCs/>
          <w:rtl/>
        </w:rPr>
        <w:t xml:space="preserve"> ל</w:t>
      </w:r>
      <w:hyperlink r:id="rId26" w:history="1">
        <w:r w:rsidR="007274EA" w:rsidRPr="007274EA">
          <w:rPr>
            <w:rFonts w:ascii="Arial" w:hAnsi="Arial"/>
            <w:b/>
            <w:bCs/>
            <w:color w:val="0000FF"/>
            <w:u w:val="single"/>
            <w:rtl/>
          </w:rPr>
          <w:t>חוק העונשין</w:t>
        </w:r>
      </w:hyperlink>
      <w:r w:rsidRPr="00C219AF">
        <w:rPr>
          <w:rFonts w:ascii="Arial" w:hAnsi="Arial" w:hint="cs"/>
          <w:b/>
          <w:bCs/>
          <w:rtl/>
        </w:rPr>
        <w:t>)</w:t>
      </w:r>
      <w:r>
        <w:rPr>
          <w:rFonts w:ascii="Arial" w:hAnsi="Arial" w:hint="cs"/>
          <w:rtl/>
        </w:rPr>
        <w:t xml:space="preserve">: הנאשם נענה לפנייתו של אבו הייכל, קיבל צילום של כלי הנשק, נסע ברכב כדי להיפגש עמו ואז הוביל את הנשק ברכבו. הנאשם הוא זה שניהל משא ומתן עם מחמוד ודרש סכום נכבד של עשרות אלפי שקלים. העסקה הזו לא יצאה אל הפועל אבל נזק נגרם שהרי הנשק לא נמצא עד היום ומהווה ככזה סכנה לציבור. הנאשם הסביר כי המניע היה רצון לעזור לחבר וכן תסכול (מאי גיוסו), אולם מעובדות כתב האישום עולה כי המניע היה כלכלי, בצע כסף. </w:t>
      </w:r>
    </w:p>
    <w:p w14:paraId="3405499B" w14:textId="77777777" w:rsidR="006A6402" w:rsidRDefault="006A6402" w:rsidP="006A6402">
      <w:pPr>
        <w:spacing w:line="360" w:lineRule="auto"/>
        <w:jc w:val="both"/>
        <w:rPr>
          <w:rFonts w:ascii="Arial" w:hAnsi="Arial"/>
          <w:rtl/>
        </w:rPr>
      </w:pPr>
    </w:p>
    <w:p w14:paraId="49E57DB9" w14:textId="77777777" w:rsidR="006A6402" w:rsidRDefault="006A6402" w:rsidP="006A6402">
      <w:pPr>
        <w:spacing w:line="360" w:lineRule="auto"/>
        <w:jc w:val="both"/>
        <w:rPr>
          <w:rFonts w:ascii="Arial" w:hAnsi="Arial"/>
          <w:rtl/>
        </w:rPr>
      </w:pPr>
      <w:r>
        <w:rPr>
          <w:rFonts w:ascii="Arial" w:hAnsi="Arial" w:hint="cs"/>
          <w:rtl/>
        </w:rPr>
        <w:t>10.</w:t>
      </w:r>
      <w:r>
        <w:rPr>
          <w:rFonts w:ascii="Arial" w:hAnsi="Arial" w:hint="cs"/>
          <w:rtl/>
        </w:rPr>
        <w:tab/>
        <w:t xml:space="preserve">על בסיס עיקרון ההלימה ובהתחשב בערכים החברתיים שנפגעו, מידת הפגיעה ומדיניות הענישה הנהוגה והנסיבות הקשורות בביצוע העבירות, אני מעמיד את </w:t>
      </w:r>
      <w:r w:rsidRPr="00CF439A">
        <w:rPr>
          <w:rFonts w:ascii="Arial" w:hAnsi="Arial" w:hint="cs"/>
          <w:b/>
          <w:bCs/>
          <w:rtl/>
        </w:rPr>
        <w:t>מתחם העונש ההולם</w:t>
      </w:r>
      <w:r>
        <w:rPr>
          <w:rFonts w:ascii="Arial" w:hAnsi="Arial" w:hint="cs"/>
          <w:rtl/>
        </w:rPr>
        <w:t xml:space="preserve"> נע בין 36-15 חודשי מאסר. </w:t>
      </w:r>
    </w:p>
    <w:p w14:paraId="041507D0" w14:textId="77777777" w:rsidR="006A6402" w:rsidRDefault="006A6402" w:rsidP="006A6402">
      <w:pPr>
        <w:spacing w:line="360" w:lineRule="auto"/>
        <w:jc w:val="both"/>
        <w:rPr>
          <w:rFonts w:ascii="Arial" w:hAnsi="Arial"/>
          <w:rtl/>
        </w:rPr>
      </w:pPr>
    </w:p>
    <w:p w14:paraId="35D975BA" w14:textId="77777777" w:rsidR="006A6402" w:rsidRDefault="006A6402" w:rsidP="006A6402">
      <w:pPr>
        <w:spacing w:line="360" w:lineRule="auto"/>
        <w:jc w:val="both"/>
        <w:rPr>
          <w:rFonts w:ascii="Arial" w:hAnsi="Arial"/>
          <w:rtl/>
        </w:rPr>
      </w:pPr>
      <w:r>
        <w:rPr>
          <w:rFonts w:ascii="Arial" w:hAnsi="Arial" w:hint="cs"/>
          <w:rtl/>
        </w:rPr>
        <w:t>11.</w:t>
      </w:r>
      <w:r>
        <w:rPr>
          <w:rFonts w:ascii="Arial" w:hAnsi="Arial" w:hint="cs"/>
          <w:rtl/>
        </w:rPr>
        <w:tab/>
        <w:t xml:space="preserve">העונש המתאים ייגזר בהתחשב בנסיבות שאינן קשורות בביצוע העבירות: הנאשם התחרט, נטל אחריו, הודה, חסך זמן. באשר לנסיבות אישיות: הנאשם בחור צעיר בן 22 ללא עבר פלילי, תפקד היטב עד האירוע הנראה כמעשה חד פעמי, משפחה תומכת והמלצה ברורה של שירות המבחן להליך שיקומי ולא כליאתי. </w:t>
      </w:r>
    </w:p>
    <w:p w14:paraId="72863F21" w14:textId="77777777" w:rsidR="006A6402" w:rsidRDefault="006A6402" w:rsidP="006A6402">
      <w:pPr>
        <w:spacing w:line="360" w:lineRule="auto"/>
        <w:jc w:val="both"/>
        <w:rPr>
          <w:rFonts w:ascii="Arial" w:hAnsi="Arial"/>
          <w:rtl/>
        </w:rPr>
      </w:pPr>
      <w:r>
        <w:rPr>
          <w:rFonts w:ascii="Arial" w:hAnsi="Arial" w:hint="cs"/>
          <w:rtl/>
        </w:rPr>
        <w:t xml:space="preserve">השיקולים לקולא הם מהותיים, אך אין בהם די כדי להימנע ממאסר בפועל, אך הם מאפשרים סטיית מה ממתחם הענישה. ונזכור כי עבירות הנשק הפכו למכת מדינה ממש ומדיניות הענישה הברורה הינה החמרה. אוסיף גם את כלל אחידות הענישה. מחולל האירוע אבו הייכל נדון ל-60 חודשי מאסר, בבצעו עבירת נשק תוך שירות צבאי. מחמוד נדון לחמישה וחצי חודשי מאסר. בקביעת רף הענישה אביא גם בחשבון תקופה ארוכה של מעצר בית ופיטורין מעבודה. </w:t>
      </w:r>
    </w:p>
    <w:p w14:paraId="2330B7AC" w14:textId="77777777" w:rsidR="006A6402" w:rsidRDefault="006A6402" w:rsidP="006A6402">
      <w:pPr>
        <w:spacing w:line="360" w:lineRule="auto"/>
        <w:jc w:val="both"/>
        <w:rPr>
          <w:rFonts w:ascii="Arial" w:hAnsi="Arial"/>
          <w:rtl/>
        </w:rPr>
      </w:pPr>
    </w:p>
    <w:p w14:paraId="1F02FD81" w14:textId="77777777" w:rsidR="006A6402" w:rsidRDefault="006A6402" w:rsidP="006A6402">
      <w:pPr>
        <w:spacing w:line="360" w:lineRule="auto"/>
        <w:jc w:val="both"/>
        <w:rPr>
          <w:rFonts w:ascii="Arial" w:hAnsi="Arial"/>
          <w:rtl/>
        </w:rPr>
      </w:pPr>
      <w:r>
        <w:rPr>
          <w:rFonts w:ascii="Arial" w:hAnsi="Arial" w:hint="cs"/>
          <w:rtl/>
        </w:rPr>
        <w:t>12.</w:t>
      </w:r>
      <w:r>
        <w:rPr>
          <w:rFonts w:ascii="Arial" w:hAnsi="Arial" w:hint="cs"/>
          <w:rtl/>
        </w:rPr>
        <w:tab/>
        <w:t xml:space="preserve">לאור מכלול שיקולים אלה אני גוזר על הנאשם העונשים הבאים: </w:t>
      </w:r>
    </w:p>
    <w:p w14:paraId="50C4044C" w14:textId="77777777" w:rsidR="006A6402" w:rsidRDefault="006A6402" w:rsidP="006A6402">
      <w:pPr>
        <w:spacing w:line="360" w:lineRule="auto"/>
        <w:jc w:val="both"/>
        <w:rPr>
          <w:rFonts w:ascii="Arial" w:hAnsi="Arial"/>
          <w:rtl/>
        </w:rPr>
      </w:pPr>
    </w:p>
    <w:p w14:paraId="0AE5A790" w14:textId="77777777" w:rsidR="006A6402" w:rsidRDefault="006A6402" w:rsidP="006A6402">
      <w:pPr>
        <w:spacing w:line="360" w:lineRule="auto"/>
        <w:ind w:left="720"/>
        <w:jc w:val="both"/>
        <w:rPr>
          <w:rFonts w:ascii="Arial" w:hAnsi="Arial"/>
          <w:rtl/>
        </w:rPr>
      </w:pPr>
      <w:r>
        <w:rPr>
          <w:rFonts w:ascii="Arial" w:hAnsi="Arial" w:hint="cs"/>
          <w:rtl/>
        </w:rPr>
        <w:t>א.</w:t>
      </w:r>
      <w:r>
        <w:rPr>
          <w:rFonts w:ascii="Arial" w:hAnsi="Arial" w:hint="cs"/>
          <w:rtl/>
        </w:rPr>
        <w:tab/>
        <w:t xml:space="preserve">מאסר בפועל לתקופה של 12 חודשים בניכוי ימי המעצר 14.2.19-16.10.18.  </w:t>
      </w:r>
    </w:p>
    <w:p w14:paraId="2759EB86" w14:textId="77777777" w:rsidR="006A6402" w:rsidRDefault="006A6402" w:rsidP="006A6402">
      <w:pPr>
        <w:spacing w:line="360" w:lineRule="auto"/>
        <w:ind w:left="720"/>
        <w:jc w:val="both"/>
        <w:rPr>
          <w:rFonts w:ascii="Arial" w:hAnsi="Arial"/>
          <w:rtl/>
        </w:rPr>
      </w:pPr>
    </w:p>
    <w:p w14:paraId="3FAD2D99" w14:textId="77777777" w:rsidR="006A6402" w:rsidRDefault="006A6402" w:rsidP="006A6402">
      <w:pPr>
        <w:spacing w:line="360" w:lineRule="auto"/>
        <w:ind w:left="720"/>
        <w:jc w:val="both"/>
        <w:rPr>
          <w:rFonts w:ascii="Arial" w:hAnsi="Arial"/>
          <w:rtl/>
        </w:rPr>
      </w:pPr>
      <w:r>
        <w:rPr>
          <w:rFonts w:ascii="Arial" w:hAnsi="Arial" w:hint="cs"/>
          <w:rtl/>
        </w:rPr>
        <w:t>ב.</w:t>
      </w:r>
      <w:r>
        <w:rPr>
          <w:rFonts w:ascii="Arial" w:hAnsi="Arial" w:hint="cs"/>
          <w:rtl/>
        </w:rPr>
        <w:tab/>
        <w:t xml:space="preserve">מאסר של 12 חודשים אם בתוך שלוש שנים יבצע עבירה בנשק בניגוד </w:t>
      </w:r>
      <w:hyperlink r:id="rId27" w:history="1">
        <w:r w:rsidR="00A66A12" w:rsidRPr="00A66A12">
          <w:rPr>
            <w:rFonts w:ascii="Arial" w:hAnsi="Arial"/>
            <w:color w:val="0000FF"/>
            <w:u w:val="single"/>
            <w:rtl/>
          </w:rPr>
          <w:t>לסעיף 144</w:t>
        </w:r>
      </w:hyperlink>
      <w:r>
        <w:rPr>
          <w:rFonts w:ascii="Arial" w:hAnsi="Arial" w:hint="cs"/>
          <w:rtl/>
        </w:rPr>
        <w:t xml:space="preserve"> ל</w:t>
      </w:r>
      <w:hyperlink r:id="rId28" w:history="1">
        <w:r w:rsidR="007274EA" w:rsidRPr="007274EA">
          <w:rPr>
            <w:rFonts w:ascii="Arial" w:hAnsi="Arial"/>
            <w:color w:val="0000FF"/>
            <w:u w:val="single"/>
            <w:rtl/>
          </w:rPr>
          <w:t>חוק העונשין</w:t>
        </w:r>
      </w:hyperlink>
      <w:r>
        <w:rPr>
          <w:rFonts w:ascii="Arial" w:hAnsi="Arial" w:hint="cs"/>
          <w:rtl/>
        </w:rPr>
        <w:t xml:space="preserve">. </w:t>
      </w:r>
    </w:p>
    <w:p w14:paraId="71BB3014" w14:textId="77777777" w:rsidR="006A6402" w:rsidRDefault="006A6402" w:rsidP="006A6402">
      <w:pPr>
        <w:spacing w:line="360" w:lineRule="auto"/>
        <w:ind w:left="720"/>
        <w:jc w:val="both"/>
        <w:rPr>
          <w:rFonts w:ascii="Arial" w:hAnsi="Arial"/>
          <w:rtl/>
        </w:rPr>
      </w:pPr>
    </w:p>
    <w:p w14:paraId="353065E1" w14:textId="77777777" w:rsidR="006A6402" w:rsidRDefault="006A6402" w:rsidP="006A6402">
      <w:pPr>
        <w:spacing w:line="360" w:lineRule="auto"/>
        <w:ind w:left="720"/>
        <w:jc w:val="both"/>
        <w:rPr>
          <w:rFonts w:ascii="Arial" w:hAnsi="Arial"/>
          <w:rtl/>
        </w:rPr>
      </w:pPr>
      <w:r>
        <w:rPr>
          <w:rFonts w:ascii="Arial" w:hAnsi="Arial" w:hint="cs"/>
          <w:rtl/>
        </w:rPr>
        <w:t>ג.</w:t>
      </w:r>
      <w:r>
        <w:rPr>
          <w:rFonts w:ascii="Arial" w:hAnsi="Arial" w:hint="cs"/>
          <w:rtl/>
        </w:rPr>
        <w:tab/>
        <w:t xml:space="preserve">קנס בסך 5000 ₪ שישולם לא יאוחר מיום 31.12.2019. </w:t>
      </w:r>
    </w:p>
    <w:p w14:paraId="1CC130E6" w14:textId="77777777" w:rsidR="006A6402" w:rsidRDefault="006A6402" w:rsidP="006A6402">
      <w:pPr>
        <w:spacing w:line="360" w:lineRule="auto"/>
        <w:ind w:left="720"/>
        <w:jc w:val="both"/>
        <w:rPr>
          <w:rFonts w:ascii="Arial" w:hAnsi="Arial"/>
          <w:rtl/>
        </w:rPr>
      </w:pPr>
    </w:p>
    <w:p w14:paraId="3A7D97F6" w14:textId="77777777" w:rsidR="006A6402" w:rsidRPr="00E830E1" w:rsidRDefault="006A6402" w:rsidP="006A6402">
      <w:pPr>
        <w:spacing w:line="360" w:lineRule="auto"/>
        <w:jc w:val="both"/>
        <w:rPr>
          <w:rFonts w:ascii="Arial" w:hAnsi="Arial"/>
          <w:b/>
          <w:bCs/>
          <w:rtl/>
        </w:rPr>
      </w:pPr>
      <w:r w:rsidRPr="00E830E1">
        <w:rPr>
          <w:rFonts w:ascii="Arial" w:hAnsi="Arial" w:hint="cs"/>
          <w:b/>
          <w:bCs/>
          <w:rtl/>
        </w:rPr>
        <w:t xml:space="preserve">זכות ערעור לבית המשפט העליון בתוך 45 יום. </w:t>
      </w:r>
    </w:p>
    <w:p w14:paraId="7F3B78E0" w14:textId="77777777" w:rsidR="006A6402" w:rsidRDefault="006A6402" w:rsidP="006A6402">
      <w:pPr>
        <w:spacing w:line="360" w:lineRule="auto"/>
        <w:jc w:val="both"/>
        <w:rPr>
          <w:rFonts w:ascii="Arial" w:hAnsi="Arial"/>
          <w:rtl/>
        </w:rPr>
      </w:pPr>
    </w:p>
    <w:p w14:paraId="279938A4" w14:textId="77777777" w:rsidR="006A6402" w:rsidRPr="00B05847" w:rsidRDefault="006A6402" w:rsidP="006A6402">
      <w:pPr>
        <w:spacing w:line="360" w:lineRule="auto"/>
        <w:jc w:val="both"/>
        <w:rPr>
          <w:rtl/>
        </w:rPr>
      </w:pPr>
    </w:p>
    <w:p w14:paraId="3C1EAA72" w14:textId="77777777" w:rsidR="006A6402" w:rsidRDefault="007274EA" w:rsidP="006A6402">
      <w:pPr>
        <w:spacing w:line="360" w:lineRule="auto"/>
        <w:jc w:val="both"/>
        <w:rPr>
          <w:rFonts w:ascii="Arial" w:hAnsi="Arial"/>
          <w:b/>
          <w:bCs/>
        </w:rPr>
      </w:pPr>
      <w:bookmarkStart w:id="8" w:name="Nitan"/>
      <w:r w:rsidRPr="007274EA">
        <w:rPr>
          <w:rFonts w:ascii="Arial" w:hAnsi="Arial"/>
          <w:b/>
          <w:bCs/>
          <w:color w:val="FFFFFF"/>
          <w:sz w:val="2"/>
          <w:szCs w:val="2"/>
          <w:rtl/>
        </w:rPr>
        <w:t>5129371</w:t>
      </w:r>
      <w:r>
        <w:rPr>
          <w:rFonts w:ascii="Arial" w:hAnsi="Arial"/>
          <w:b/>
          <w:bCs/>
          <w:rtl/>
        </w:rPr>
        <w:t xml:space="preserve">ניתן היום, ג' בכסלו התש"פ, 1 בדצמבר 2019, במעמד הצדדים. </w:t>
      </w:r>
      <w:bookmarkEnd w:id="8"/>
    </w:p>
    <w:tbl>
      <w:tblPr>
        <w:bidiVisual/>
        <w:tblW w:w="0" w:type="auto"/>
        <w:jc w:val="right"/>
        <w:tblLook w:val="01E0" w:firstRow="1" w:lastRow="1" w:firstColumn="1" w:lastColumn="1" w:noHBand="0" w:noVBand="0"/>
      </w:tblPr>
      <w:tblGrid>
        <w:gridCol w:w="2691"/>
      </w:tblGrid>
      <w:tr w:rsidR="006A6402" w14:paraId="108DA440" w14:textId="77777777" w:rsidTr="006A6402">
        <w:trPr>
          <w:jc w:val="right"/>
        </w:trPr>
        <w:tc>
          <w:tcPr>
            <w:tcW w:w="2691" w:type="dxa"/>
            <w:tcBorders>
              <w:top w:val="nil"/>
              <w:left w:val="nil"/>
              <w:bottom w:val="single" w:sz="4" w:space="0" w:color="auto"/>
              <w:right w:val="nil"/>
            </w:tcBorders>
            <w:shd w:val="clear" w:color="auto" w:fill="auto"/>
            <w:vAlign w:val="center"/>
          </w:tcPr>
          <w:p w14:paraId="7F7D9A19" w14:textId="77777777" w:rsidR="006A6402" w:rsidRPr="007274EA" w:rsidRDefault="007274EA" w:rsidP="006A6402">
            <w:pPr>
              <w:jc w:val="center"/>
              <w:rPr>
                <w:rFonts w:ascii="Courier New" w:hAnsi="Courier New"/>
                <w:b/>
                <w:bCs/>
                <w:color w:val="FFFFFF"/>
                <w:sz w:val="2"/>
                <w:szCs w:val="2"/>
                <w:rtl/>
              </w:rPr>
            </w:pPr>
            <w:r w:rsidRPr="007274EA">
              <w:rPr>
                <w:rFonts w:ascii="Courier New" w:hAnsi="Courier New"/>
                <w:b/>
                <w:bCs/>
                <w:color w:val="FFFFFF"/>
                <w:sz w:val="2"/>
                <w:szCs w:val="2"/>
                <w:rtl/>
              </w:rPr>
              <w:t>54678313</w:t>
            </w:r>
          </w:p>
        </w:tc>
      </w:tr>
      <w:tr w:rsidR="006A6402" w14:paraId="2F958B16" w14:textId="77777777" w:rsidTr="006A6402">
        <w:trPr>
          <w:jc w:val="right"/>
        </w:trPr>
        <w:tc>
          <w:tcPr>
            <w:tcW w:w="2691" w:type="dxa"/>
            <w:tcBorders>
              <w:top w:val="single" w:sz="4" w:space="0" w:color="auto"/>
              <w:left w:val="nil"/>
              <w:bottom w:val="nil"/>
              <w:right w:val="nil"/>
            </w:tcBorders>
            <w:shd w:val="clear" w:color="auto" w:fill="auto"/>
          </w:tcPr>
          <w:p w14:paraId="24E2E5C5" w14:textId="77777777" w:rsidR="006A6402" w:rsidRPr="006A6402" w:rsidRDefault="006A6402" w:rsidP="006A6402">
            <w:pPr>
              <w:pStyle w:val="3"/>
              <w:jc w:val="center"/>
              <w:rPr>
                <w:sz w:val="28"/>
                <w:rtl/>
              </w:rPr>
            </w:pPr>
            <w:r w:rsidRPr="006A6402">
              <w:rPr>
                <w:rFonts w:hint="cs"/>
                <w:sz w:val="28"/>
                <w:rtl/>
              </w:rPr>
              <w:t>יעקב צבן, שופט</w:t>
            </w:r>
          </w:p>
        </w:tc>
      </w:tr>
    </w:tbl>
    <w:p w14:paraId="1705A0A3" w14:textId="77777777" w:rsidR="006A6402" w:rsidRDefault="006A6402" w:rsidP="006A6402">
      <w:pPr>
        <w:jc w:val="center"/>
        <w:rPr>
          <w:rtl/>
        </w:rPr>
      </w:pPr>
    </w:p>
    <w:p w14:paraId="4DF0584B" w14:textId="77777777" w:rsidR="006A6402" w:rsidRDefault="006A6402" w:rsidP="006A6402">
      <w:pPr>
        <w:spacing w:line="360" w:lineRule="auto"/>
        <w:jc w:val="both"/>
        <w:rPr>
          <w:rFonts w:ascii="Arial" w:hAnsi="Arial"/>
          <w:b/>
          <w:bCs/>
          <w:rtl/>
        </w:rPr>
      </w:pPr>
    </w:p>
    <w:p w14:paraId="18780F3D" w14:textId="77777777" w:rsidR="00D86C09" w:rsidRPr="007274EA" w:rsidRDefault="00D86C09" w:rsidP="007274EA">
      <w:pPr>
        <w:keepNext/>
        <w:rPr>
          <w:rFonts w:ascii="David" w:hAnsi="David"/>
          <w:color w:val="000000"/>
          <w:sz w:val="22"/>
          <w:szCs w:val="22"/>
          <w:rtl/>
        </w:rPr>
      </w:pPr>
    </w:p>
    <w:p w14:paraId="50ED5068" w14:textId="77777777" w:rsidR="007274EA" w:rsidRPr="007274EA" w:rsidRDefault="007274EA" w:rsidP="007274EA">
      <w:pPr>
        <w:keepNext/>
        <w:rPr>
          <w:rFonts w:ascii="David" w:hAnsi="David"/>
          <w:color w:val="000000"/>
          <w:sz w:val="22"/>
          <w:szCs w:val="22"/>
          <w:rtl/>
        </w:rPr>
      </w:pPr>
      <w:r w:rsidRPr="007274EA">
        <w:rPr>
          <w:rFonts w:ascii="David" w:hAnsi="David"/>
          <w:color w:val="000000"/>
          <w:sz w:val="22"/>
          <w:szCs w:val="22"/>
          <w:rtl/>
        </w:rPr>
        <w:t>בית המשפט המחוזי בירושלים 54678313</w:t>
      </w:r>
    </w:p>
    <w:p w14:paraId="3B3276EE" w14:textId="77777777" w:rsidR="007274EA" w:rsidRDefault="007274EA" w:rsidP="007274EA">
      <w:r w:rsidRPr="007274EA">
        <w:rPr>
          <w:color w:val="000000"/>
          <w:rtl/>
        </w:rPr>
        <w:t>נוסח מסמך זה כפוף לשינויי ניסוח ועריכה</w:t>
      </w:r>
    </w:p>
    <w:p w14:paraId="1A095770" w14:textId="77777777" w:rsidR="007274EA" w:rsidRDefault="007274EA" w:rsidP="007274EA">
      <w:pPr>
        <w:rPr>
          <w:rtl/>
        </w:rPr>
      </w:pPr>
    </w:p>
    <w:p w14:paraId="736C2865" w14:textId="77777777" w:rsidR="007274EA" w:rsidRDefault="007274EA" w:rsidP="007274E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7569A30" w14:textId="77777777" w:rsidR="007274EA" w:rsidRPr="007274EA" w:rsidRDefault="007274EA" w:rsidP="007274EA">
      <w:pPr>
        <w:jc w:val="center"/>
        <w:rPr>
          <w:color w:val="0000FF"/>
          <w:u w:val="single"/>
        </w:rPr>
      </w:pPr>
    </w:p>
    <w:sectPr w:rsidR="007274EA" w:rsidRPr="007274EA" w:rsidSect="007274EA">
      <w:headerReference w:type="even" r:id="rId30"/>
      <w:headerReference w:type="default" r:id="rId31"/>
      <w:footerReference w:type="even" r:id="rId32"/>
      <w:footerReference w:type="default" r:id="rId33"/>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0691" w14:textId="77777777" w:rsidR="002469CA" w:rsidRDefault="002469CA" w:rsidP="00292959">
      <w:r>
        <w:separator/>
      </w:r>
    </w:p>
  </w:endnote>
  <w:endnote w:type="continuationSeparator" w:id="0">
    <w:p w14:paraId="383ACF6B" w14:textId="77777777" w:rsidR="002469CA" w:rsidRDefault="002469CA" w:rsidP="0029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45C9" w14:textId="77777777" w:rsidR="007274EA" w:rsidRDefault="007274EA" w:rsidP="007274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541B9E" w14:textId="77777777" w:rsidR="0017622B" w:rsidRPr="007274EA" w:rsidRDefault="007274EA" w:rsidP="007274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EB1" w14:textId="77777777" w:rsidR="007274EA" w:rsidRDefault="007274EA" w:rsidP="007274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6D40">
      <w:rPr>
        <w:rFonts w:ascii="FrankRuehl" w:hAnsi="FrankRuehl" w:cs="FrankRuehl"/>
        <w:noProof/>
        <w:rtl/>
      </w:rPr>
      <w:t>1</w:t>
    </w:r>
    <w:r>
      <w:rPr>
        <w:rFonts w:ascii="FrankRuehl" w:hAnsi="FrankRuehl" w:cs="FrankRuehl"/>
        <w:rtl/>
      </w:rPr>
      <w:fldChar w:fldCharType="end"/>
    </w:r>
  </w:p>
  <w:p w14:paraId="4C7F8CF4" w14:textId="77777777" w:rsidR="0017622B" w:rsidRPr="007274EA" w:rsidRDefault="007274EA" w:rsidP="007274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6D30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8E0F" w14:textId="77777777" w:rsidR="002469CA" w:rsidRDefault="002469CA" w:rsidP="00292959">
      <w:r>
        <w:separator/>
      </w:r>
    </w:p>
  </w:footnote>
  <w:footnote w:type="continuationSeparator" w:id="0">
    <w:p w14:paraId="0DE21B1D" w14:textId="77777777" w:rsidR="002469CA" w:rsidRDefault="002469CA" w:rsidP="00292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FD21" w14:textId="77777777" w:rsidR="007274EA" w:rsidRPr="007274EA" w:rsidRDefault="007274EA" w:rsidP="00727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69640-10-18</w:t>
    </w:r>
    <w:r>
      <w:rPr>
        <w:rFonts w:ascii="David" w:hAnsi="David"/>
        <w:color w:val="000000"/>
        <w:sz w:val="22"/>
        <w:szCs w:val="22"/>
        <w:rtl/>
      </w:rPr>
      <w:tab/>
      <w:t xml:space="preserve"> מדינת ישראל נ' מוחמד עדואן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5CF2E" w14:textId="77777777" w:rsidR="007274EA" w:rsidRPr="007274EA" w:rsidRDefault="007274EA" w:rsidP="00727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69640-10-18</w:t>
    </w:r>
    <w:r>
      <w:rPr>
        <w:rFonts w:ascii="David" w:hAnsi="David"/>
        <w:color w:val="000000"/>
        <w:sz w:val="22"/>
        <w:szCs w:val="22"/>
        <w:rtl/>
      </w:rPr>
      <w:tab/>
      <w:t xml:space="preserve"> מדינת ישראל נ' מוחמד עדואן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6402"/>
    <w:rsid w:val="0017622B"/>
    <w:rsid w:val="002469CA"/>
    <w:rsid w:val="00292959"/>
    <w:rsid w:val="006A6402"/>
    <w:rsid w:val="007274EA"/>
    <w:rsid w:val="00740BDA"/>
    <w:rsid w:val="009B6D40"/>
    <w:rsid w:val="00A66A12"/>
    <w:rsid w:val="00C671D9"/>
    <w:rsid w:val="00CB63BD"/>
    <w:rsid w:val="00D86C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570D1C"/>
  <w15:chartTrackingRefBased/>
  <w15:docId w15:val="{83084EB8-0CBC-40CE-89D4-6060A170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6402"/>
    <w:pPr>
      <w:bidi/>
    </w:pPr>
    <w:rPr>
      <w:rFonts w:ascii="Times New Roman" w:eastAsia="Times New Roman" w:hAnsi="Times New Roman" w:cs="David"/>
      <w:sz w:val="24"/>
      <w:szCs w:val="24"/>
    </w:rPr>
  </w:style>
  <w:style w:type="paragraph" w:styleId="3">
    <w:name w:val="heading 3"/>
    <w:basedOn w:val="a"/>
    <w:next w:val="a"/>
    <w:link w:val="30"/>
    <w:qFormat/>
    <w:rsid w:val="006A6402"/>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6A6402"/>
    <w:rPr>
      <w:rFonts w:ascii="Times New Roman" w:eastAsia="Times New Roman" w:hAnsi="Times New Roman" w:cs="David"/>
      <w:b/>
      <w:bCs/>
      <w:noProof/>
      <w:sz w:val="20"/>
      <w:szCs w:val="24"/>
      <w:lang w:eastAsia="he-IL"/>
    </w:rPr>
  </w:style>
  <w:style w:type="paragraph" w:styleId="a3">
    <w:name w:val="header"/>
    <w:basedOn w:val="a"/>
    <w:link w:val="a4"/>
    <w:rsid w:val="006A6402"/>
    <w:pPr>
      <w:tabs>
        <w:tab w:val="center" w:pos="4153"/>
        <w:tab w:val="right" w:pos="8306"/>
      </w:tabs>
    </w:pPr>
  </w:style>
  <w:style w:type="character" w:customStyle="1" w:styleId="a4">
    <w:name w:val="כותרת עליונה תו"/>
    <w:link w:val="a3"/>
    <w:rsid w:val="006A6402"/>
    <w:rPr>
      <w:rFonts w:ascii="Times New Roman" w:eastAsia="Times New Roman" w:hAnsi="Times New Roman" w:cs="David"/>
      <w:sz w:val="24"/>
      <w:szCs w:val="24"/>
    </w:rPr>
  </w:style>
  <w:style w:type="paragraph" w:styleId="a5">
    <w:name w:val="footer"/>
    <w:basedOn w:val="a"/>
    <w:link w:val="a6"/>
    <w:rsid w:val="006A6402"/>
    <w:pPr>
      <w:tabs>
        <w:tab w:val="center" w:pos="4153"/>
        <w:tab w:val="right" w:pos="8306"/>
      </w:tabs>
    </w:pPr>
  </w:style>
  <w:style w:type="character" w:customStyle="1" w:styleId="a6">
    <w:name w:val="כותרת תחתונה תו"/>
    <w:link w:val="a5"/>
    <w:rsid w:val="006A6402"/>
    <w:rPr>
      <w:rFonts w:ascii="Times New Roman" w:eastAsia="Times New Roman" w:hAnsi="Times New Roman" w:cs="David"/>
      <w:sz w:val="24"/>
      <w:szCs w:val="24"/>
    </w:rPr>
  </w:style>
  <w:style w:type="table" w:styleId="a7">
    <w:name w:val="Table Grid"/>
    <w:basedOn w:val="a1"/>
    <w:rsid w:val="006A64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6402"/>
  </w:style>
  <w:style w:type="character" w:styleId="Hyperlink">
    <w:name w:val="Hyperlink"/>
    <w:rsid w:val="007274E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case/23750625"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case/20998872" TargetMode="External"/><Relationship Id="rId34"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3750625" TargetMode="External"/><Relationship Id="rId25" Type="http://schemas.openxmlformats.org/officeDocument/2006/relationships/hyperlink" Target="http://www.nevo.co.il/law/70301/40i"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5097840" TargetMode="External"/><Relationship Id="rId20" Type="http://schemas.openxmlformats.org/officeDocument/2006/relationships/hyperlink" Target="http://www.nevo.co.il/case/20007334"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3877250"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4967791"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case/21474520"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2930290" TargetMode="External"/><Relationship Id="rId27" Type="http://schemas.openxmlformats.org/officeDocument/2006/relationships/hyperlink" Target="http://www.nevo.co.il/law/70301/144"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6707</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8032</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3670130</vt:i4>
      </vt:variant>
      <vt:variant>
        <vt:i4>54</vt:i4>
      </vt:variant>
      <vt:variant>
        <vt:i4>0</vt:i4>
      </vt:variant>
      <vt:variant>
        <vt:i4>5</vt:i4>
      </vt:variant>
      <vt:variant>
        <vt:lpwstr>http://www.nevo.co.il/case/23877250</vt:lpwstr>
      </vt:variant>
      <vt:variant>
        <vt:lpwstr/>
      </vt:variant>
      <vt:variant>
        <vt:i4>3407987</vt:i4>
      </vt:variant>
      <vt:variant>
        <vt:i4>51</vt:i4>
      </vt:variant>
      <vt:variant>
        <vt:i4>0</vt:i4>
      </vt:variant>
      <vt:variant>
        <vt:i4>5</vt:i4>
      </vt:variant>
      <vt:variant>
        <vt:lpwstr>http://www.nevo.co.il/case/4967791</vt:lpwstr>
      </vt:variant>
      <vt:variant>
        <vt:lpwstr/>
      </vt:variant>
      <vt:variant>
        <vt:i4>3276919</vt:i4>
      </vt:variant>
      <vt:variant>
        <vt:i4>48</vt:i4>
      </vt:variant>
      <vt:variant>
        <vt:i4>0</vt:i4>
      </vt:variant>
      <vt:variant>
        <vt:i4>5</vt:i4>
      </vt:variant>
      <vt:variant>
        <vt:lpwstr>http://www.nevo.co.il/case/22930290</vt:lpwstr>
      </vt:variant>
      <vt:variant>
        <vt:lpwstr/>
      </vt:variant>
      <vt:variant>
        <vt:i4>3407989</vt:i4>
      </vt:variant>
      <vt:variant>
        <vt:i4>45</vt:i4>
      </vt:variant>
      <vt:variant>
        <vt:i4>0</vt:i4>
      </vt:variant>
      <vt:variant>
        <vt:i4>5</vt:i4>
      </vt:variant>
      <vt:variant>
        <vt:lpwstr>http://www.nevo.co.il/case/20998872</vt:lpwstr>
      </vt:variant>
      <vt:variant>
        <vt:lpwstr/>
      </vt:variant>
      <vt:variant>
        <vt:i4>3539063</vt:i4>
      </vt:variant>
      <vt:variant>
        <vt:i4>42</vt:i4>
      </vt:variant>
      <vt:variant>
        <vt:i4>0</vt:i4>
      </vt:variant>
      <vt:variant>
        <vt:i4>5</vt:i4>
      </vt:variant>
      <vt:variant>
        <vt:lpwstr>http://www.nevo.co.il/case/20007334</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3604596</vt:i4>
      </vt:variant>
      <vt:variant>
        <vt:i4>36</vt:i4>
      </vt:variant>
      <vt:variant>
        <vt:i4>0</vt:i4>
      </vt:variant>
      <vt:variant>
        <vt:i4>5</vt:i4>
      </vt:variant>
      <vt:variant>
        <vt:lpwstr>http://www.nevo.co.il/case/23750625</vt:lpwstr>
      </vt:variant>
      <vt:variant>
        <vt:lpwstr/>
      </vt:variant>
      <vt:variant>
        <vt:i4>3604596</vt:i4>
      </vt:variant>
      <vt:variant>
        <vt:i4>33</vt:i4>
      </vt:variant>
      <vt:variant>
        <vt:i4>0</vt:i4>
      </vt:variant>
      <vt:variant>
        <vt:i4>5</vt:i4>
      </vt:variant>
      <vt:variant>
        <vt:lpwstr>http://www.nevo.co.il/case/23750625</vt:lpwstr>
      </vt:variant>
      <vt:variant>
        <vt:lpwstr/>
      </vt:variant>
      <vt:variant>
        <vt:i4>3211376</vt:i4>
      </vt:variant>
      <vt:variant>
        <vt:i4>30</vt:i4>
      </vt:variant>
      <vt:variant>
        <vt:i4>0</vt:i4>
      </vt:variant>
      <vt:variant>
        <vt:i4>5</vt:i4>
      </vt:variant>
      <vt:variant>
        <vt:lpwstr>http://www.nevo.co.il/case/25097840</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2023-12-07T12:12:00Z</dcterms:created>
  <dcterms:modified xsi:type="dcterms:W3CDTF">2023-12-07T12:12:00Z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69640</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עדואן</vt:lpwstr>
  </property>
  <property fmtid="{D5CDD505-2E9C-101B-9397-08002B2CF9AE}" pid="10" name="LAWYER">
    <vt:lpwstr>אור גבאי;שלמה גיגי;בדריה עותמאן</vt:lpwstr>
  </property>
  <property fmtid="{D5CDD505-2E9C-101B-9397-08002B2CF9AE}" pid="11" name="JUDGE">
    <vt:lpwstr>יעקב צבן</vt:lpwstr>
  </property>
  <property fmtid="{D5CDD505-2E9C-101B-9397-08002B2CF9AE}" pid="12" name="CITY">
    <vt:lpwstr>י-ם</vt:lpwstr>
  </property>
  <property fmtid="{D5CDD505-2E9C-101B-9397-08002B2CF9AE}" pid="13" name="DATE">
    <vt:lpwstr>20191201</vt:lpwstr>
  </property>
  <property fmtid="{D5CDD505-2E9C-101B-9397-08002B2CF9AE}" pid="14" name="TYPE_N_DATE">
    <vt:lpwstr>39020191201</vt:lpwstr>
  </property>
  <property fmtid="{D5CDD505-2E9C-101B-9397-08002B2CF9AE}" pid="15" name="CASESLISTTMP1">
    <vt:lpwstr>25097840;23750625:2;21474520;20007334;20998872;22930290;4967791;23877250</vt:lpwstr>
  </property>
  <property fmtid="{D5CDD505-2E9C-101B-9397-08002B2CF9AE}" pid="16" name="WORDNUMPAGES">
    <vt:lpwstr>4</vt:lpwstr>
  </property>
  <property fmtid="{D5CDD505-2E9C-101B-9397-08002B2CF9AE}" pid="17" name="TYPE_ABS_DATE">
    <vt:lpwstr>390020191201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70301/144.b2;029;144.a;040i;144</vt:lpwstr>
  </property>
</Properties>
</file>