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 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5220/09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b/>
                <w:bCs/>
              </w:rPr>
            </w:pPr>
            <w:r>
              <w:rPr>
                <w:rtl w:val="true"/>
              </w:rPr>
              <w:t>בפני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גרוניס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Cs w:val="20"/>
              </w:rPr>
            </w:pPr>
            <w:r>
              <w:rPr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ארבל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Cs w:val="20"/>
              </w:rPr>
            </w:pPr>
            <w:r>
              <w:rPr>
                <w:szCs w:val="20"/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רובינשטיין</w:t>
            </w:r>
          </w:p>
        </w:tc>
      </w:tr>
    </w:tbl>
    <w:p>
      <w:pPr>
        <w:pStyle w:val="Ruller31"/>
        <w:ind w:end="0"/>
        <w:jc w:val="start"/>
        <w:rPr>
          <w:rFonts w:cs="David"/>
          <w:b/>
          <w:bCs/>
        </w:rPr>
      </w:pPr>
      <w:r>
        <w:rPr>
          <w:rFonts w:cs="David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הייתם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עוואודה</w:t>
            </w:r>
          </w:p>
        </w:tc>
      </w:tr>
    </w:tbl>
    <w:p>
      <w:pPr>
        <w:pStyle w:val="Ruller31"/>
        <w:ind w:end="0"/>
        <w:jc w:val="start"/>
        <w:rPr>
          <w:rFonts w:cs="David"/>
        </w:rPr>
      </w:pPr>
      <w:r>
        <w:rPr>
          <w:rFonts w:cs="David"/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4" w:name="FirstAppellant"/>
            <w:bookmarkStart w:id="5" w:name="FirstAppellant"/>
            <w:bookmarkEnd w:id="5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tl w:val="true"/>
              </w:rPr>
              <w:t>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rFonts w:cs="David"/>
        </w:rPr>
      </w:pPr>
      <w:r>
        <w:rPr>
          <w:rFonts w:cs="David"/>
          <w:rtl w:val="true"/>
        </w:rPr>
        <w:tab/>
        <w:tab/>
        <w:tab/>
        <w:t xml:space="preserve">    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בנצרת</w:t>
            </w:r>
          </w:p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164/08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11.6.09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</w:p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עילבוני</w:t>
            </w:r>
          </w:p>
        </w:tc>
      </w:tr>
    </w:tbl>
    <w:p>
      <w:pPr>
        <w:pStyle w:val="Ruller31"/>
        <w:ind w:end="0"/>
        <w:jc w:val="start"/>
        <w:rPr>
          <w:rFonts w:cs="David"/>
        </w:rPr>
      </w:pPr>
      <w:r>
        <w:rPr>
          <w:rFonts w:cs="David"/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6" w:name="xDate"/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bookmarkEnd w:id="6"/>
            <w:r>
              <w:rPr>
                <w:rtl w:val="true"/>
              </w:rPr>
              <w:t>      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28.12.09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מסאלחה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7" w:name="FirstLawyer"/>
            <w:bookmarkEnd w:id="7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איילת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קדוש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bookmarkStart w:id="12" w:name="ABSTRACT_START"/>
      <w:bookmarkEnd w:id="12"/>
      <w:r>
        <w:rPr>
          <w:sz w:val="24"/>
          <w:sz w:val="24"/>
          <w:szCs w:val="26"/>
          <w:rtl w:val="true"/>
        </w:rPr>
        <w:t>מיני</w:t>
      </w:r>
      <w:r>
        <w:rPr>
          <w:sz w:val="24"/>
          <w:szCs w:val="26"/>
          <w:rtl w:val="true"/>
        </w:rPr>
        <w:t>-</w:t>
      </w:r>
      <w:r>
        <w:rPr>
          <w:sz w:val="24"/>
          <w:sz w:val="24"/>
          <w:szCs w:val="26"/>
          <w:rtl w:val="true"/>
        </w:rPr>
        <w:t>רציו</w:t>
      </w:r>
      <w:r>
        <w:rPr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  <w:t xml:space="preserve">* </w:t>
      </w:r>
      <w:r>
        <w:rPr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ותחמושת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רישיון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נורמטיבי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נקי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ומתחייב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במציאות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הנוכחית</w:t>
      </w:r>
      <w:r>
        <w:rPr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  <w:t xml:space="preserve">* </w:t>
      </w:r>
      <w:r>
        <w:rPr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כדין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  <w:t xml:space="preserve">* </w:t>
      </w:r>
      <w:r>
        <w:rPr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ענישה</w:t>
      </w:r>
      <w:r>
        <w:rPr>
          <w:sz w:val="24"/>
          <w:szCs w:val="26"/>
          <w:rtl w:val="true"/>
        </w:rPr>
        <w:t xml:space="preserve">: </w:t>
      </w:r>
      <w:r>
        <w:rPr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למערער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6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בפועל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אקדח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ותחמושת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רישיון</w:t>
      </w:r>
      <w:r>
        <w:rPr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  <w:rtl w:val="true"/>
        </w:rPr>
        <w:t>(</w:t>
      </w:r>
      <w:r>
        <w:rPr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רובינשטיין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גרוניס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וארבל</w:t>
      </w:r>
      <w:r>
        <w:rPr>
          <w:sz w:val="24"/>
          <w:szCs w:val="26"/>
          <w:rtl w:val="true"/>
        </w:rPr>
        <w:t xml:space="preserve">) </w:t>
      </w:r>
      <w:r>
        <w:rPr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כי</w:t>
      </w:r>
      <w:r>
        <w:rPr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הדגיש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נורמטיבי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הנקי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וחרטתו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החיובי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מצביעה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שירות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הדגישה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לענישה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לרישיון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נדחתה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הנשק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ביהמ</w:t>
      </w:r>
      <w:r>
        <w:rPr>
          <w:sz w:val="24"/>
          <w:szCs w:val="26"/>
          <w:rtl w:val="true"/>
        </w:rPr>
        <w:t>"</w:t>
      </w:r>
      <w:r>
        <w:rPr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קמא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המציאות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בארץ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הפגיעה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מתחייב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הענישה</w:t>
      </w:r>
      <w:r>
        <w:rPr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4"/>
          <w:szCs w:val="26"/>
        </w:rPr>
      </w:pPr>
      <w:r>
        <w:rPr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secretary"/>
            <w:bookmarkStart w:id="17" w:name="BeginProtocol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רובינשטיין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spacing w:val="0"/>
          <w:sz w:val="28"/>
          <w:szCs w:val="24"/>
          <w:u w:val="single"/>
        </w:rPr>
      </w:pP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רקע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והליכים</w:t>
      </w:r>
    </w:p>
    <w:p>
      <w:pPr>
        <w:pStyle w:val="Ruller4"/>
        <w:ind w:end="0"/>
        <w:jc w:val="both"/>
        <w:rPr>
          <w:rFonts w:cs="Miriam"/>
          <w:spacing w:val="0"/>
          <w:sz w:val="28"/>
          <w:szCs w:val="24"/>
          <w:u w:val="single"/>
        </w:rPr>
      </w:pPr>
      <w:r>
        <w:rPr>
          <w:rFonts w:cs="Miriam"/>
          <w:spacing w:val="0"/>
          <w:sz w:val="28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164/08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עילבוני</w:t>
      </w:r>
      <w:r>
        <w:rPr>
          <w:rtl w:val="true"/>
        </w:rPr>
        <w:t xml:space="preserve">)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11.6.09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ותשעה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" w:cs="Arial TUR"/>
          <w:rtl w:val="true"/>
        </w:rPr>
        <w:t xml:space="preserve"> </w:t>
      </w:r>
      <w:r>
        <w:rPr/>
        <w:t>1972</w:t>
      </w:r>
      <w:r>
        <w:rPr>
          <w:rtl w:val="true"/>
        </w:rPr>
        <w:t xml:space="preserve">, </w:t>
      </w:r>
      <w:r>
        <w:rPr>
          <w:rtl w:val="true"/>
        </w:rPr>
        <w:t>הריהו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אטליז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אודי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". </w:t>
      </w:r>
      <w:r>
        <w:rPr>
          <w:rtl w:val="true"/>
        </w:rPr>
        <w:t>כחודש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שמועדו</w:t>
      </w:r>
      <w:r>
        <w:rPr>
          <w:rFonts w:eastAsia="Arial TUR" w:cs="Arial TUR"/>
          <w:rtl w:val="true"/>
        </w:rPr>
        <w:t xml:space="preserve"> </w:t>
      </w:r>
      <w:r>
        <w:rPr/>
        <w:t>12.12.08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ובמחסנית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באטליז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ובביתו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החורש</w:t>
      </w:r>
      <w:r>
        <w:rPr>
          <w:rtl w:val="true"/>
        </w:rPr>
        <w:t xml:space="preserve">; </w:t>
      </w:r>
      <w:r>
        <w:rPr>
          <w:rtl w:val="true"/>
        </w:rPr>
        <w:t>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;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נמחקו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אטליז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ומאפיה</w:t>
      </w:r>
      <w:r>
        <w:rPr>
          <w:rtl w:val="true"/>
        </w:rPr>
        <w:t xml:space="preserve">, </w:t>
      </w:r>
      <w:r>
        <w:rPr>
          <w:rtl w:val="true"/>
        </w:rPr>
        <w:t>בתפקוד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מאוזן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ושתילה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ובלא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בעסק</w:t>
      </w:r>
      <w:r>
        <w:rPr>
          <w:rtl w:val="true"/>
        </w:rPr>
        <w:t xml:space="preserve">; </w:t>
      </w:r>
      <w:r>
        <w:rPr>
          <w:rtl w:val="true"/>
        </w:rPr>
        <w:t>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לבעייתיות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בעבורו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נבון</w:t>
      </w:r>
      <w:r>
        <w:rPr>
          <w:rtl w:val="true"/>
        </w:rPr>
        <w:t xml:space="preserve">, </w:t>
      </w:r>
      <w:r>
        <w:rPr>
          <w:rtl w:val="true"/>
        </w:rPr>
        <w:t>שלהערכת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;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...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קטלני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מוחזק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".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חיה</w:t>
      </w:r>
      <w:r>
        <w:rPr>
          <w:rtl w:val="true"/>
        </w:rPr>
        <w:t xml:space="preserve">",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ונדחה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והתעלמות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;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וחרטתו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הנראות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הערעור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וחרטתו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 xml:space="preserve">, </w:t>
      </w:r>
      <w:r>
        <w:rPr>
          <w:rtl w:val="true"/>
        </w:rPr>
        <w:t>והיעדר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שלצדה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למוצרי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בהרחבתו</w:t>
      </w:r>
      <w:r>
        <w:rPr>
          <w:rtl w:val="true"/>
        </w:rPr>
        <w:t xml:space="preserve">;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ולימוד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, </w:t>
      </w:r>
      <w:r>
        <w:rPr>
          <w:rtl w:val="true"/>
        </w:rPr>
        <w:t>הבנת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מסאלחה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אסופה</w:t>
      </w:r>
      <w:r>
        <w:rPr>
          <w:rtl w:val="true"/>
        </w:rPr>
        <w:t xml:space="preserve">)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;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שבכאן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דרומי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hyperlink r:id="rId1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תפ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1010/07</w:t>
        </w:r>
      </w:hyperlink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שם הושת עונש של 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חודשים בעבודות שירות בעבירות החזקה ונשיאה 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ר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מצביעה על אפשרות הקלה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ועסקינן באדם הקרב לגיל </w:t>
      </w:r>
      <w:r>
        <w:rPr>
          <w:rFonts w:cs="Times New Roman" w:ascii="Times New Roman" w:hAnsi="Times New Roman"/>
        </w:rPr>
        <w:t>40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שלא הסתבך עד הנה בפלילים בכל צורה שהיא והביע חרטה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להערת באת כוח המדינה כי הקנס טרם שולם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השיב עו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ד מסאלחה כי המדובר בטעמים כלכליים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באת כוח המדינה ציינה כי בעבירה זו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פי הפסיקה המוגשת מטעם המדינה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עצם הפוטנציאל הקשה הוא נקודת המוצא לעונש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ובנסיבות דנא העונש ראוי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מה גם שהמערער פנה לקבלת רישיון נשק ונדחה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נתבקש מתן משקל לאימרת התסקירים באשר לחוסר כנות מצד המערער בקשר למקור הנשק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הכרעה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ט</w:t>
      </w:r>
      <w:r>
        <w:rPr>
          <w:rtl w:val="true"/>
        </w:rPr>
        <w:t>.</w:t>
        <w:tab/>
      </w:r>
      <w:r>
        <w:rPr>
          <w:rtl w:val="true"/>
        </w:rPr>
        <w:t>עיינו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הצטייד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שכללה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והדוגמאות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דאחל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לא פורסם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ציין השופט ג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ובראן כלהלן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.</w:t>
      </w:r>
      <w:r>
        <w:rPr>
          <w:rtl w:val="true"/>
        </w:rPr>
        <w:t>בבוא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".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5921/08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לא פורסם</w:t>
      </w:r>
      <w:r>
        <w:rPr>
          <w:rFonts w:cs="Times New Roman" w:ascii="Times New Roman" w:hAnsi="Times New Roman"/>
          <w:rtl w:val="true"/>
        </w:rPr>
        <w:t xml:space="preserve">)) </w:t>
      </w:r>
      <w:r>
        <w:rPr>
          <w:rFonts w:ascii="Times New Roman" w:hAnsi="Times New Roman" w:cs="Times New Roman"/>
          <w:rtl w:val="true"/>
        </w:rPr>
        <w:t>צוין מפי השופט ג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ובראן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למטרות</w:t>
      </w:r>
      <w:r>
        <w:rPr>
          <w:rtl w:val="true"/>
        </w:rPr>
        <w:t>, '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'".</w:t>
      </w:r>
    </w:p>
    <w:p>
      <w:pPr>
        <w:pStyle w:val="Ruller4"/>
        <w:ind w:end="0"/>
        <w:jc w:val="both"/>
        <w:rPr/>
      </w:pP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  <w:r>
        <w:rPr>
          <w:rtl w:val="true"/>
        </w:rPr>
        <w:t>נזכור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שלצדה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3300/06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אבוסנינה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לא פורסם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כי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ופחד</w:t>
      </w:r>
      <w:r>
        <w:rPr>
          <w:rtl w:val="true"/>
        </w:rPr>
        <w:t xml:space="preserve">".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י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9090/00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שניידרמן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לא פורסם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בו הוטל עונש ללא הרשעה במקרה של צעיר בן </w:t>
      </w: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שנתפס עם חבריו כשבידיהם רימון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סכינים ואלה לצורך שוד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שלא בוצע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וזאת בין השאר כדי לאפשר גיוס הנאשם דשם לצה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ואולם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ככלל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כפי שציינה השופטת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כתארה אז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ביניש ב</w:t>
      </w:r>
      <w:hyperlink r:id="rId1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1332/04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מדינת ישראל נ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פס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ד נח</w:t>
        </w:r>
      </w:hyperlink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</w:rPr>
        <w:t>541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545</w:t>
      </w:r>
      <w:r>
        <w:rPr>
          <w:rFonts w:cs="Times New Roman" w:ascii="Times New Roman" w:hAnsi="Times New Roman"/>
          <w:rtl w:val="true"/>
        </w:rPr>
        <w:t>, "</w:t>
      </w:r>
      <w:r>
        <w:rPr>
          <w:rFonts w:ascii="Times New Roman" w:hAnsi="Times New Roman" w:cs="Times New Roman"/>
          <w:rtl w:val="true"/>
        </w:rPr>
        <w:t>גם אם נכון הדבר כי עד כה רמת הענישה בעבירות של החזקת נשק אינה גבוהה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הרי שהמציאות השוררת בארץ 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cs="Times New Roman"/>
          <w:rtl w:val="true"/>
        </w:rPr>
        <w:t xml:space="preserve">זמינותו של נשק חם ורב עוצמה שיש עמו פוטנציאל להסלמת האלימות העבריינית והאידאולוגית כאחד 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cs="Times New Roman"/>
          <w:rtl w:val="true"/>
        </w:rPr>
        <w:t>מחייבת מתן ביטוי עונשי הולם והחמרה ברמת הענישה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אכן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ענייננו אינו דומה לאותה פרשה שבה דנה ולחומרתה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אך גם לא לפרשת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דרומי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דרך המלך בכגון דא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בסופו של יום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צריכה להיות ככלל מאסר מאחורי סורג ובריח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וזאת בראש וראשונה להרתעת היחיד והרבים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אורך התקופה כרוך כמובן בנסיבות הספציפיות של העושה והמעשה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ערים אנו לכך שלאדם בעל רקע נורמטיבי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וכזה הוא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שהות במאסר אינה קלה כל עיקר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ובהיותו במעצר חוה מקצת הטעם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אך נשק הוא נשק הוא 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ובנסיבות הישראליות נשק בידיים לא מורשות עלול להתגלגל למקום לא טוב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וכדברי האומר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מחזה שבמערכתו הראשונה נראה אקדח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עשוי האקדח לירות במערכה האחרונה</w:t>
      </w:r>
      <w:r>
        <w:rPr>
          <w:rFonts w:cs="Times New Roman" w:ascii="Times New Roman" w:hAnsi="Times New Roman"/>
          <w:rtl w:val="true"/>
        </w:rPr>
        <w:t xml:space="preserve">"; </w:t>
      </w:r>
      <w:r>
        <w:rPr>
          <w:rFonts w:ascii="Times New Roman" w:hAnsi="Times New Roman" w:cs="Times New Roman"/>
          <w:rtl w:val="true"/>
        </w:rPr>
        <w:t>לא כל שכן כשמקורו של הנשק שבנידון דידן לא נודע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וקל וחומר כשסורב רשיון נשק למערער והוא עשה לעניין זה דין לעצמו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על כן איננו מוצאים מקום להתערבות בפסק הדין קמא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רוצים אנו לקוות ולהאמין כי המערער מתחרט על עבירתו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כפי שמסר לשירות המבחן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ולא ישוב לסורו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אלא ימשיך בעתיד בחיים נורמטיביים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עם זאת לא ברור מדוע לא שולם הקנס כשהמערער מצוי בעסק פעיל כמתואר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י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סוף דבר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איננו נעתרים לערעור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המערער יתייצב לריצוי עונשו במזכירות הפלילית בבית המשפט המחוזי בנצרת ביום </w:t>
      </w:r>
      <w:r>
        <w:rPr>
          <w:rFonts w:cs="Times New Roman" w:ascii="Times New Roman" w:hAnsi="Times New Roman"/>
        </w:rPr>
        <w:t>24.1.10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עד שעה </w:t>
      </w:r>
      <w:r>
        <w:rPr>
          <w:rFonts w:cs="Times New Roman" w:ascii="Times New Roman" w:hAnsi="Times New Roman"/>
        </w:rPr>
        <w:t>10:00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ערבויות קיימות יעמדו בעינן עד להתיצבות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אנו מסבים את תשומת לבו של שירות בתי הסוהר לעברו הנקי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ולצורך בשיבוצו באופן מתאים לכך בעת מאסרו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  <w:color w:val="FFFFFF"/>
          <w:sz w:val="2"/>
          <w:szCs w:val="2"/>
        </w:rPr>
      </w:pPr>
      <w:r>
        <w:rPr>
          <w:rFonts w:cs="Times New Roman" w:ascii="Times New Roman" w:hAnsi="Times New Roman"/>
          <w:color w:val="FFFFFF"/>
          <w:sz w:val="2"/>
          <w:szCs w:val="2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  <w:color w:val="FFFFFF"/>
          <w:sz w:val="2"/>
          <w:szCs w:val="2"/>
        </w:rPr>
      </w:pPr>
      <w:r>
        <w:rPr>
          <w:rFonts w:cs="Times New Roman" w:ascii="Times New Roman" w:hAnsi="Times New Roman"/>
          <w:color w:val="FFFFFF"/>
          <w:sz w:val="2"/>
          <w:szCs w:val="2"/>
        </w:rPr>
        <w:t>5129371</w:t>
      </w:r>
    </w:p>
    <w:p>
      <w:pPr>
        <w:pStyle w:val="Ruller4"/>
        <w:keepNext w:val="true"/>
        <w:ind w:end="0"/>
        <w:jc w:val="start"/>
        <w:rPr>
          <w:rFonts w:ascii="David" w:hAnsi="David" w:cs="David"/>
          <w:color w:val="000000"/>
          <w:sz w:val="2"/>
          <w:szCs w:val="22"/>
        </w:rPr>
      </w:pPr>
      <w:r>
        <w:rPr>
          <w:rFonts w:cs="David" w:ascii="David" w:hAnsi="David"/>
          <w:color w:val="000000"/>
          <w:sz w:val="2"/>
          <w:szCs w:val="22"/>
          <w:rtl w:val="true"/>
        </w:rPr>
      </w:r>
    </w:p>
    <w:p>
      <w:pPr>
        <w:pStyle w:val="Ruller4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 w:cs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Cs w:val="22"/>
          <w:rtl w:val="true"/>
        </w:rPr>
        <w:t xml:space="preserve">גרוניס </w:t>
      </w:r>
      <w:r>
        <w:rPr>
          <w:rFonts w:cs="David" w:ascii="David" w:hAnsi="David"/>
          <w:color w:val="000000"/>
          <w:szCs w:val="22"/>
        </w:rPr>
        <w:t>54678313-5220/09</w:t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color w:val="FFFFFF"/>
          <w:sz w:val="2"/>
          <w:szCs w:val="2"/>
        </w:rPr>
        <w:t>54678313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י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ג בטבת תש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ע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30.12.09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>  </w:t>
      </w:r>
      <w:bookmarkStart w:id="21" w:name="FileName"/>
      <w:r>
        <w:rPr>
          <w:sz w:val="16"/>
        </w:rPr>
        <w:t>09052200</w:t>
      </w:r>
      <w:r>
        <w:rPr>
          <w:sz w:val="16"/>
          <w:rtl w:val="true"/>
        </w:rPr>
        <w:t>_</w:t>
      </w:r>
      <w:r>
        <w:rPr>
          <w:sz w:val="16"/>
        </w:rPr>
        <w:t>T02.doc</w:t>
      </w:r>
      <w:r>
        <w:rPr>
          <w:sz w:val="16"/>
          <w:rtl w:val="true"/>
        </w:rPr>
        <w:t xml:space="preserve">   </w:t>
      </w:r>
      <w:bookmarkEnd w:id="21"/>
      <w:r>
        <w:rPr>
          <w:sz w:val="16"/>
          <w:sz w:val="16"/>
          <w:rtl w:val="true"/>
        </w:rPr>
        <w:t>מפ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02-6593666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  </w:t>
      </w:r>
      <w:hyperlink r:id="rId18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9">
        <w:r>
          <w:rPr>
            <w:rStyle w:val="Hyperlink"/>
            <w:color w:val="0000FF"/>
            <w:szCs w:val="24"/>
            <w:u w:val="single"/>
            <w:rtl w:val="true"/>
          </w:rPr>
          <w:t>הודעה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למנויים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-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p>
      <w:pPr>
        <w:pStyle w:val="Normal"/>
        <w:overflowPunct w:val="true"/>
        <w:autoSpaceDE w:val="true"/>
        <w:bidi w:val="0"/>
        <w:jc w:val="center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  <w:u w:val="single"/>
        </w:rPr>
      </w:r>
    </w:p>
    <w:sectPr>
      <w:headerReference w:type="default" r:id="rId20"/>
      <w:footerReference w:type="default" r:id="rId21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/Users/liorb/Downloads/docx_citations_2018/09052200-t02.doc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5220/09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הייתם עוואודה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basedOn w:val="Ruller3"/>
    <w:qFormat/>
    <w:rPr>
      <w:rFonts w:cs="David"/>
    </w:rPr>
  </w:style>
  <w:style w:type="character" w:styleId="Ruller38">
    <w:name w:val="סגנון Ruller 3 + (מורכב) ‏8 נק תו"/>
    <w:basedOn w:val="BodyRuller"/>
    <w:qFormat/>
    <w:rPr>
      <w:szCs w:val="16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a" TargetMode="External"/><Relationship Id="rId6" Type="http://schemas.openxmlformats.org/officeDocument/2006/relationships/hyperlink" Target="http://www.nevo.co.il/case/5676910" TargetMode="External"/><Relationship Id="rId7" Type="http://schemas.openxmlformats.org/officeDocument/2006/relationships/hyperlink" Target="http://www.nevo.co.il/law/70301/144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inks/psika/?link=&#1514;&#1508;&#1495;%201010/07" TargetMode="External"/><Relationship Id="rId13" Type="http://schemas.openxmlformats.org/officeDocument/2006/relationships/hyperlink" Target="http://www.nevo.co.il/case/5852404" TargetMode="External"/><Relationship Id="rId14" Type="http://schemas.openxmlformats.org/officeDocument/2006/relationships/hyperlink" Target="http://www.nevo.co.il/case/6040482" TargetMode="External"/><Relationship Id="rId15" Type="http://schemas.openxmlformats.org/officeDocument/2006/relationships/hyperlink" Target="http://www.nevo.co.il/case/5887664" TargetMode="External"/><Relationship Id="rId16" Type="http://schemas.openxmlformats.org/officeDocument/2006/relationships/hyperlink" Target="http://www.nevo.co.il/case/6144854" TargetMode="External"/><Relationship Id="rId17" Type="http://schemas.openxmlformats.org/officeDocument/2006/relationships/hyperlink" Target="http://www.nevo.co.il/links/psika/?link=&#1506;&#1508;%201332/04&amp;Pvol=&#1504;&#1495;" TargetMode="External"/><Relationship Id="rId18" Type="http://schemas.openxmlformats.org/officeDocument/2006/relationships/hyperlink" Target="http://www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09052200.T02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2014-12-26T04:10:00Z</dcterms:created>
  <dc:creator> </dc:creator>
  <dc:description/>
  <cp:keywords/>
  <dc:language>en-IL</dc:language>
  <cp:lastModifiedBy>eli</cp:lastModifiedBy>
  <cp:lastPrinted>2009-12-30T14:38:00Z</cp:lastPrinted>
  <dcterms:modified xsi:type="dcterms:W3CDTF">2014-12-26T04:10:00Z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הייתם עוואודה</vt:lpwstr>
  </property>
  <property fmtid="{D5CDD505-2E9C-101B-9397-08002B2CF9AE}" pid="3" name="APPELLEE">
    <vt:lpwstr>מדינת ישראל</vt:lpwstr>
  </property>
  <property fmtid="{D5CDD505-2E9C-101B-9397-08002B2CF9AE}" pid="4" name="CASENOTES1">
    <vt:lpwstr>ProcID=&amp;FileKey=mechozi/m08000164-227</vt:lpwstr>
  </property>
  <property fmtid="{D5CDD505-2E9C-101B-9397-08002B2CF9AE}" pid="5" name="CASENOTES2">
    <vt:lpwstr>ProcID=210;74&amp;PartA=1010&amp;PartC=07</vt:lpwstr>
  </property>
  <property fmtid="{D5CDD505-2E9C-101B-9397-08002B2CF9AE}" pid="6" name="CASENOTES3">
    <vt:lpwstr>ProcID=133;209&amp;PartA=1332&amp;PartC=04</vt:lpwstr>
  </property>
  <property fmtid="{D5CDD505-2E9C-101B-9397-08002B2CF9AE}" pid="7" name="CASESLISTTMP1">
    <vt:lpwstr>2244839;5676910;5852404;6040482;5887664;6144854</vt:lpwstr>
  </property>
  <property fmtid="{D5CDD505-2E9C-101B-9397-08002B2CF9AE}" pid="8" name="CITY">
    <vt:lpwstr/>
  </property>
  <property fmtid="{D5CDD505-2E9C-101B-9397-08002B2CF9AE}" pid="9" name="DATE">
    <vt:lpwstr>20091230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א' גרוניס;ע' ארבל;א' רובינשטיין</vt:lpwstr>
  </property>
  <property fmtid="{D5CDD505-2E9C-101B-9397-08002B2CF9AE}" pid="13" name="LAWLISTTMP1">
    <vt:lpwstr>70301/144a;144;144.a</vt:lpwstr>
  </property>
  <property fmtid="{D5CDD505-2E9C-101B-9397-08002B2CF9AE}" pid="14" name="LAWYER">
    <vt:lpwstr>איילת קדוש;ברכה וייס;ראפי מסאלחה</vt:lpwstr>
  </property>
  <property fmtid="{D5CDD505-2E9C-101B-9397-08002B2CF9AE}" pid="15" name="LINKK1">
    <vt:lpwstr>http://www.nevo.co.il/Psika_word/mechozi/m08002080-354.doc;להחלטה במחוזי (18-12-2008)#בש 2080/08 מדינת ישראל נ' הייתם בן קאסם עאוואודה#שופטים: בנימין ארבל</vt:lpwstr>
  </property>
  <property fmtid="{D5CDD505-2E9C-101B-9397-08002B2CF9AE}" pid="16" name="LINKK10">
    <vt:lpwstr/>
  </property>
  <property fmtid="{D5CDD505-2E9C-101B-9397-08002B2CF9AE}" pid="17" name="LINKK11">
    <vt:lpwstr/>
  </property>
  <property fmtid="{D5CDD505-2E9C-101B-9397-08002B2CF9AE}" pid="18" name="LINKK12">
    <vt:lpwstr/>
  </property>
  <property fmtid="{D5CDD505-2E9C-101B-9397-08002B2CF9AE}" pid="19" name="LINKK2">
    <vt:lpwstr>http://www.nevo.co.il/Psika_word/mechozi/m08000164-227.doc;להחלטה במחוזי (11-06-2009)#תפ 164/08 מדינת ישראל נ' עוואדוה הייתם#שופטים: עאטף עיילבוני#עו''ד: מסאלחה ראפי, שני וייל</vt:lpwstr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LINKK6">
    <vt:lpwstr/>
  </property>
  <property fmtid="{D5CDD505-2E9C-101B-9397-08002B2CF9AE}" pid="24" name="LINKK7">
    <vt:lpwstr/>
  </property>
  <property fmtid="{D5CDD505-2E9C-101B-9397-08002B2CF9AE}" pid="25" name="LINKK8">
    <vt:lpwstr/>
  </property>
  <property fmtid="{D5CDD505-2E9C-101B-9397-08002B2CF9AE}" pid="26" name="LINKK9">
    <vt:lpwstr/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>עונשין</vt:lpwstr>
  </property>
  <property fmtid="{D5CDD505-2E9C-101B-9397-08002B2CF9AE}" pid="34" name="NOSE13">
    <vt:lpwstr/>
  </property>
  <property fmtid="{D5CDD505-2E9C-101B-9397-08002B2CF9AE}" pid="35" name="NOSE14">
    <vt:lpwstr/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21">
    <vt:lpwstr>עבירות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/>
  </property>
  <property fmtid="{D5CDD505-2E9C-101B-9397-08002B2CF9AE}" pid="45" name="NOSE24">
    <vt:lpwstr/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31">
    <vt:lpwstr>החזקת נשק שלא כדין</vt:lpwstr>
  </property>
  <property fmtid="{D5CDD505-2E9C-101B-9397-08002B2CF9AE}" pid="52" name="NOSE310">
    <vt:lpwstr/>
  </property>
  <property fmtid="{D5CDD505-2E9C-101B-9397-08002B2CF9AE}" pid="53" name="NOSE32">
    <vt:lpwstr>מדיניות ענישה: החזקת נשק</vt:lpwstr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5220</vt:lpwstr>
  </property>
  <property fmtid="{D5CDD505-2E9C-101B-9397-08002B2CF9AE}" pid="66" name="PROCYEAR">
    <vt:lpwstr>09</vt:lpwstr>
  </property>
  <property fmtid="{D5CDD505-2E9C-101B-9397-08002B2CF9AE}" pid="67" name="PSAKDIN">
    <vt:lpwstr>פסק-דין</vt:lpwstr>
  </property>
  <property fmtid="{D5CDD505-2E9C-101B-9397-08002B2CF9AE}" pid="68" name="RemarkFileName">
    <vt:lpwstr>elyon 09052200 t02 htm</vt:lpwstr>
  </property>
  <property fmtid="{D5CDD505-2E9C-101B-9397-08002B2CF9AE}" pid="69" name="TYPE">
    <vt:lpwstr>1</vt:lpwstr>
  </property>
  <property fmtid="{D5CDD505-2E9C-101B-9397-08002B2CF9AE}" pid="70" name="TYPE_ABS_DATE">
    <vt:lpwstr>410120091230</vt:lpwstr>
  </property>
  <property fmtid="{D5CDD505-2E9C-101B-9397-08002B2CF9AE}" pid="71" name="TYPE_N_DATE">
    <vt:lpwstr>41020091230</vt:lpwstr>
  </property>
  <property fmtid="{D5CDD505-2E9C-101B-9397-08002B2CF9AE}" pid="72" name="VOLUME">
    <vt:lpwstr/>
  </property>
  <property fmtid="{D5CDD505-2E9C-101B-9397-08002B2CF9AE}" pid="73" name="WORDNUMPAGES">
    <vt:lpwstr>7</vt:lpwstr>
  </property>
</Properties>
</file>