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3156/11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ארבל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2" w:name="LastJudge"/>
            <w:bookmarkStart w:id="3" w:name="LastJudge"/>
            <w:bookmarkEnd w:id="3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מיל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זראיעה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בנצרת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14.4.11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241770-07-10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כתילי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14.12.11</w:t>
            </w:r>
            <w:r>
              <w:rPr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חטיב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FirstLawyer"/>
            <w:bookmarkEnd w:id="5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רוסו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Fonts w:cs="Times New Roman"/>
          <w:sz w:val="24"/>
          <w:sz w:val="24"/>
          <w:rtl w:val="true"/>
        </w:rPr>
        <w:t>ערעור גזר דין</w:t>
      </w:r>
      <w:r>
        <w:rPr>
          <w:rFonts w:cs="Times New Roman"/>
          <w:sz w:val="24"/>
          <w:rtl w:val="true"/>
        </w:rPr>
        <w:t>,</w:t>
      </w:r>
      <w:hyperlink r:id="rId3">
        <w:r>
          <w:rPr>
            <w:rStyle w:val="Hyperlink"/>
            <w:rFonts w:cs="Times New Roman"/>
            <w:sz w:val="24"/>
            <w:sz w:val="24"/>
            <w:rtl w:val="true"/>
          </w:rPr>
          <w:t>חוק העונשין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Times New Roman"/>
          <w:sz w:val="24"/>
        </w:rPr>
        <w:t>144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 xml:space="preserve">עבירות בנשק </w:t>
      </w:r>
      <w:r>
        <w:rPr>
          <w:rFonts w:cs="Times New Roman"/>
          <w:sz w:val="24"/>
          <w:rtl w:val="true"/>
        </w:rPr>
        <w:t>(</w:t>
      </w:r>
      <w:r>
        <w:rPr>
          <w:rFonts w:cs="Times New Roman"/>
          <w:sz w:val="24"/>
          <w:sz w:val="24"/>
          <w:rtl w:val="true"/>
        </w:rPr>
        <w:t>ב</w:t>
      </w:r>
      <w:r>
        <w:rPr>
          <w:rFonts w:cs="Times New Roman"/>
          <w:sz w:val="24"/>
          <w:rtl w:val="true"/>
        </w:rPr>
        <w:t xml:space="preserve">), </w:t>
      </w:r>
      <w:hyperlink r:id="rId4">
        <w:r>
          <w:rPr>
            <w:rStyle w:val="Hyperlink"/>
            <w:rFonts w:cs="Times New Roman"/>
            <w:sz w:val="24"/>
            <w:sz w:val="24"/>
            <w:rtl w:val="true"/>
          </w:rPr>
          <w:t>פקודת התעבורה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rtl w:val="true"/>
        </w:rPr>
        <w:t>[</w:t>
      </w:r>
      <w:r>
        <w:rPr>
          <w:rFonts w:cs="Times New Roman"/>
          <w:sz w:val="24"/>
          <w:sz w:val="24"/>
          <w:rtl w:val="true"/>
        </w:rPr>
        <w:t>נוסח חדש</w:t>
      </w:r>
      <w:r>
        <w:rPr>
          <w:rFonts w:cs="Times New Roman"/>
          <w:sz w:val="24"/>
          <w:rtl w:val="true"/>
        </w:rPr>
        <w:t xml:space="preserve">] </w:t>
      </w:r>
      <w:r>
        <w:rPr>
          <w:rFonts w:cs="Times New Roman"/>
          <w:sz w:val="24"/>
        </w:rPr>
        <w:t>43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המסתייע ברכבו לעוון או לפשע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ארבל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bookmarkStart w:id="13" w:name="Start_Write"/>
      <w:bookmarkStart w:id="14" w:name="Writer_Name"/>
      <w:bookmarkEnd w:id="13"/>
      <w:bookmarkEnd w:id="14"/>
      <w:r>
        <w:rPr>
          <w:rtl w:val="true"/>
        </w:rPr>
        <w:tab/>
      </w:r>
      <w:bookmarkStart w:id="15" w:name="ABSTRACT_START"/>
      <w:bookmarkEnd w:id="15"/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21770-07-10</w:t>
        </w:r>
      </w:hyperlink>
      <w:r>
        <w:rPr>
          <w:rtl w:val="true"/>
        </w:rPr>
        <w:t xml:space="preserve"> (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כתילי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14.4.11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; </w:t>
      </w:r>
      <w:r>
        <w:rPr>
          <w:rtl w:val="true"/>
        </w:rPr>
        <w:t>וקנס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bookmarkStart w:id="16" w:name="ABSTRACT_END"/>
      <w:bookmarkEnd w:id="16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9.7.10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שהסליק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סמיטיווטסון</w:t>
      </w:r>
      <w:r>
        <w:rPr>
          <w:rtl w:val="true"/>
        </w:rPr>
        <w:t xml:space="preserve">", </w:t>
      </w:r>
      <w:r>
        <w:rPr>
          <w:rtl w:val="true"/>
        </w:rPr>
        <w:t>מחסנית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ושכיחות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האינדיווידואליות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וחרטתו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באיזון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ומפרנס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שמצא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להשפיע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שכיחותן</w:t>
      </w:r>
      <w:r>
        <w:rPr>
          <w:rtl w:val="true"/>
        </w:rPr>
        <w:t xml:space="preserve">. </w:t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מפריכות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אליבי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לתפיסתו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כידוע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ערכאת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מתערבת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בחומרת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שקבעה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הערכאה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חריגים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''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9097/05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ורשילובסקי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פורסם</w:t>
      </w:r>
      <w:r>
        <w:rPr>
          <w:sz w:val="28"/>
          <w:rtl w:val="true"/>
        </w:rPr>
        <w:t xml:space="preserve">, </w:t>
      </w:r>
      <w:r>
        <w:rPr>
          <w:sz w:val="28"/>
        </w:rPr>
        <w:t>3.7.06</w:t>
      </w:r>
      <w:r>
        <w:rPr>
          <w:sz w:val="28"/>
          <w:rtl w:val="true"/>
        </w:rPr>
        <w:t xml:space="preserve">); </w:t>
      </w:r>
      <w:hyperlink r:id="rId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''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1242/97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גרינברג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פורסם</w:t>
      </w:r>
      <w:r>
        <w:rPr>
          <w:sz w:val="28"/>
          <w:rtl w:val="true"/>
        </w:rPr>
        <w:t xml:space="preserve">, </w:t>
      </w:r>
      <w:r>
        <w:rPr>
          <w:sz w:val="28"/>
        </w:rPr>
        <w:t>3.2.98</w:t>
      </w:r>
      <w:r>
        <w:rPr>
          <w:sz w:val="28"/>
          <w:rtl w:val="true"/>
        </w:rPr>
        <w:t xml:space="preserve">); </w:t>
      </w:r>
      <w:hyperlink r:id="rId10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''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eastAsia="Arial TUR" w:cs="Arial TUR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9437/08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אלגריסי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פורסם</w:t>
      </w:r>
      <w:r>
        <w:rPr>
          <w:sz w:val="28"/>
          <w:rtl w:val="true"/>
        </w:rPr>
        <w:t xml:space="preserve">, </w:t>
      </w:r>
      <w:r>
        <w:rPr>
          <w:sz w:val="28"/>
        </w:rPr>
        <w:t>12.5.09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המקרה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שבפנינו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חריגים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המצדיקים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התערבותנו</w:t>
      </w:r>
      <w:r>
        <w:rPr>
          <w:sz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עיון בגזר הדין מעלה כי בנסיבות המקרה אין יסוד לטענת המערער שהעונש שהושת עליו חמור מכפי המגיע לו או חורג באופן חריג מרף הענישה לגבי עבירות דומות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המחוזי שקל את מכלול השיקולים הצריכים לעניין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מחד גיסא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התייחס בית המשפט לשיקולים לחומרה ובהם נסיבות ביצוע העבירות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והסכנה שיצר המערער במעשיו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והרחקת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ויוצרות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hyperlink r:id="rId1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761/07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אדרי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לא פורסם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22.2.07</w:t>
      </w:r>
      <w:r>
        <w:rPr>
          <w:rFonts w:cs="Times New Roman" w:ascii="Times New Roman" w:hAnsi="Times New Roman"/>
          <w:rtl w:val="true"/>
        </w:rPr>
        <w:t xml:space="preserve">); </w:t>
      </w:r>
      <w:hyperlink r:id="rId1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4329/10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אסמאעיל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לא פורסם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25.10.10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 xml:space="preserve">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4460/11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פאיד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28.11.11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5120/11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שתיווי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18.12.11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נתן משקל למכלול הנסיבות אותן יש לזקוף לזכות המערער – הודאתו וחרטתו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היעדר עבר פלילי רלוונטי והעובדה כי לא נעשה שימוש בנשק ולא הוכחה כוונה לעשות בו שימוש כאמור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בהקשר זה לא מצאנו כי הנסיבות אותן מנה הסנגור מצדיקות הקלה בעונש שהושת על המערער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ראשית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הרישומים המעידים על כך שהשיחה שערך המערער למשטרה נערכה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דקות לאחר שרכבו נעצר במחסום המשטרה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מעמידים בספק רב את כנות כוונותיו של המערער בעריכת השיחה האמורה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כמו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העובדה שהתחמושת הוסלקה במקומות שונים ברכב מעוררת אף היא תהייה האם אכן היה המערער בדרכו לתחנת המשטרה על מנת למסור את התחמושת כטענתו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שנית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מצאנו כי יש בהיעדר הוכחת שמישות האקדח כדי להוות נסיבה המצדיקה הקלה בעונשו של המערער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בנסיבות בהן החזיק ונשא המערער תחמושת נוספת מלבד האקדח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אותה הוא הסליק במקומות שונים ברכבו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ספק אם יש ליתן לשמישות האקדח כשלעצמה משקל רב לקולא בגזירת העונש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hyperlink r:id="rId1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5604/11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נאסר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לא פורסם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5.10.11</w:t>
      </w:r>
      <w:r>
        <w:rPr>
          <w:rFonts w:cs="Times New Roman" w:ascii="Times New Roman" w:hAnsi="Times New Roman"/>
          <w:rtl w:val="true"/>
        </w:rPr>
        <w:t>)).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המסקנה העולה מן האמור הינה כי בית המשפט המחוזי ערך איזון כנדרש בין השיקולים השונים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כך שלא מצאנו עילה להתערב בעונש שהושת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המאזן נכונה בין האינטרס הציבורי של גמול והרתעה לבין השיקולים האינדיבידואלים של המערער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4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 w:cs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 w:cs="David"/>
          <w:color w:val="000000"/>
          <w:szCs w:val="22"/>
          <w:rtl w:val="true"/>
        </w:rPr>
        <w:t xml:space="preserve">ארבל </w:t>
      </w:r>
      <w:r>
        <w:rPr>
          <w:rFonts w:cs="David" w:ascii="David" w:hAnsi="David"/>
          <w:color w:val="000000"/>
          <w:szCs w:val="22"/>
        </w:rPr>
        <w:t>54678313-3156/11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21.2.12</w:t>
      </w:r>
      <w:r>
        <w:rPr>
          <w:rtl w:val="true"/>
        </w:rPr>
        <w:t xml:space="preserve">).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ab/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eastAsia="Arial TUR" w:cs="Arial TUR"/>
                <w:rtl w:val="true"/>
              </w:rPr>
              <w:t xml:space="preserve">           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eastAsia="Arial TUR" w:cs="Arial TUR"/>
                <w:rtl w:val="true"/>
              </w:rPr>
              <w:t xml:space="preserve">                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bookmarkStart w:id="17" w:name="FileName"/>
      <w:r>
        <w:rPr>
          <w:sz w:val="16"/>
        </w:rPr>
        <w:t>11031560</w:t>
      </w:r>
      <w:r>
        <w:rPr>
          <w:sz w:val="16"/>
          <w:rtl w:val="true"/>
        </w:rPr>
        <w:t>_</w:t>
      </w:r>
      <w:r>
        <w:rPr>
          <w:sz w:val="16"/>
        </w:rPr>
        <w:t>B02.doc</w:t>
      </w:r>
      <w:r>
        <w:rPr>
          <w:sz w:val="16"/>
          <w:rtl w:val="true"/>
        </w:rPr>
        <w:t xml:space="preserve">   </w:t>
      </w:r>
      <w:bookmarkEnd w:id="17"/>
      <w:r>
        <w:rPr>
          <w:sz w:val="16"/>
          <w:sz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6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overflowPunct w:val="true"/>
        <w:autoSpaceDE w:val="true"/>
        <w:ind w:end="0"/>
        <w:jc w:val="start"/>
        <w:rPr>
          <w:rFonts w:cs="Times New Roman"/>
          <w:color w:val="000000"/>
          <w:sz w:val="24"/>
        </w:rPr>
      </w:pPr>
      <w:r>
        <w:rPr>
          <w:rFonts w:cs="Times New Roman"/>
          <w:color w:val="000000"/>
          <w:sz w:val="24"/>
          <w:rtl w:val="true"/>
        </w:rPr>
      </w:r>
    </w:p>
    <w:p>
      <w:pPr>
        <w:pStyle w:val="Normal"/>
        <w:overflowPunct w:val="true"/>
        <w:autoSpaceDE w:val="true"/>
        <w:bidi w:val="0"/>
        <w:jc w:val="end"/>
        <w:rPr>
          <w:rFonts w:cs="Times New Roman"/>
          <w:sz w:val="24"/>
        </w:rPr>
      </w:pPr>
      <w:r>
        <w:rPr>
          <w:rFonts w:cs="Times New Roman"/>
          <w:color w:val="000000"/>
          <w:sz w:val="24"/>
          <w:sz w:val="24"/>
          <w:rtl w:val="true"/>
        </w:rPr>
        <w:t>נוסח מסמך זה כפוף לשינויי ניסוח ועריכה</w:t>
      </w:r>
    </w:p>
    <w:p>
      <w:pPr>
        <w:pStyle w:val="Normal"/>
        <w:overflowPunct w:val="true"/>
        <w:autoSpaceDE w:val="true"/>
        <w:bidi w:val="0"/>
        <w:jc w:val="end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overflowPunct w:val="true"/>
        <w:autoSpaceDE w:val="true"/>
        <w:bidi w:val="0"/>
        <w:jc w:val="center"/>
        <w:rPr>
          <w:color w:val="0000FF"/>
          <w:sz w:val="24"/>
          <w:u w:val="single"/>
        </w:rPr>
      </w:pPr>
      <w:hyperlink r:id="rId17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פסיקה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כאן</w:t>
        </w:r>
      </w:hyperlink>
    </w:p>
    <w:p>
      <w:pPr>
        <w:pStyle w:val="Normal"/>
        <w:overflowPunct w:val="true"/>
        <w:autoSpaceDE w:val="true"/>
        <w:bidi w:val="0"/>
        <w:jc w:val="center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</w:r>
    </w:p>
    <w:sectPr>
      <w:headerReference w:type="default" r:id="rId18"/>
      <w:footerReference w:type="default" r:id="rId19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3156/11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מיל זראיעה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NEWPROC=&#1514;&#1508;&amp;NEWPARTA=241770&amp;NEWPARTB=07&amp;NEWPARTC=1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5227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case/4826306" TargetMode="External"/><Relationship Id="rId8" Type="http://schemas.openxmlformats.org/officeDocument/2006/relationships/hyperlink" Target="http://www.nevo.co.il/case/5838067" TargetMode="External"/><Relationship Id="rId9" Type="http://schemas.openxmlformats.org/officeDocument/2006/relationships/hyperlink" Target="http://www.nevo.co.il/case/5755866" TargetMode="External"/><Relationship Id="rId10" Type="http://schemas.openxmlformats.org/officeDocument/2006/relationships/hyperlink" Target="http://www.nevo.co.il/case/6152855" TargetMode="External"/><Relationship Id="rId11" Type="http://schemas.openxmlformats.org/officeDocument/2006/relationships/hyperlink" Target="http://www.nevo.co.il/case/5724364" TargetMode="External"/><Relationship Id="rId12" Type="http://schemas.openxmlformats.org/officeDocument/2006/relationships/hyperlink" Target="http://www.nevo.co.il/case/5950172" TargetMode="External"/><Relationship Id="rId13" Type="http://schemas.openxmlformats.org/officeDocument/2006/relationships/hyperlink" Target="http://www.nevo.co.il/case/5958231" TargetMode="External"/><Relationship Id="rId14" Type="http://schemas.openxmlformats.org/officeDocument/2006/relationships/hyperlink" Target="http://www.nevo.co.il/case/5995135" TargetMode="External"/><Relationship Id="rId15" Type="http://schemas.openxmlformats.org/officeDocument/2006/relationships/hyperlink" Target="http://www.nevo.co.il/case/6024035" TargetMode="External"/><Relationship Id="rId16" Type="http://schemas.openxmlformats.org/officeDocument/2006/relationships/hyperlink" Target="http://www.court.gov.il/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11031560.B02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2015-08-16T09:37:00Z</dcterms:created>
  <dc:creator> </dc:creator>
  <dc:description/>
  <cp:keywords/>
  <dc:language>en-IL</dc:language>
  <cp:lastModifiedBy>hofit</cp:lastModifiedBy>
  <cp:lastPrinted>2009-02-15T11:12:00Z</cp:lastPrinted>
  <dcterms:modified xsi:type="dcterms:W3CDTF">2015-08-16T09:37:00Z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ג'מיל זראיעה</vt:lpwstr>
  </property>
  <property fmtid="{D5CDD505-2E9C-101B-9397-08002B2CF9AE}" pid="3" name="APPELLEE">
    <vt:lpwstr>מדינת ישראל</vt:lpwstr>
  </property>
  <property fmtid="{D5CDD505-2E9C-101B-9397-08002B2CF9AE}" pid="4" name="CASENOTES1">
    <vt:lpwstr>ProcID=209&amp;PartA=241770&amp;PartB=07&amp;PartC=10</vt:lpwstr>
  </property>
  <property fmtid="{D5CDD505-2E9C-101B-9397-08002B2CF9AE}" pid="5" name="CASENOTES2">
    <vt:lpwstr>ProcID=209&amp;PartA=9097&amp;PartC=05</vt:lpwstr>
  </property>
  <property fmtid="{D5CDD505-2E9C-101B-9397-08002B2CF9AE}" pid="6" name="CASENOTES3">
    <vt:lpwstr>ProcID=209&amp;PartA=1242&amp;PartC=97</vt:lpwstr>
  </property>
  <property fmtid="{D5CDD505-2E9C-101B-9397-08002B2CF9AE}" pid="7" name="CASENOTES4">
    <vt:lpwstr>ProcID=209&amp;PartA=9437&amp;PartC=08</vt:lpwstr>
  </property>
  <property fmtid="{D5CDD505-2E9C-101B-9397-08002B2CF9AE}" pid="8" name="CASESLISTTMP1">
    <vt:lpwstr>5878682;4826306;5838067;5755866;6152855;5724364;5950172;5958231;5995135;6024035</vt:lpwstr>
  </property>
  <property fmtid="{D5CDD505-2E9C-101B-9397-08002B2CF9AE}" pid="9" name="DATE">
    <vt:lpwstr>20120221</vt:lpwstr>
  </property>
  <property fmtid="{D5CDD505-2E9C-101B-9397-08002B2CF9AE}" pid="10" name="ISABSTRACT">
    <vt:lpwstr>Y</vt:lpwstr>
  </property>
  <property fmtid="{D5CDD505-2E9C-101B-9397-08002B2CF9AE}" pid="11" name="JUDGE">
    <vt:lpwstr>ע' ארבל;ס' ג'ובראן;י' עמית</vt:lpwstr>
  </property>
  <property fmtid="{D5CDD505-2E9C-101B-9397-08002B2CF9AE}" pid="12" name="LAWLISTTMP1">
    <vt:lpwstr>70301</vt:lpwstr>
  </property>
  <property fmtid="{D5CDD505-2E9C-101B-9397-08002B2CF9AE}" pid="13" name="LAWLISTTMP2">
    <vt:lpwstr>5227</vt:lpwstr>
  </property>
  <property fmtid="{D5CDD505-2E9C-101B-9397-08002B2CF9AE}" pid="14" name="LAWYER">
    <vt:lpwstr>ד' רוסו;ט' חטיב</vt:lpwstr>
  </property>
  <property fmtid="{D5CDD505-2E9C-101B-9397-08002B2CF9AE}" pid="15" name="LINKK1">
    <vt:lpwstr>http://www.nevo.co.il/Psika_word/elyon/11031560-s01.doc;להחלטה בעליון (22-04-2011)#עפ 3156/11 ג'מיל זראיעה נ' מדינת ישראל#שופטים: א' גרוניס#עו''ד: תמר פרוש, עמראן חטיב</vt:lpwstr>
  </property>
  <property fmtid="{D5CDD505-2E9C-101B-9397-08002B2CF9AE}" pid="16" name="PROCESS">
    <vt:lpwstr>עפ</vt:lpwstr>
  </property>
  <property fmtid="{D5CDD505-2E9C-101B-9397-08002B2CF9AE}" pid="17" name="PROCNUM">
    <vt:lpwstr>3156</vt:lpwstr>
  </property>
  <property fmtid="{D5CDD505-2E9C-101B-9397-08002B2CF9AE}" pid="18" name="PROCYEAR">
    <vt:lpwstr>11</vt:lpwstr>
  </property>
  <property fmtid="{D5CDD505-2E9C-101B-9397-08002B2CF9AE}" pid="19" name="PSAKDIN">
    <vt:lpwstr>פסק-דין</vt:lpwstr>
  </property>
  <property fmtid="{D5CDD505-2E9C-101B-9397-08002B2CF9AE}" pid="20" name="TYPE">
    <vt:lpwstr>1</vt:lpwstr>
  </property>
  <property fmtid="{D5CDD505-2E9C-101B-9397-08002B2CF9AE}" pid="21" name="TYPE_ABS_DATE">
    <vt:lpwstr>410020120221</vt:lpwstr>
  </property>
  <property fmtid="{D5CDD505-2E9C-101B-9397-08002B2CF9AE}" pid="22" name="TYPE_N_DATE">
    <vt:lpwstr>41020120221</vt:lpwstr>
  </property>
  <property fmtid="{D5CDD505-2E9C-101B-9397-08002B2CF9AE}" pid="23" name="WORDNUMPAGES">
    <vt:lpwstr>4</vt:lpwstr>
  </property>
</Properties>
</file>