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BODYPROTOCOL"/>
              <w:ind w:end="0"/>
              <w:jc w:val="center"/>
              <w:rPr>
                <w:bCs/>
                <w:sz w:val="28"/>
              </w:rPr>
            </w:pPr>
            <w:r>
              <w:rPr>
                <w:rFonts w:cs="David;Times New Roman"/>
                <w:bCs/>
                <w:sz w:val="28"/>
                <w:sz w:val="28"/>
                <w:rtl w:val="true"/>
              </w:rPr>
              <w:t>בבית</w:t>
            </w:r>
            <w:r>
              <w:rPr>
                <w:rFonts w:cs="Times New Roman;Times New Roman"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rFonts w:cs="David;Times New Roman"/>
                <w:bCs/>
                <w:sz w:val="28"/>
                <w:sz w:val="28"/>
                <w:rtl w:val="true"/>
              </w:rPr>
              <w:t>המשפט</w:t>
            </w:r>
            <w:r>
              <w:rPr>
                <w:rFonts w:cs="Times New Roman;Times New Roman"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rFonts w:cs="David;Times New Roman"/>
                <w:bCs/>
                <w:sz w:val="28"/>
                <w:sz w:val="28"/>
                <w:rtl w:val="true"/>
              </w:rPr>
              <w:t>העליון</w:t>
            </w:r>
            <w:r>
              <w:rPr>
                <w:rFonts w:cs="Times New Roman;Times New Roman"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rFonts w:cs="David;Times New Roman"/>
                <w:bCs/>
                <w:sz w:val="28"/>
                <w:sz w:val="28"/>
                <w:rtl w:val="true"/>
              </w:rPr>
              <w:t>בשבתו</w:t>
            </w:r>
            <w:r>
              <w:rPr>
                <w:rFonts w:cs="Times New Roman;Times New Roman"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rFonts w:cs="David;Times New Roman"/>
                <w:bCs/>
                <w:sz w:val="28"/>
                <w:sz w:val="28"/>
                <w:rtl w:val="true"/>
              </w:rPr>
              <w:t>כבית</w:t>
            </w:r>
            <w:r>
              <w:rPr>
                <w:rFonts w:cs="Times New Roman;Times New Roman"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rFonts w:cs="David;Times New Roman"/>
                <w:bCs/>
                <w:sz w:val="28"/>
                <w:sz w:val="28"/>
                <w:rtl w:val="true"/>
              </w:rPr>
              <w:t>משפט</w:t>
            </w:r>
            <w:r>
              <w:rPr>
                <w:rFonts w:cs="Times New Roman;Times New Roman"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rFonts w:cs="David;Times New Roman"/>
                <w:bCs/>
                <w:sz w:val="28"/>
                <w:sz w:val="28"/>
                <w:rtl w:val="true"/>
              </w:rPr>
              <w:t>לערעורים</w:t>
            </w:r>
            <w:r>
              <w:rPr>
                <w:rFonts w:cs="Times New Roman;Times New Roman"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rFonts w:cs="David;Times New Roman"/>
                <w:bCs/>
                <w:sz w:val="28"/>
                <w:sz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Cs/>
          <w:sz w:val="28"/>
          <w:szCs w:val="28"/>
        </w:rPr>
      </w:pPr>
      <w:r>
        <w:rPr>
          <w:bCs/>
          <w:sz w:val="28"/>
          <w:szCs w:val="28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Casenameintextbody"/>
              <w:ind w:end="0"/>
              <w:jc w:val="end"/>
              <w:rPr>
                <w:rFonts w:cs="David;Times New Roman"/>
                <w:sz w:val="28"/>
                <w:szCs w:val="28"/>
                <w:u w:val="none"/>
              </w:rPr>
            </w:pPr>
            <w:r>
              <w:rPr>
                <w:rFonts w:cs="David;Times New Roman"/>
                <w:sz w:val="28"/>
                <w:sz w:val="28"/>
                <w:szCs w:val="28"/>
                <w:u w:val="none"/>
                <w:rtl w:val="true"/>
              </w:rPr>
              <w:t>ע</w:t>
            </w:r>
            <w:r>
              <w:rPr>
                <w:rFonts w:cs="David;Times New Roman"/>
                <w:sz w:val="28"/>
                <w:szCs w:val="28"/>
                <w:u w:val="none"/>
                <w:rtl w:val="true"/>
              </w:rPr>
              <w:t>"</w:t>
            </w:r>
            <w:r>
              <w:rPr>
                <w:rFonts w:cs="David;Times New Roman"/>
                <w:sz w:val="28"/>
                <w:sz w:val="28"/>
                <w:szCs w:val="28"/>
                <w:u w:val="none"/>
                <w:rtl w:val="true"/>
              </w:rPr>
              <w:t>פ</w:t>
            </w:r>
            <w:r>
              <w:rPr>
                <w:sz w:val="28"/>
                <w:sz w:val="28"/>
                <w:szCs w:val="28"/>
                <w:u w:val="none"/>
                <w:rtl w:val="true"/>
              </w:rPr>
              <w:t xml:space="preserve">   </w:t>
            </w:r>
            <w:r>
              <w:rPr>
                <w:rFonts w:cs="David;Times New Roman"/>
                <w:sz w:val="28"/>
                <w:szCs w:val="28"/>
                <w:u w:val="none"/>
              </w:rPr>
              <w:t>2834/18</w:t>
            </w:r>
          </w:p>
        </w:tc>
      </w:tr>
    </w:tbl>
    <w:p>
      <w:pPr>
        <w:pStyle w:val="Ruller31"/>
        <w:ind w:end="0"/>
        <w:jc w:val="start"/>
        <w:rPr>
          <w:rFonts w:cs="David;Times New Roman"/>
          <w:spacing w:val="0"/>
          <w:sz w:val="28"/>
        </w:rPr>
      </w:pPr>
      <w:r>
        <w:rPr>
          <w:rFonts w:cs="David;Times New Roman"/>
          <w:spacing w:val="0"/>
          <w:sz w:val="28"/>
          <w:rtl w:val="true"/>
        </w:rPr>
      </w:r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3"/>
        <w:gridCol w:w="5529"/>
      </w:tblGrid>
      <w:tr>
        <w:trPr>
          <w:trHeight w:val="287" w:hRule="atLeast"/>
        </w:trPr>
        <w:tc>
          <w:tcPr>
            <w:tcW w:w="2783" w:type="dxa"/>
            <w:tcBorders/>
          </w:tcPr>
          <w:p>
            <w:pPr>
              <w:pStyle w:val="ruller311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ל</w:t>
            </w:r>
            <w:r>
              <w:rPr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sz w:val="28"/>
                <w:szCs w:val="28"/>
                <w:rtl w:val="true"/>
              </w:rPr>
              <w:t>:</w:t>
              <w:tab/>
            </w:r>
          </w:p>
        </w:tc>
        <w:tc>
          <w:tcPr>
            <w:tcW w:w="5529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הנשיאה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2783" w:type="dxa"/>
            <w:tcBorders/>
          </w:tcPr>
          <w:p>
            <w:pPr>
              <w:pStyle w:val="ruller311"/>
              <w:snapToGrid w:val="false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5529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2783" w:type="dxa"/>
            <w:tcBorders/>
          </w:tcPr>
          <w:p>
            <w:pPr>
              <w:pStyle w:val="ruller311"/>
              <w:snapToGrid w:val="false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5529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ברון</w:t>
            </w:r>
          </w:p>
        </w:tc>
      </w:tr>
    </w:tbl>
    <w:p>
      <w:pPr>
        <w:pStyle w:val="Normal"/>
        <w:ind w:end="0"/>
        <w:jc w:val="en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3"/>
        <w:gridCol w:w="5529"/>
      </w:tblGrid>
      <w:tr>
        <w:trPr/>
        <w:tc>
          <w:tcPr>
            <w:tcW w:w="2783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start"/>
              <w:rPr>
                <w:sz w:val="28"/>
                <w:szCs w:val="28"/>
              </w:rPr>
            </w:pPr>
            <w:bookmarkStart w:id="2" w:name="FirstAppellant"/>
            <w:bookmarkEnd w:id="2"/>
            <w:r>
              <w:rPr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5529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מאזן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ג</w:t>
            </w:r>
            <w:r>
              <w:rPr>
                <w:sz w:val="28"/>
                <w:szCs w:val="28"/>
                <w:rtl w:val="true"/>
              </w:rPr>
              <w:t>'</w:t>
            </w:r>
            <w:r>
              <w:rPr>
                <w:sz w:val="28"/>
                <w:sz w:val="28"/>
                <w:szCs w:val="28"/>
                <w:rtl w:val="true"/>
              </w:rPr>
              <w:t>אבר</w:t>
            </w:r>
          </w:p>
        </w:tc>
      </w:tr>
    </w:tbl>
    <w:p>
      <w:pPr>
        <w:pStyle w:val="Normal"/>
        <w:tabs>
          <w:tab w:val="clear" w:pos="720"/>
          <w:tab w:val="left" w:pos="1539" w:leader="none"/>
        </w:tabs>
        <w:ind w:end="0"/>
        <w:jc w:val="start"/>
        <w:rPr>
          <w:sz w:val="12"/>
          <w:szCs w:val="18"/>
        </w:rPr>
      </w:pPr>
      <w:r>
        <w:rPr>
          <w:sz w:val="12"/>
          <w:szCs w:val="18"/>
          <w:rtl w:val="true"/>
        </w:rPr>
      </w:r>
    </w:p>
    <w:p>
      <w:pPr>
        <w:pStyle w:val="Normal"/>
        <w:tabs>
          <w:tab w:val="clear" w:pos="720"/>
          <w:tab w:val="left" w:pos="1539" w:leader="none"/>
        </w:tabs>
        <w:ind w:end="0"/>
        <w:jc w:val="center"/>
        <w:rPr>
          <w:sz w:val="22"/>
          <w:szCs w:val="28"/>
        </w:rPr>
      </w:pPr>
      <w:r>
        <w:rPr>
          <w:sz w:val="22"/>
          <w:sz w:val="22"/>
          <w:szCs w:val="28"/>
          <w:rtl w:val="true"/>
        </w:rPr>
        <w:t>נ</w:t>
      </w:r>
      <w:r>
        <w:rPr>
          <w:rFonts w:cs="Times New Roman;Times New Roman"/>
          <w:sz w:val="22"/>
          <w:sz w:val="22"/>
          <w:szCs w:val="28"/>
          <w:rtl w:val="true"/>
        </w:rPr>
        <w:t xml:space="preserve"> </w:t>
      </w:r>
      <w:r>
        <w:rPr>
          <w:sz w:val="22"/>
          <w:sz w:val="22"/>
          <w:szCs w:val="28"/>
          <w:rtl w:val="true"/>
        </w:rPr>
        <w:t>ג</w:t>
      </w:r>
      <w:r>
        <w:rPr>
          <w:rFonts w:cs="Times New Roman;Times New Roman"/>
          <w:sz w:val="22"/>
          <w:sz w:val="22"/>
          <w:szCs w:val="28"/>
          <w:rtl w:val="true"/>
        </w:rPr>
        <w:t xml:space="preserve"> </w:t>
      </w:r>
      <w:r>
        <w:rPr>
          <w:sz w:val="22"/>
          <w:sz w:val="22"/>
          <w:szCs w:val="28"/>
          <w:rtl w:val="true"/>
        </w:rPr>
        <w:t>ד</w:t>
      </w:r>
    </w:p>
    <w:p>
      <w:pPr>
        <w:pStyle w:val="Normal"/>
        <w:ind w:end="0"/>
        <w:jc w:val="start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tbl>
      <w:tblPr>
        <w:bidiVisual w:val="true"/>
        <w:tblW w:w="8505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76"/>
        <w:gridCol w:w="5529"/>
      </w:tblGrid>
      <w:tr>
        <w:trPr/>
        <w:tc>
          <w:tcPr>
            <w:tcW w:w="2976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start"/>
              <w:rPr>
                <w:sz w:val="22"/>
                <w:szCs w:val="28"/>
              </w:rPr>
            </w:pPr>
            <w:r>
              <w:rPr>
                <w:sz w:val="22"/>
                <w:sz w:val="22"/>
                <w:szCs w:val="28"/>
                <w:rtl w:val="true"/>
              </w:rPr>
              <w:t>המשיבה</w:t>
            </w:r>
            <w:r>
              <w:rPr>
                <w:sz w:val="22"/>
                <w:szCs w:val="28"/>
                <w:rtl w:val="true"/>
              </w:rPr>
              <w:t>:</w:t>
            </w:r>
          </w:p>
        </w:tc>
        <w:tc>
          <w:tcPr>
            <w:tcW w:w="5529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start"/>
              <w:rPr>
                <w:sz w:val="22"/>
                <w:szCs w:val="28"/>
              </w:rPr>
            </w:pPr>
            <w:r>
              <w:rPr>
                <w:sz w:val="22"/>
                <w:sz w:val="22"/>
                <w:szCs w:val="28"/>
                <w:rtl w:val="true"/>
              </w:rPr>
              <w:t>מדינת</w:t>
            </w:r>
            <w:r>
              <w:rPr>
                <w:rFonts w:cs="Times New Roman;Times New Roman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sz w:val="22"/>
                <w:sz w:val="22"/>
                <w:szCs w:val="28"/>
                <w:rtl w:val="true"/>
              </w:rPr>
              <w:t>ישראל</w:t>
            </w:r>
          </w:p>
        </w:tc>
      </w:tr>
    </w:tbl>
    <w:p>
      <w:pPr>
        <w:pStyle w:val="Heading1"/>
        <w:ind w:hanging="0" w:start="0" w:end="0"/>
        <w:jc w:val="start"/>
        <w:rPr>
          <w:rFonts w:cs="David;Times New Roman"/>
          <w:sz w:val="2"/>
          <w:szCs w:val="2"/>
        </w:rPr>
      </w:pPr>
      <w:r>
        <w:rPr>
          <w:rFonts w:cs="David;Times New Roman"/>
          <w:sz w:val="2"/>
          <w:szCs w:val="2"/>
          <w:rtl w:val="true"/>
        </w:rPr>
      </w:r>
    </w:p>
    <w:tbl>
      <w:tblPr>
        <w:bidiVisual w:val="true"/>
        <w:tblW w:w="8505" w:type="dxa"/>
        <w:jc w:val="start"/>
        <w:tblInd w:w="108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976"/>
        <w:gridCol w:w="5529"/>
      </w:tblGrid>
      <w:tr>
        <w:trPr>
          <w:trHeight w:val="261" w:hRule="atLeast"/>
        </w:trPr>
        <w:tc>
          <w:tcPr>
            <w:tcW w:w="2976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5529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ערעור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על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גזר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הדין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של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בית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המשפט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המחוזי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בירושלים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ח</w:t>
            </w:r>
            <w:r>
              <w:rPr>
                <w:rFonts w:cs="Miriam" w:ascii="Century" w:hAnsi="Century"/>
                <w:b/>
                <w:sz w:val="22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מאק</w:t>
            </w:r>
            <w:r>
              <w:rPr>
                <w:rFonts w:cs="Miriam" w:ascii="Century" w:hAnsi="Century"/>
                <w:b/>
                <w:sz w:val="22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קלמנוביץ</w:t>
            </w:r>
            <w:r>
              <w:rPr>
                <w:sz w:val="26"/>
                <w:szCs w:val="26"/>
                <w:rtl w:val="true"/>
              </w:rPr>
              <w:t xml:space="preserve">) </w:t>
            </w:r>
            <w:r>
              <w:rPr>
                <w:sz w:val="26"/>
                <w:sz w:val="26"/>
                <w:szCs w:val="26"/>
                <w:rtl w:val="true"/>
              </w:rPr>
              <w:t>מיום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31.12.2017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6"/>
                  <w:szCs w:val="26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;Times New Roman"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6"/>
                  <w:szCs w:val="26"/>
                  <w:u w:val="single"/>
                </w:rPr>
                <w:t>11789-12-16</w:t>
              </w:r>
            </w:hyperlink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2"/>
                <w:rtl w:val="true"/>
              </w:rPr>
              <w:t>[</w:t>
            </w:r>
            <w:r>
              <w:rPr>
                <w:sz w:val="22"/>
                <w:sz w:val="22"/>
                <w:rtl w:val="true"/>
              </w:rPr>
              <w:t>פורסם</w:t>
            </w:r>
            <w:r>
              <w:rPr>
                <w:rFonts w:cs="Times New Roman;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בנבו</w:t>
            </w:r>
            <w:r>
              <w:rPr>
                <w:sz w:val="22"/>
                <w:rtl w:val="true"/>
              </w:rPr>
              <w:t xml:space="preserve">] </w:t>
            </w:r>
          </w:p>
        </w:tc>
      </w:tr>
      <w:tr>
        <w:trPr/>
        <w:tc>
          <w:tcPr>
            <w:tcW w:w="2976" w:type="dxa"/>
            <w:tcBorders/>
            <w:tcMar>
              <w:start w:w="108" w:type="dxa"/>
              <w:end w:w="108" w:type="dxa"/>
            </w:tcMar>
          </w:tcPr>
          <w:p>
            <w:pPr>
              <w:pStyle w:val="ruller311"/>
              <w:snapToGrid w:val="false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5529" w:type="dxa"/>
            <w:tcBorders/>
            <w:tcMar>
              <w:start w:w="108" w:type="dxa"/>
              <w:end w:w="108" w:type="dxa"/>
            </w:tcMar>
          </w:tcPr>
          <w:p>
            <w:pPr>
              <w:pStyle w:val="precasestyle"/>
              <w:snapToGrid w:val="false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976" w:type="dxa"/>
            <w:tcBorders/>
            <w:tcMar>
              <w:start w:w="108" w:type="dxa"/>
              <w:end w:w="108" w:type="dxa"/>
            </w:tcMar>
          </w:tcPr>
          <w:p>
            <w:pPr>
              <w:pStyle w:val="ruller311"/>
              <w:ind w:end="0"/>
              <w:jc w:val="start"/>
              <w:rPr>
                <w:szCs w:val="28"/>
              </w:rPr>
            </w:pPr>
            <w:r>
              <w:rPr>
                <w:szCs w:val="28"/>
                <w:rtl w:val="true"/>
              </w:rPr>
              <w:t>תאריך</w:t>
            </w:r>
            <w:r>
              <w:rPr>
                <w:rFonts w:cs="Times New Roman;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הישיבה</w:t>
            </w:r>
            <w:r>
              <w:rPr>
                <w:szCs w:val="28"/>
                <w:rtl w:val="true"/>
              </w:rPr>
              <w:t>:</w:t>
            </w:r>
          </w:p>
        </w:tc>
        <w:tc>
          <w:tcPr>
            <w:tcW w:w="5529" w:type="dxa"/>
            <w:tcBorders/>
            <w:tcMar>
              <w:start w:w="108" w:type="dxa"/>
              <w:end w:w="108" w:type="dxa"/>
            </w:tcMar>
          </w:tcPr>
          <w:p>
            <w:pPr>
              <w:pStyle w:val="precasestyle"/>
              <w:ind w:end="0"/>
              <w:jc w:val="start"/>
              <w:rPr>
                <w:rFonts w:cs="David;Times New Roman"/>
                <w:sz w:val="22"/>
                <w:szCs w:val="28"/>
              </w:rPr>
            </w:pPr>
            <w:r>
              <w:rPr>
                <w:rFonts w:cs="David;Times New Roman"/>
                <w:sz w:val="22"/>
                <w:sz w:val="22"/>
                <w:szCs w:val="28"/>
                <w:rtl w:val="true"/>
              </w:rPr>
              <w:t>ט</w:t>
            </w:r>
            <w:r>
              <w:rPr>
                <w:rFonts w:cs="David;Times New Roman"/>
                <w:sz w:val="22"/>
                <w:szCs w:val="28"/>
                <w:rtl w:val="true"/>
              </w:rPr>
              <w:t>"</w:t>
            </w:r>
            <w:r>
              <w:rPr>
                <w:rFonts w:cs="David;Times New Roman"/>
                <w:sz w:val="22"/>
                <w:sz w:val="22"/>
                <w:szCs w:val="28"/>
                <w:rtl w:val="true"/>
              </w:rPr>
              <w:t>ז</w:t>
            </w:r>
            <w:r>
              <w:rPr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2"/>
                <w:sz w:val="22"/>
                <w:szCs w:val="28"/>
                <w:rtl w:val="true"/>
              </w:rPr>
              <w:t>בטבת</w:t>
            </w:r>
            <w:r>
              <w:rPr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2"/>
                <w:sz w:val="22"/>
                <w:szCs w:val="28"/>
                <w:rtl w:val="true"/>
              </w:rPr>
              <w:t>התשע</w:t>
            </w:r>
            <w:r>
              <w:rPr>
                <w:rFonts w:cs="David;Times New Roman"/>
                <w:sz w:val="22"/>
                <w:szCs w:val="28"/>
                <w:rtl w:val="true"/>
              </w:rPr>
              <w:t>"</w:t>
            </w:r>
            <w:r>
              <w:rPr>
                <w:rFonts w:cs="David;Times New Roman"/>
                <w:sz w:val="22"/>
                <w:sz w:val="22"/>
                <w:szCs w:val="28"/>
                <w:rtl w:val="true"/>
              </w:rPr>
              <w:t>ט</w:t>
            </w:r>
            <w:r>
              <w:rPr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2"/>
                <w:szCs w:val="28"/>
                <w:rtl w:val="true"/>
              </w:rPr>
              <w:t>(</w:t>
            </w:r>
            <w:r>
              <w:rPr>
                <w:rFonts w:cs="David;Times New Roman"/>
                <w:sz w:val="22"/>
                <w:szCs w:val="28"/>
              </w:rPr>
              <w:t>24.12.18</w:t>
            </w:r>
            <w:r>
              <w:rPr>
                <w:rFonts w:cs="David;Times New Roman"/>
                <w:sz w:val="22"/>
                <w:szCs w:val="28"/>
                <w:rtl w:val="true"/>
              </w:rPr>
              <w:t>)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22"/>
          <w:szCs w:val="28"/>
        </w:rPr>
      </w:pPr>
      <w:r>
        <w:rPr>
          <w:sz w:val="22"/>
          <w:szCs w:val="28"/>
          <w:rtl w:val="true"/>
        </w:rPr>
      </w:r>
    </w:p>
    <w:tbl>
      <w:tblPr>
        <w:bidiVisual w:val="true"/>
        <w:tblW w:w="8505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76"/>
        <w:gridCol w:w="5529"/>
      </w:tblGrid>
      <w:tr>
        <w:trPr/>
        <w:tc>
          <w:tcPr>
            <w:tcW w:w="2976" w:type="dxa"/>
            <w:tcBorders/>
          </w:tcPr>
          <w:p>
            <w:pPr>
              <w:pStyle w:val="ruller311"/>
              <w:ind w:end="0"/>
              <w:jc w:val="start"/>
              <w:rPr>
                <w:szCs w:val="28"/>
              </w:rPr>
            </w:pPr>
            <w:bookmarkStart w:id="3" w:name="lawyers_a_title"/>
            <w:bookmarkEnd w:id="3"/>
            <w:r>
              <w:rPr>
                <w:szCs w:val="28"/>
                <w:rtl w:val="true"/>
              </w:rPr>
              <w:t>בשם</w:t>
            </w:r>
            <w:r>
              <w:rPr>
                <w:rFonts w:cs="Times New Roman;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המערער</w:t>
            </w:r>
            <w:r>
              <w:rPr>
                <w:szCs w:val="28"/>
                <w:rtl w:val="true"/>
              </w:rPr>
              <w:t>:</w:t>
            </w:r>
          </w:p>
        </w:tc>
        <w:tc>
          <w:tcPr>
            <w:tcW w:w="5529" w:type="dxa"/>
            <w:tcBorders/>
          </w:tcPr>
          <w:p>
            <w:pPr>
              <w:pStyle w:val="precasestyle"/>
              <w:ind w:end="0"/>
              <w:jc w:val="start"/>
              <w:rPr>
                <w:rFonts w:cs="David;Times New Roman"/>
                <w:sz w:val="22"/>
                <w:szCs w:val="28"/>
              </w:rPr>
            </w:pPr>
            <w:r>
              <w:rPr>
                <w:rFonts w:cs="David;Times New Roman"/>
                <w:sz w:val="22"/>
                <w:sz w:val="22"/>
                <w:szCs w:val="28"/>
                <w:rtl w:val="true"/>
              </w:rPr>
              <w:t>עו</w:t>
            </w:r>
            <w:r>
              <w:rPr>
                <w:rFonts w:cs="David;Times New Roman"/>
                <w:sz w:val="22"/>
                <w:szCs w:val="28"/>
                <w:rtl w:val="true"/>
              </w:rPr>
              <w:t>"</w:t>
            </w:r>
            <w:r>
              <w:rPr>
                <w:rFonts w:cs="David;Times New Roman"/>
                <w:sz w:val="22"/>
                <w:sz w:val="22"/>
                <w:szCs w:val="28"/>
                <w:rtl w:val="true"/>
              </w:rPr>
              <w:t>ד</w:t>
            </w:r>
            <w:r>
              <w:rPr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2"/>
                <w:sz w:val="22"/>
                <w:szCs w:val="28"/>
                <w:rtl w:val="true"/>
              </w:rPr>
              <w:t>רמי</w:t>
            </w:r>
            <w:r>
              <w:rPr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2"/>
                <w:sz w:val="22"/>
                <w:szCs w:val="28"/>
                <w:rtl w:val="true"/>
              </w:rPr>
              <w:t>עותמאן</w:t>
            </w:r>
            <w:r>
              <w:rPr>
                <w:rFonts w:cs="David;Times New Roman"/>
                <w:sz w:val="22"/>
                <w:szCs w:val="28"/>
                <w:rtl w:val="true"/>
              </w:rPr>
              <w:tab/>
            </w:r>
          </w:p>
        </w:tc>
      </w:tr>
      <w:tr>
        <w:trPr/>
        <w:tc>
          <w:tcPr>
            <w:tcW w:w="2976" w:type="dxa"/>
            <w:tcBorders/>
          </w:tcPr>
          <w:p>
            <w:pPr>
              <w:pStyle w:val="ruller311"/>
              <w:ind w:end="0"/>
              <w:jc w:val="start"/>
              <w:rPr>
                <w:szCs w:val="28"/>
              </w:rPr>
            </w:pPr>
            <w:bookmarkStart w:id="4" w:name="FirstLawyer"/>
            <w:bookmarkEnd w:id="4"/>
            <w:r>
              <w:rPr>
                <w:szCs w:val="28"/>
                <w:rtl w:val="true"/>
              </w:rPr>
              <w:t>בשם</w:t>
            </w:r>
            <w:r>
              <w:rPr>
                <w:rFonts w:cs="Times New Roman;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המשיבה</w:t>
            </w:r>
            <w:r>
              <w:rPr>
                <w:rFonts w:cs="Times New Roman;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:</w:t>
            </w:r>
          </w:p>
        </w:tc>
        <w:tc>
          <w:tcPr>
            <w:tcW w:w="5529" w:type="dxa"/>
            <w:tcBorders/>
          </w:tcPr>
          <w:p>
            <w:pPr>
              <w:pStyle w:val="precasestyle"/>
              <w:ind w:end="0"/>
              <w:jc w:val="start"/>
              <w:rPr/>
            </w:pPr>
            <w:r>
              <w:rPr>
                <w:rFonts w:cs="David;Times New Roman"/>
                <w:sz w:val="22"/>
                <w:sz w:val="22"/>
                <w:szCs w:val="28"/>
                <w:rtl w:val="true"/>
              </w:rPr>
              <w:t>עו</w:t>
            </w:r>
            <w:r>
              <w:rPr>
                <w:rFonts w:cs="David;Times New Roman"/>
                <w:sz w:val="22"/>
                <w:szCs w:val="28"/>
                <w:rtl w:val="true"/>
              </w:rPr>
              <w:t>"</w:t>
            </w:r>
            <w:r>
              <w:rPr>
                <w:rFonts w:cs="David;Times New Roman"/>
                <w:sz w:val="22"/>
                <w:sz w:val="22"/>
                <w:szCs w:val="28"/>
                <w:rtl w:val="true"/>
              </w:rPr>
              <w:t>ד</w:t>
            </w:r>
            <w:r>
              <w:rPr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2"/>
                <w:sz w:val="22"/>
                <w:szCs w:val="28"/>
                <w:rtl w:val="true"/>
              </w:rPr>
              <w:t>סיגל</w:t>
            </w:r>
            <w:r>
              <w:rPr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2"/>
                <w:sz w:val="22"/>
                <w:szCs w:val="28"/>
                <w:rtl w:val="true"/>
              </w:rPr>
              <w:t>בלום</w:t>
            </w:r>
            <w:r>
              <w:rPr>
                <w:rFonts w:cs="David;Times New Roman"/>
                <w:sz w:val="22"/>
                <w:szCs w:val="28"/>
                <w:rtl w:val="true"/>
              </w:rPr>
              <w:tab/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bookmarkStart w:id="5" w:name="LawTable"/>
      <w:bookmarkEnd w:id="5"/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hyperlink r:id="rId3"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1977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144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4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144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2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418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499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hyperlink r:id="rId8"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1973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13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cs="FrankRuehl;Times New Roman"/>
          <w:sz w:val="24"/>
          <w:sz w:val="24"/>
          <w:szCs w:val="26"/>
          <w:rtl w:val="true"/>
        </w:rPr>
        <w:t>מיני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 w:val="24"/>
          <w:szCs w:val="26"/>
          <w:rtl w:val="true"/>
        </w:rPr>
        <w:t>רציו</w:t>
      </w:r>
      <w:r>
        <w:rPr>
          <w:rFonts w:cs="FrankRuehl;Times New Roman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המקרה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הנדון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בגדר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החריגים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תתערב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ערכאת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בחומרת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שנקבע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הערכאה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הדיונית</w:t>
      </w:r>
      <w:r>
        <w:rPr>
          <w:rFonts w:cs="FrankRuehl;Times New Roman"/>
          <w:sz w:val="24"/>
          <w:szCs w:val="26"/>
          <w:rtl w:val="true"/>
        </w:rPr>
        <w:t xml:space="preserve">; </w:t>
      </w:r>
      <w:r>
        <w:rPr>
          <w:rFonts w:cs="FrankRuehl;Times New Roman"/>
          <w:sz w:val="24"/>
          <w:sz w:val="24"/>
          <w:szCs w:val="26"/>
          <w:rtl w:val="true"/>
        </w:rPr>
        <w:t>מתחמי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שקבע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חורגים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הנוהגת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הולמים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חומרת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המעשים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המגמה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בפסיקה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בניסיון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לגדוע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התופעה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המסוכנת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סחר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בלתי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חוקי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בנשק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דיון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פלילי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 w:val="24"/>
          <w:szCs w:val="26"/>
          <w:rtl w:val="true"/>
        </w:rPr>
        <w:t>התערבות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במידת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FrankRuehl;Times New Roman"/>
          <w:sz w:val="24"/>
          <w:szCs w:val="26"/>
          <w:rtl w:val="true"/>
        </w:rPr>
        <w:t xml:space="preserve">: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;Times New Roman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המחוזי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בגדרו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הושתו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7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ועונשים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נלווים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מכירת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נשק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וסמים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לסוכן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משטרתי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בקבעו</w:t>
      </w:r>
      <w:r>
        <w:rPr>
          <w:rFonts w:cs="FrankRuehl;Times New Roman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;Times New Roman"/>
          <w:sz w:val="24"/>
          <w:sz w:val="24"/>
          <w:szCs w:val="26"/>
          <w:rtl w:val="true"/>
        </w:rPr>
        <w:t>הלכה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ידועה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מדרכה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ערכאת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להתערב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בחומרת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שנקבע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הערכאה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הדיונית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חריגים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נפלה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מהותית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שהוטל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חורג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באופן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קיצוני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המקובלת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דומים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בגדר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חריגים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אלה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הורשע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בשורה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חמורות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שעניינן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תיווך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וסחר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בכלי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נשק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שונים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בעבירת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סמים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חומרתם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ללמוד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כשלעצמה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מהצטברותן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העבירות</w:t>
      </w:r>
      <w:r>
        <w:rPr>
          <w:rFonts w:cs="FrankRuehl;Times New Roman"/>
          <w:sz w:val="24"/>
          <w:szCs w:val="26"/>
          <w:rtl w:val="true"/>
        </w:rPr>
        <w:t xml:space="preserve">; </w:t>
      </w:r>
      <w:r>
        <w:rPr>
          <w:rFonts w:cs="FrankRuehl;Times New Roman"/>
          <w:sz w:val="24"/>
          <w:sz w:val="24"/>
          <w:szCs w:val="26"/>
          <w:rtl w:val="true"/>
        </w:rPr>
        <w:t>ובפרט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בהינתן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היווה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דמות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דומיננטית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בביצוען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מתחמי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שקבע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חורגים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הנוהגת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הולמים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חומרת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המעשים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המגמה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בפסיקה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בניסיון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לגדוע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התופעה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המסוכנת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סחר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בלתי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חוקי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בנשק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לשעות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לטענות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לשידול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מטעם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הסוכן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המשטרתי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שכן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עובדות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כתב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האישום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מלמדות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אחרת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ממש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בטענותיו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בדבר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פגיעה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באחידות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הענישה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זאת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ועוד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טענת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לפיה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בעונשו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השתלב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בתכנית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הקודם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יכולה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לסייע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בידו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ראשית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עברו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הפלילי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נזקף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לחובתו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לזכותו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שנית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שילובו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בתכנית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במסגרת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הקודם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נבעה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הקשורות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עצמו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505" w:type="dxa"/>
        <w:jc w:val="start"/>
        <w:tblInd w:w="16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5"/>
      </w:tblGrid>
      <w:tr>
        <w:trPr/>
        <w:tc>
          <w:tcPr>
            <w:tcW w:w="8505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"/>
        <w:ind w:end="0"/>
        <w:jc w:val="both"/>
        <w:rPr>
          <w:rFonts w:ascii="Century" w:hAnsi="Century" w:cs="Century"/>
        </w:rPr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31.12.2017</w:t>
      </w:r>
      <w:r>
        <w:rPr>
          <w:rtl w:val="true"/>
        </w:rPr>
        <w:t xml:space="preserve"> (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קלמנוביץ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11789-12-16</w:t>
        </w:r>
      </w:hyperlink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שבגדרו הושתו על המערער שבע שנות מאסר ועונשים נלווים בגין מכירת נשק וסמים לסוכן משטרתי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במסגרת גזר הדין הושתו עונשים על שלושה נאשמים נוספים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ואולם עניינם אינו נדון בגדר ערעור זה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והליכים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קודמים</w:t>
      </w:r>
    </w:p>
    <w:p>
      <w:pPr>
        <w:pStyle w:val="Ruller4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המערער הורשע במסגרת הסדר טיעון שלא כלל התייחסות לעונש בשלוש עבירות של סחר בנשק לפי </w:t>
      </w:r>
      <w:hyperlink r:id="rId1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144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u w:val="single"/>
          </w:rPr>
          <w:t>2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נשיאת נשק לפי </w:t>
      </w:r>
      <w:hyperlink r:id="rId1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144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cs="Century" w:ascii="Century" w:hAnsi="Century"/>
            <w:color w:val="0000FF"/>
            <w:u w:val="single"/>
          </w:rPr>
          <w:t>4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העונשין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סחר בסם מסוכן לפי </w:t>
      </w:r>
      <w:hyperlink r:id="rId1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המסוכנים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נוסח חדש</w:t>
      </w:r>
      <w:r>
        <w:rPr>
          <w:rFonts w:cs="Century" w:ascii="Century" w:hAnsi="Century"/>
          <w:rtl w:val="true"/>
        </w:rPr>
        <w:t xml:space="preserve">],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1973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קשירת קשר לביצוע פשע לפי </w:t>
      </w:r>
      <w:hyperlink r:id="rId1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499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העונשין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ושימוש במסמך מזויף לפי </w:t>
      </w:r>
      <w:hyperlink r:id="rId1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418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העונשין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מכתב אישום מתוקן שמתייחס למערער ולנאשם נוסף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cs="Century"/>
          <w:rtl w:val="true"/>
        </w:rPr>
        <w:t xml:space="preserve"> ו</w:t>
      </w:r>
      <w:r>
        <w:rPr>
          <w:rFonts w:cs="Century" w:ascii="Century" w:hAnsi="Century"/>
          <w:rtl w:val="true"/>
        </w:rPr>
        <w:t>-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השותף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בהתאמה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נלמד כי סוכן משטרתי שהיה מיודד עם המערער ביקש לרכוש תת מקלע מסוג קרלו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הסוכן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הסוכן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והשותף לעבירה נפגשו וסיכמו על ביצוע העסקה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ולמחרת מסר המערער את הנשק בתמורה 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האישום השני בכתב האישום מיוחס למערער 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ולפיו מכר המערער לסוכן סם מסוג חשיש במשקל </w:t>
      </w:r>
      <w:r>
        <w:rPr>
          <w:rFonts w:cs="Century" w:ascii="Century" w:hAnsi="Century"/>
        </w:rPr>
        <w:t>94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בתמורה 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3,900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 האישום השלישי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המערער והשותף לעבירה קשרו קשר למכור לסוכן כלי נשק נוספים ובהם אקדח מסוג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יריחו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תת מקלע מאולתר נוסף מסוג קרלו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ומטען חבלה שניתן להפעלה בשלט רחוק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במשך כשבועיים ניהלו הצדדים מגעים אינטנסיביים לתיאום פרטי העסקה והמערער והשותף לעבירה אף נפגשו עם הסוכן ועם שוטר שהתחזה לרוכש המטען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העסקה לא הושלמה מאחר שהשוטר ביקש לפרק את המטען כדי לא לנסוע עימו כשהוא פעיל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האדם שהרכיב אותו לא יכול היה להגיע ולפרקו באותו מועד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והשותף לעבירה המשיכו לאחר מכן בניסיו</w:t>
      </w:r>
      <w:r>
        <w:rPr>
          <w:rFonts w:ascii="Century" w:hAnsi="Century" w:cs="Century"/>
          <w:rtl w:val="true"/>
        </w:rPr>
        <w:t>ן</w:t>
      </w:r>
      <w:r>
        <w:rPr>
          <w:rFonts w:ascii="Century" w:hAnsi="Century" w:cs="Century"/>
          <w:rtl w:val="true"/>
        </w:rPr>
        <w:t xml:space="preserve"> לשכנע את הסוכן להשלים את העסקה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ואף שולמה מקדמה בסך של </w:t>
      </w:r>
      <w:r>
        <w:rPr>
          <w:rFonts w:cs="Century" w:ascii="Century" w:hAnsi="Century"/>
        </w:rPr>
        <w:t>1,000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בסופו של דבר העסקה לא יצאה לפועל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 האישום הרביעי המערער ניהל עם הסוכן מגעים לרכישת אמצעי לחימה נוספים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בהם תת מקלע מסוג קרלו ורימוני הלם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עסקה זו הושלמה בחלקה והמערער קיבל תשלום של </w:t>
      </w:r>
      <w:r>
        <w:rPr>
          <w:rFonts w:cs="Century" w:ascii="Century" w:hAnsi="Century"/>
        </w:rPr>
        <w:t>6,400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 בתמורה לשמונה רימוני הלם שהעביר לסוכן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מן האישום החמישי נלמד כי המערער ניהל ביחד עם אדם נוסף משא ומתן למכירת כלי נשק נוספים לסוכן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ובהם רובה מסוג קלצ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 xml:space="preserve">ניקוב ורובה מסוג </w:t>
      </w:r>
      <w:r>
        <w:rPr>
          <w:rFonts w:cs="Century" w:ascii="Century" w:hAnsi="Century"/>
        </w:rPr>
        <w:t>M</w:t>
      </w: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20.10.2016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הגיעו הסוכן ושוטר שנחזה לקונה וקנו את הנשק בתמורה 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55,000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 המערער הציע לסוכן לרכוש שטרות כסף מזויפים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והסוכן קנה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דוגמה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של שטר של </w:t>
      </w:r>
      <w:r>
        <w:rPr>
          <w:rFonts w:cs="Century" w:ascii="Century" w:hAnsi="Century"/>
        </w:rPr>
        <w:t>200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ח תמורת סכום של </w:t>
      </w:r>
      <w:r>
        <w:rPr>
          <w:rFonts w:cs="Century" w:ascii="Century" w:hAnsi="Century"/>
        </w:rPr>
        <w:t>60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יצוין כי חודשים ספורים לפני מעצרו בגין העבירות נושא כתב האישום שוחרר המערער ממאסר ממושך בן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שנים שאותו ריצה עד תומו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הקודם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המאסר הקודם הוטל על המערער בגין שבעה מקרי שוד אלימים של נהגי מוניות שביצע בשנת </w:t>
      </w:r>
      <w:r>
        <w:rPr>
          <w:rFonts w:cs="Century" w:ascii="Century" w:hAnsi="Century"/>
        </w:rPr>
        <w:t>2007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בהם נגנבו הרכבים על כל המצוי בהם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כאשר בכל המקרים שהה המערער בישראל באופן בלתי חוקי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וגם בגין כך הורשע ונגזר דינו כאמור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לאחר ששמע את טיעוני הצדדים קבע בית המשפט כי יש לקבוע מתחם ענישה נפרד עבור כל אחד מן האישומים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 המשפט העמיד את מתחם העונש ההולם ביחס לעבירה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העיקרית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של סחר בכלי נשק על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עד ארבע שנות מאסר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ביחס לעבירות התיווך שלא הגיעו עד כדי סחר בנשק קבע בית המשפט כי המתחם נע בין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לשלוש שנות מאסר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ביחס לעבירות של קשירת קשר לביצוע פשע נקבע כי המתחם יעמוד על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עד שנתיים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וביחס לעבירות הסמים נקבע מתחם שבין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בגזירת דינו של המערער התייחס בית המשפט לעברו הפלילי ולזיקה שקיימת בין עבירות השוד שבגינן ריצה את המאסר הקודם ובין עבירות הנשק נושא תיק זה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וכן נתן דעתו לטענת המערער שלפיה העבירות בוצעו על רקע מצוקה כלכלית והיעדר כלים להשתקם לאחר שחרורו מן הכלא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אלה נקבע כי יש לגזור את עונשו של המערער בתחום הבינוני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גבוה של המתחם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ובית המשפט השית עליו שבע שנות מאסר בניכוי ימי מעצרו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עשרה חודשי מאסר על תנאי לבל יעבור במשך שלוש שנים כל עבירה בנשק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וקנס בסך </w:t>
      </w:r>
      <w:r>
        <w:rPr>
          <w:rFonts w:cs="Century" w:ascii="Century" w:hAnsi="Century"/>
        </w:rPr>
        <w:t>10,000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על יתר הנאשמים בפרשה הושתו עונשים הנעים בין </w:t>
      </w:r>
      <w:r>
        <w:rPr>
          <w:rFonts w:cs="Century" w:ascii="Century" w:hAnsi="Century"/>
        </w:rPr>
        <w:t>28-24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הערעור דנן מופנה נגד 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ויוער כי תחילה הוגש הערעור הן על ידי המערער הן על ידי השותף לעבירה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ואולם ביום </w:t>
      </w:r>
      <w:r>
        <w:rPr>
          <w:rFonts w:cs="Century" w:ascii="Century" w:hAnsi="Century"/>
        </w:rPr>
        <w:t>9.7.2018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הודיע השותף לעבירה כי הוא סיים לרצות את עונשו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ולבקשתו הערעור נמחק ככל שהוא נוגע אליו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לטענת המערער הסוכן המשטרתי ניהל עימו קישר חברי זמן רב לפני קרות האירועים נושא 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ולמעשה הדיח ושידל אותו לביצוע העבירות תוך ניצול מצבו הכלכלי הקשה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סבור המערער כי בנסיבות אלה לא היה מקום לקביעה שלפיה המערער היווה דמות דומיננטית באירועים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לטענתו הסוכן הוא שתיכנן את העסקה והפעיל עליו לחץ לביצוע העבירות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מציין כי לא ניתנה לו אפשרות להשתלב בהליך שיקום במסגרת המאסר הקודם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עם שחרורו מן הכלא הוא נקלע למצוקה כלכלית והתחבר לחברה שולית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לטענתו במסגרת ההליך דנן הוא הביע חרטה על מעשיו ורצון להשתקם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ומשכך היה על בית המשפט להקל בעונשו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נטען כי העונש סוטה מרף הענישה המקובל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לא ניתן משקל מספק לנסיבותיו האישיות של המערער בעת גזירת העונש בתוך המתחם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אף מלין על העונש החמור שהוטל עליו ביחס לנאשמים הנוספים בפרשה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על השותף לעבירה הוטלו </w:t>
      </w:r>
      <w:r>
        <w:rPr>
          <w:rFonts w:cs="Century" w:ascii="Century" w:hAnsi="Century"/>
        </w:rPr>
        <w:t>28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ועל שני נאשמים נוספים בפרשה הוטלו </w:t>
      </w:r>
      <w:r>
        <w:rPr>
          <w:rFonts w:cs="Century" w:ascii="Century" w:hAnsi="Century"/>
        </w:rPr>
        <w:t>28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בהתאמה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כולם בניכוי ימי מעצרם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 המערער המדובר בפגיעה בעיקרון אחידות הענישה ובאפלייתו אל מול יתר הנאשמים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נטען כי היה על בית המשפט לקבוע מתחמי עונש שונים בהתאם לסוג הנשק שנסחר בכל אחד מן האישומים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קטלני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מסוג </w:t>
      </w:r>
      <w:r>
        <w:rPr>
          <w:rFonts w:cs="Century" w:ascii="Century" w:hAnsi="Century"/>
        </w:rPr>
        <w:t>M</w:t>
      </w: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tl w:val="true"/>
        </w:rPr>
        <w:t>מטען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מרחוק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לקניית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פאסיבית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השתחרר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  <w:tab/>
      </w:r>
      <w:r>
        <w:rPr>
          <w:rtl w:val="true"/>
        </w:rPr>
        <w:t>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וייאמר כבר עתה שמקרה זו אינו נמנה בגדרם של מקרים חריגים אלה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5307/17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חלאג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(</w:t>
      </w:r>
      <w:r>
        <w:rPr/>
        <w:t>10.7.2018</w:t>
      </w:r>
      <w:r>
        <w:rPr>
          <w:rtl w:val="true"/>
        </w:rPr>
        <w:t>);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4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7304/15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13.3.2017</w:t>
      </w:r>
      <w:r>
        <w:rPr>
          <w:rFonts w:cs="Century" w:ascii="Century" w:hAnsi="Century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תיווך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מהצטברותן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;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דומיננטית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בביצוען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מתחמי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המסוכנת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4154/16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דהוד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19.1.2017</w:t>
      </w:r>
      <w:r>
        <w:rPr>
          <w:rtl w:val="true"/>
        </w:rPr>
        <w:t xml:space="preserve">);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785/15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פואקה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6.12.2015</w:t>
      </w:r>
      <w:r>
        <w:rPr>
          <w:rtl w:val="true"/>
        </w:rPr>
        <w:t xml:space="preserve">);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2422/14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21.12.2014</w:t>
      </w:r>
      <w:r>
        <w:rPr>
          <w:rtl w:val="true"/>
        </w:rPr>
        <w:t>)).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מיודד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וחומרתם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דומיננטית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שבגינן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ומלמדות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ובהן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מצדו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ומששב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;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שמפעילותו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וביטחונו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מדרכיו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ולהשתקם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ישכיל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בשבט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15.1.2019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18028340</w:t>
      </w:r>
      <w:r>
        <w:rPr>
          <w:sz w:val="16"/>
          <w:rtl w:val="true"/>
        </w:rPr>
        <w:t>_</w:t>
      </w:r>
      <w:r>
        <w:rPr>
          <w:sz w:val="16"/>
        </w:rPr>
        <w:t>G06.docx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גה</w:t>
      </w:r>
    </w:p>
    <w:p>
      <w:pPr>
        <w:pStyle w:val="Ruller381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3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FFFFFF"/>
          <w:sz w:val="2"/>
          <w:szCs w:val="2"/>
        </w:rPr>
      </w:pPr>
      <w:r>
        <w:rPr>
          <w:rFonts w:cs="David;Times New Roman" w:ascii="David;Times New Roman" w:hAnsi="David;Times New Roman"/>
          <w:color w:val="FFFFFF"/>
          <w:sz w:val="2"/>
          <w:szCs w:val="2"/>
        </w:rPr>
        <w:t>54678313</w:t>
      </w:r>
    </w:p>
    <w:p>
      <w:pPr>
        <w:pStyle w:val="Ruller381"/>
        <w:ind w:end="0"/>
        <w:jc w:val="start"/>
        <w:rPr>
          <w:rFonts w:ascii="David;Times New Roman" w:hAnsi="David;Times New Roman" w:cs="David;Times New Roman"/>
          <w:color w:val="FFFFFF"/>
          <w:sz w:val="2"/>
          <w:szCs w:val="2"/>
        </w:rPr>
      </w:pPr>
      <w:r>
        <w:rPr>
          <w:rFonts w:cs="David;Times New Roman" w:ascii="David;Times New Roman" w:hAnsi="David;Times New Roman"/>
          <w:color w:val="FFFFFF"/>
          <w:sz w:val="2"/>
          <w:szCs w:val="2"/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  <w:u w:val="single"/>
        </w:rPr>
      </w:pPr>
      <w:r>
        <w:rPr>
          <w:rFonts w:cs="David;Times New Roman" w:ascii="David;Times New Roman" w:hAnsi="David;Times New Roman"/>
          <w:color w:val="000000"/>
          <w:szCs w:val="22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מ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מזוז </w:t>
      </w:r>
      <w:r>
        <w:rPr>
          <w:rFonts w:cs="David;Times New Roman" w:ascii="David;Times New Roman" w:hAnsi="David;Times New Roman"/>
          <w:color w:val="000000"/>
          <w:szCs w:val="22"/>
        </w:rPr>
        <w:t>54678313-2834/18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  <w:rtl w:val="true"/>
        </w:rPr>
        <w:t>נוסח</w:t>
      </w:r>
      <w:r>
        <w:rPr>
          <w:rFonts w:cs="Times New Roman;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מסמך</w:t>
      </w:r>
      <w:r>
        <w:rPr>
          <w:rFonts w:cs="Times New Roman;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זה</w:t>
      </w:r>
      <w:r>
        <w:rPr>
          <w:rFonts w:cs="Times New Roman;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כפוף</w:t>
      </w:r>
      <w:r>
        <w:rPr>
          <w:rFonts w:cs="Times New Roman;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לשינויי</w:t>
      </w:r>
      <w:r>
        <w:rPr>
          <w:rFonts w:cs="Times New Roman;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ניסוח</w:t>
      </w:r>
      <w:r>
        <w:rPr>
          <w:rFonts w:cs="Times New Roman;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ועריכה</w:t>
      </w:r>
    </w:p>
    <w:sectPr>
      <w:headerReference w:type="default" r:id="rId25"/>
      <w:footerReference w:type="default" r:id="rId2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Arial">
    <w:charset w:val="00" w:characterSet="windows-1252"/>
    <w:family w:val="swiss"/>
    <w:pitch w:val="variable"/>
  </w:font>
  <w:font w:name="Tahoma">
    <w:altName w:val="Verdana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altName w:val="Times New Roman"/>
    <w:charset w:val="00" w:characterSet="windows-1252"/>
    <w:family w:val="swiss"/>
    <w:pitch w:val="variable"/>
  </w:font>
  <w:font w:name="David">
    <w:altName w:val="Times New Roman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7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2834/18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מאזן ג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>'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אבר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verflowPunct w:val="true"/>
      <w:spacing w:before="240" w:after="60"/>
      <w:textAlignment w:val="auto"/>
      <w:outlineLvl w:val="0"/>
    </w:pPr>
    <w:rPr>
      <w:rFonts w:ascii="Arial;Arial" w:hAnsi="Arial;Arial" w:cs="Arial;Arial"/>
      <w:b/>
      <w:bCs/>
      <w:kern w:val="2"/>
      <w:sz w:val="32"/>
      <w:szCs w:val="32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;Verdana" w:hAnsi="Tahoma;Verdana" w:cs="Tahoma;Verdana"/>
      <w:sz w:val="18"/>
      <w:szCs w:val="18"/>
    </w:rPr>
  </w:style>
  <w:style w:type="character" w:styleId="CharChar3">
    <w:name w:val=" Char Char3"/>
    <w:qFormat/>
    <w:rPr>
      <w:rFonts w:ascii="Arial;Arial" w:hAnsi="Arial;Arial" w:cs="Arial;Arial"/>
      <w:b/>
      <w:bCs/>
      <w:kern w:val="2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;Verdana" w:hAnsi="Tahoma;Verdana" w:cs="Tahoma;Verdana"/>
      <w:sz w:val="18"/>
      <w:szCs w:val="18"/>
    </w:rPr>
  </w:style>
  <w:style w:type="paragraph" w:styleId="ruller311">
    <w:name w:val="ruller 31"/>
    <w:basedOn w:val="Casenameintextbody"/>
    <w:qFormat/>
    <w:pPr>
      <w:jc w:val="start"/>
    </w:pPr>
    <w:rPr>
      <w:rFonts w:cs="David;Times New Roman"/>
      <w:b w:val="false"/>
      <w:bCs w:val="false"/>
      <w:sz w:val="22"/>
      <w:u w:val="none"/>
    </w:rPr>
  </w:style>
  <w:style w:type="paragraph" w:styleId="BODYPROTOCOL">
    <w:name w:val="BODY PROTOCOL"/>
    <w:basedOn w:val="Normal"/>
    <w:qFormat/>
    <w:pPr>
      <w:overflowPunct w:val="true"/>
      <w:spacing w:lineRule="auto" w:line="360"/>
      <w:jc w:val="both"/>
      <w:textAlignment w:val="auto"/>
    </w:pPr>
    <w:rPr>
      <w:rFonts w:cs="FrankRuehl;Times New Roman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72519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4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418" TargetMode="External"/><Relationship Id="rId7" Type="http://schemas.openxmlformats.org/officeDocument/2006/relationships/hyperlink" Target="http://www.nevo.co.il/law/70301/499.a.1" TargetMode="External"/><Relationship Id="rId8" Type="http://schemas.openxmlformats.org/officeDocument/2006/relationships/hyperlink" Target="http://www.nevo.co.il/law/4216" TargetMode="External"/><Relationship Id="rId9" Type="http://schemas.openxmlformats.org/officeDocument/2006/relationships/hyperlink" Target="http://www.nevo.co.il/law/4216/13" TargetMode="External"/><Relationship Id="rId10" Type="http://schemas.openxmlformats.org/officeDocument/2006/relationships/hyperlink" Target="http://www.nevo.co.il/case/21725190" TargetMode="External"/><Relationship Id="rId11" Type="http://schemas.openxmlformats.org/officeDocument/2006/relationships/hyperlink" Target="http://www.nevo.co.il/law/70301/144.b2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4" TargetMode="External"/><Relationship Id="rId14" Type="http://schemas.openxmlformats.org/officeDocument/2006/relationships/hyperlink" Target="http://www.nevo.co.il/law/4216/13" TargetMode="External"/><Relationship Id="rId15" Type="http://schemas.openxmlformats.org/officeDocument/2006/relationships/hyperlink" Target="http://www.nevo.co.il/law/4216" TargetMode="External"/><Relationship Id="rId16" Type="http://schemas.openxmlformats.org/officeDocument/2006/relationships/hyperlink" Target="http://www.nevo.co.il/law/70301/499.a.1" TargetMode="External"/><Relationship Id="rId17" Type="http://schemas.openxmlformats.org/officeDocument/2006/relationships/hyperlink" Target="http://www.nevo.co.il/law/70301/418" TargetMode="External"/><Relationship Id="rId18" Type="http://schemas.openxmlformats.org/officeDocument/2006/relationships/hyperlink" Target="http://www.nevo.co.il/case/22797351" TargetMode="External"/><Relationship Id="rId19" Type="http://schemas.openxmlformats.org/officeDocument/2006/relationships/hyperlink" Target="http://www.nevo.co.il/case/22322664" TargetMode="External"/><Relationship Id="rId20" Type="http://schemas.openxmlformats.org/officeDocument/2006/relationships/hyperlink" Target="http://www.nevo.co.il/case/21474520" TargetMode="External"/><Relationship Id="rId21" Type="http://schemas.openxmlformats.org/officeDocument/2006/relationships/hyperlink" Target="http://www.nevo.co.il/case/20007334" TargetMode="External"/><Relationship Id="rId22" Type="http://schemas.openxmlformats.org/officeDocument/2006/relationships/hyperlink" Target="http://www.nevo.co.il/case/13090914" TargetMode="External"/><Relationship Id="rId23" Type="http://schemas.openxmlformats.org/officeDocument/2006/relationships/hyperlink" Target="http://supreme.court.gov.il/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2019-01-16T10:57:00Z</dcterms:created>
  <dc:creator>h3</dc:creator>
  <dc:description/>
  <cp:keywords/>
  <dc:language>en-IL</dc:language>
  <cp:lastModifiedBy>orly</cp:lastModifiedBy>
  <cp:lastPrinted>2019-01-15T10:47:00Z</cp:lastPrinted>
  <dcterms:modified xsi:type="dcterms:W3CDTF">2019-01-16T10:57:00Z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מאזן ג'אבר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21725190:2;22797351;22322664;21474520;20007334;13090914</vt:lpwstr>
  </property>
  <property fmtid="{D5CDD505-2E9C-101B-9397-08002B2CF9AE}" pid="9" name="CITY">
    <vt:lpwstr/>
  </property>
  <property fmtid="{D5CDD505-2E9C-101B-9397-08002B2CF9AE}" pid="10" name="DATE">
    <vt:lpwstr>20190115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מ' מזוז;ע' ברון;א' חיות</vt:lpwstr>
  </property>
  <property fmtid="{D5CDD505-2E9C-101B-9397-08002B2CF9AE}" pid="14" name="LAWLISTTMP1">
    <vt:lpwstr>70301/144.b2;144.4;499.a.1;418</vt:lpwstr>
  </property>
  <property fmtid="{D5CDD505-2E9C-101B-9397-08002B2CF9AE}" pid="15" name="LAWLISTTMP2">
    <vt:lpwstr>4216/013</vt:lpwstr>
  </property>
  <property fmtid="{D5CDD505-2E9C-101B-9397-08002B2CF9AE}" pid="16" name="LAWYER">
    <vt:lpwstr>סיגל בלום;רמי עותמאן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דיון פלילי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18;77</vt:lpwstr>
  </property>
  <property fmtid="{D5CDD505-2E9C-101B-9397-08002B2CF9AE}" pid="38" name="NOSE21">
    <vt:lpwstr>ערעור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504;1446</vt:lpwstr>
  </property>
  <property fmtid="{D5CDD505-2E9C-101B-9397-08002B2CF9AE}" pid="49" name="NOSE31">
    <vt:lpwstr>אי-התערבות במידת העונש</vt:lpwstr>
  </property>
  <property fmtid="{D5CDD505-2E9C-101B-9397-08002B2CF9AE}" pid="50" name="NOSE310">
    <vt:lpwstr/>
  </property>
  <property fmtid="{D5CDD505-2E9C-101B-9397-08002B2CF9AE}" pid="51" name="NOSE32">
    <vt:lpwstr>מדיניות ענישה: עבירות נשק</vt:lpwstr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17039;13800</vt:lpwstr>
  </property>
  <property fmtid="{D5CDD505-2E9C-101B-9397-08002B2CF9AE}" pid="60" name="PADIDATE">
    <vt:lpwstr>20190116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2834</vt:lpwstr>
  </property>
  <property fmtid="{D5CDD505-2E9C-101B-9397-08002B2CF9AE}" pid="66" name="PROCYEAR">
    <vt:lpwstr>18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410120190115</vt:lpwstr>
  </property>
  <property fmtid="{D5CDD505-2E9C-101B-9397-08002B2CF9AE}" pid="70" name="TYPE_N_DATE">
    <vt:lpwstr>41020190115</vt:lpwstr>
  </property>
  <property fmtid="{D5CDD505-2E9C-101B-9397-08002B2CF9AE}" pid="71" name="VOLUME">
    <vt:lpwstr/>
  </property>
  <property fmtid="{D5CDD505-2E9C-101B-9397-08002B2CF9AE}" pid="72" name="WORDNUMPAGES">
    <vt:lpwstr>6</vt:lpwstr>
  </property>
</Properties>
</file>