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5323/12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12.6.2012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15527-08-10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 לנוכח העובדה כי מדובר בתוצאה הנובעת מהפעלת עונש מאסר מותנה – הגבוהה מהעונש שהוטל על המערער בגין העבירות נשוא ההליך דנא – בחפיפה מלאה לעונש שהושת על המערער בתיק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 לא נמצאה כל חומרה בעונש שהוטל על המערער נוכח מדיניות הענישה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מאסר על תנאי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בעבירות נשק בגדרו הוטלו על המערער </w:t>
      </w:r>
      <w:r>
        <w:rPr>
          <w:rFonts w:cs="Times New Roman" w:ascii="Times New Roman" w:hAnsi="Times New Roman"/>
          <w:spacing w:val="0"/>
          <w:szCs w:val="26"/>
        </w:rPr>
        <w:t>28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הפעלה בחופף של עונש מאסר מותנה שהיה בתוקף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על המערער לרצות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מלין על חומרת העונש ובנוסף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מקום להפעיל את עונש המאסר המותנה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התנאי שנקבע כרוך בביצוע כל עבירה מסוג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ומדובר בתנאי רחב וגורף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הפעלתו בנסיבות העניין איננה צודקת ואיננה מידתית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בעיקר לנוכח העובדה כי מדובר בתוצאה הנובעת מהפעלת עונש מאסר על תנאי בן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בחפיפה מלאה לעונש שהושת על המערער בתיק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העביר מזוודה ובתוכה רובה אוטומטי ותחמושת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מחורשה לבית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שם הסתיר את כלי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במעשה שאין להקל ראש בחומרתו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שנקבע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בנשק לסוגיהן מגלמות בתוכן סיכון ממשי לשלום הציבור ולבטחונו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לא ניתן לדעת להיכן יתגלגלו כלי הנשק המוחזקים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ואיזה שימוש יעשה בהם בעתיד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הסכנה לשלום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ובשל הצורך בהרתעה מפני עבריינות הנוגעת לנשק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נקבעה מדיניות הענישה הכוללת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 של מאסר לריצוי בפועל כאשר בשנים האחרונות ניכרת מגמת החמרה בענישה בעבירות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חומרה בעונש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 כי לא היה מנוס מהפעלת עונש המאסר המותנה והמערער אינו זכאי לכל הקלה נוספת מעבר להקלה הניכרת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כי העונש המותנה ירוצה 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להשגות שעניינן עונש המאסר המותנה שהושת בתיק הקודם צוין בין היתר כי מקומן איננו בהליך דנן וכן כי נקבע בפסיקתו של בית משפט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אין מניעה לעשות שימוש בנוסח רחב של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ניכרת הקפדה על בהירותו של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secretary"/>
            <w:bookmarkStart w:id="15" w:name="BeginProtocol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/>
          <w:spacing w:val="0"/>
          <w:sz w:val="28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bookmarkStart w:id="16" w:name="Start_Write"/>
      <w:bookmarkEnd w:id="16"/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בפנינו ערעור על גזר דינו של בית המשפט המחוזי בנצרת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כתילי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15527-08-10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12.6.2012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מלכתחילה הגיש המערער גם ערעור על 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לאחר שמיעת הערותינו במהלך הדיון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הודיע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חוזר בו מהערעור על 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ומבקש להקל בעונשו של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 הדיון בערעור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שורו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22-24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וגרסאותיו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פי עובדות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עובר ליום </w:t>
      </w:r>
      <w:r>
        <w:rPr>
          <w:rFonts w:cs="Century" w:ascii="Century" w:hAnsi="Century"/>
          <w:sz w:val="22"/>
        </w:rPr>
        <w:t>1.8.2010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הצטייד המערער ברובה אוטומטי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מחסנית וכדורים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והטמינם בתוך מזוודה בחורשה באזור הכפר עין מאהל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נשא המערער את המזוודה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 הנשק והתחמושת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והסתיר אותה בבית מסויים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ללא רשות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דין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3.8.2010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בוצע חיפוש משטרתי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ובמהלכו נמצאה המזוודה ובה הנשק והתחמושת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4.8.2010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נחקר המערער והכחיש את המיוחס לו מכל וכל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בהמשך אותו 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חזר בו המערער מהכחשתו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וטען כי הוא מצא את המזוודה בחורשה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שבחן את תכולתה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נשא אותה אל הבית שבו היא נמצאה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המשטרה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השניה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יום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בתאריך </w:t>
      </w:r>
      <w:r>
        <w:rPr>
          <w:rFonts w:cs="Century" w:ascii="Century" w:hAnsi="Century"/>
          <w:sz w:val="22"/>
        </w:rPr>
        <w:t>5.8.2010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הוביל המערער את חוקרי המשטרה אל המקום בו מצא את המזוודה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ובהמשך הוביל אותם אל הבית שבו הניח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הכל בהתאם לגרסה השניה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לעומת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בעדותו בבית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חזר המערער על גרסתו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והכחיש כל קשר למזוודת הנשק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לדבריו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הגרסה השניה שנמסרה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ידו היא גרסה שקרית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ניתנה מתוך תקווה כי הדבר יוביל לשחרורו מהמעצר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בהכרעת 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9.5.2012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המחוזי בנצרת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הגרסה השניה של המערער מהווה הודאה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ומרצון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בעבירות שיוחסו 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מדובר בגרסה אמינה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קיים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נוסף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המלמד על אמיתותה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עלה בידי המשיבה להוכיח את העובדות העיקריות המתוארות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הורשע המערער בעבירות הבאות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נשיאת נשק שלא כדין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הובלת נשק שלא כדין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והחזקת נשק שלא כדין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לא הונח בסיס ראייתי לאמור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לפיו המערער הוא שהטמין את הנשק בחורשה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עובר ליום </w:t>
      </w:r>
      <w:r>
        <w:rPr>
          <w:rFonts w:cs="Century" w:ascii="Century" w:hAnsi="Century"/>
          <w:sz w:val="22"/>
        </w:rPr>
        <w:t>1.8.2010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לשלול את האפשרות כי הוא מצא את התיק שבו היה מונח הנשק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בגזר דינו מיום </w:t>
      </w:r>
      <w:r>
        <w:rPr>
          <w:rFonts w:cs="Century" w:ascii="Century" w:hAnsi="Century"/>
          <w:sz w:val="22"/>
        </w:rPr>
        <w:t>12.6.2012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 בית משפט קמא על חומרתן של עבירות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וציין כי קיימת מגמת החמרה בעונשם של העבריינים המבצעים עבירות מסוג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משפט קמא הוסיף וקבע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בחר להסתיר את מזוודת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וניתן ללמוד מכך על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ודפוס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עברייני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נתן בית משפט קמא את דעתו לעברו הפלילי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הכולל הרשעה בעבירת 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נשקלה לחומרה העובדה שהמערער לא הביע חרטה על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משפט קמא ציין כי אין מנוס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בנסיבות העניין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מהטלת עונש מאסר לריצוי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יש להפעיל את עונש המאסר המותנה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היה תלוי ועומד לחובת המערער במועד ביצוע העבירה </w:t>
      </w:r>
      <w:r>
        <w:rPr>
          <w:rFonts w:cs="Century" w:ascii="Century" w:hAnsi="Century"/>
          <w:sz w:val="22"/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503/07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;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הקודם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כי הנסיבות בהן בוצעה העבירה אינן חמורות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יש מקום להורות על חפיפה בין תקופות המאסר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הושתו על המערער העונשים הבאים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לריצוי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הופעל עונש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לתקופה של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בחופף לעונש המאסר שהוטל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למשך שלוש 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בסופו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נקבע כי על המבקש לרצות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בניכוי ימי מעצרו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ותגובת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בכתב הערעור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בית משפט קמא החמיר בעונשו של המבקש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נסיבות ביצוע העבירות אינן חמורות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המערער החזיק והוביל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אקדח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חלוד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!)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יממה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ובשום שלב לא יוחסה לו החזקת נשק במטרה לבצע פשע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 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מדובר בעבריין מועד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הרקע המשפחתי של המערער מצדיק הקלה בעונשו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הוסיף וטען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 היה מקום להפעיל את עונש המאסר המותנה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התנאי שנקבע כרוך בביצוע כל עבירה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פשע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ומדובר בתנאי רחב וגורף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הפעלתו בנסיבות העניין איננה צודקת ואיננה מידתית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בדיון שנערך בפנינו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חזר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אחמד מסאלחה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טענותיו לעניין חומרת העונש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לדבריו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נסיבות העבירה אינן מצדיקות להשית על המערער עונש של שלוש שנות מאסר לריצוי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כיוון שמדובר בעונש שאינו מידתי – היה על בית המשפט המחוזי להימנע מהטלת עונש 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הארכת תקופת המאסר על תנאי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טענה 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נורית הרצמן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עונשו של המערער עולה בקנה אחד עם מדיניות הענישה בעבירות 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והוא אף נוטה לקולה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הרצמן הזכירה כי תקופת המאסר לריצוי בפועל הושתה במלואה בחופף להפעלת עונש המאסר המותנה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ובכך יש משום הקלה משמעותית בעונשו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הדגישה 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הרצמן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הרשעתו של המערער בתיק הקודם נוגעת לביצוע עבירת מין חמורה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 אותו תיק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היה מתון יחסית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8"/>
          <w:szCs w:val="24"/>
        </w:rPr>
      </w:pPr>
      <w:r>
        <w:rPr>
          <w:rFonts w:cs="Century" w:ascii="Century" w:hAnsi="Century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בפתח הדברים יש להזכיר את ההלכה המושרשת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ערכאת הערעור תימנע מלהתערב בעונש שהושת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ותעשה כן רק במקרים שבהם ניכרת סטייה קיצונית ממדיניות הענישה במקרים דומים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כאשר נפלה טעות מהותית בגזר הדין </w:t>
      </w:r>
      <w:r>
        <w:rPr>
          <w:rFonts w:cs="Century" w:ascii="Century" w:hAnsi="Century"/>
          <w:sz w:val="22"/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2358/14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21.5.2014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8659/13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אלמליח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14.5.2014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6318/13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מיכאלי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2.4.2014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ייאמר כבר עתה</w:t>
      </w:r>
      <w:r>
        <w:rPr>
          <w:rtl w:val="true"/>
        </w:rPr>
        <w:t xml:space="preserve">, </w:t>
      </w:r>
      <w:r>
        <w:rPr>
          <w:rtl w:val="true"/>
        </w:rPr>
        <w:t>כי אינני רואה כל עילה להתערבות בגזר הדין</w:t>
      </w:r>
      <w:r>
        <w:rPr>
          <w:rtl w:val="true"/>
        </w:rPr>
        <w:t xml:space="preserve">, </w:t>
      </w:r>
      <w:r>
        <w:rPr>
          <w:rtl w:val="true"/>
        </w:rPr>
        <w:t>ולפיכך דין הערעור להידחות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בעיקר לנוכח העובדה כי מדובר בתוצאה הנובעת מהפעלת עונש מאסר על תנאי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בחפיפה מלאה לעונש שהושת על המערער בתיק הנוכחי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העביר מזוודה ובתוכה רובה אוטומטי ותחמושת</w:t>
      </w:r>
      <w:r>
        <w:rPr>
          <w:rtl w:val="true"/>
        </w:rPr>
        <w:t xml:space="preserve">, </w:t>
      </w:r>
      <w:r>
        <w:rPr>
          <w:rtl w:val="true"/>
        </w:rPr>
        <w:t>מחורשה לבית מגורים</w:t>
      </w:r>
      <w:r>
        <w:rPr>
          <w:rtl w:val="true"/>
        </w:rPr>
        <w:t xml:space="preserve">, </w:t>
      </w:r>
      <w:r>
        <w:rPr>
          <w:rtl w:val="true"/>
        </w:rPr>
        <w:t>שם הסתיר את כלי הנשק</w:t>
      </w:r>
      <w:r>
        <w:rPr>
          <w:rtl w:val="true"/>
        </w:rPr>
        <w:t xml:space="preserve">. </w:t>
      </w:r>
      <w:r>
        <w:rPr>
          <w:rtl w:val="true"/>
        </w:rPr>
        <w:t>מדובר במעשה שאין להקל ראש בחומרתו</w:t>
      </w:r>
      <w:r>
        <w:rPr>
          <w:rtl w:val="true"/>
        </w:rPr>
        <w:t xml:space="preserve">, </w:t>
      </w:r>
      <w:r>
        <w:rPr>
          <w:rtl w:val="true"/>
        </w:rPr>
        <w:t>שכן מסוכנותו הרבה גלויה לעין כל</w:t>
      </w:r>
      <w:r>
        <w:rPr>
          <w:rtl w:val="true"/>
        </w:rPr>
        <w:t xml:space="preserve">. </w:t>
      </w:r>
      <w:r>
        <w:rPr>
          <w:rtl w:val="true"/>
        </w:rPr>
        <w:t>כפי שציינתי במקום אחר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לסוגיהן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מגלמות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לשלום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ולבטחונו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יתגלגלו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המוחזקים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בעתיד</w:t>
      </w:r>
      <w:r>
        <w:rPr>
          <w:rtl w:val="true"/>
        </w:rPr>
        <w:t>" 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כוויס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נוכח הסכנה לשלום הציבור</w:t>
      </w:r>
      <w:r>
        <w:rPr>
          <w:rtl w:val="true"/>
        </w:rPr>
        <w:t xml:space="preserve">, </w:t>
      </w:r>
      <w:r>
        <w:rPr>
          <w:rtl w:val="true"/>
        </w:rPr>
        <w:t>ובשל הצורך בהרתעה מפני עבריינות הנוגעת לנשק</w:t>
      </w:r>
      <w:r>
        <w:rPr>
          <w:rtl w:val="true"/>
        </w:rPr>
        <w:t xml:space="preserve">, </w:t>
      </w:r>
      <w:r>
        <w:rPr>
          <w:rtl w:val="true"/>
        </w:rPr>
        <w:t>נקבעה מדיניות הענישה הכוללת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רכיב של מאסר לריצוי בפועל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דאחל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29.3.2004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5.12.2006</w:t>
      </w:r>
      <w:r>
        <w:rPr>
          <w:rtl w:val="true"/>
        </w:rPr>
        <w:t xml:space="preserve">)). </w:t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כי בשנים האחרונות ניכרת מגמת החמרה בענישה</w:t>
      </w:r>
      <w:r>
        <w:rPr>
          <w:rtl w:val="true"/>
        </w:rPr>
        <w:t xml:space="preserve">, </w:t>
      </w:r>
      <w:r>
        <w:rPr>
          <w:rtl w:val="true"/>
        </w:rPr>
        <w:t xml:space="preserve">ככל שמדובר בעברייני הנשק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פאיד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חרבוש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9.6.2010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אינני מוצא כל חומרה בעונש של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שהושת על המערער</w:t>
      </w:r>
      <w:r>
        <w:rPr>
          <w:rtl w:val="true"/>
        </w:rPr>
        <w:t xml:space="preserve">, </w:t>
      </w:r>
      <w:r>
        <w:rPr>
          <w:rtl w:val="true"/>
        </w:rPr>
        <w:t>וברי כי לא היה מנוס מהפעלת עונש המאסר המותנה</w:t>
      </w:r>
      <w:r>
        <w:rPr>
          <w:rtl w:val="true"/>
        </w:rPr>
        <w:t xml:space="preserve">, </w:t>
      </w:r>
      <w:r>
        <w:rPr>
          <w:rtl w:val="true"/>
        </w:rPr>
        <w:t xml:space="preserve">אשר עמד בתוקפו בעת שבוצעו העבירות מושא הערעור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בית משפט קמא הלך כברת דרך ניכרת לקראת המערער כאשר קבע כי עונש המאסר בגין העבירות מושא הערעור</w:t>
      </w:r>
      <w:r>
        <w:rPr>
          <w:rtl w:val="true"/>
        </w:rPr>
        <w:t xml:space="preserve">, </w:t>
      </w:r>
      <w:r>
        <w:rPr>
          <w:rtl w:val="true"/>
        </w:rPr>
        <w:t>ירוצה כולו בחופף לעונש המאסר המותנה</w:t>
      </w:r>
      <w:r>
        <w:rPr>
          <w:rtl w:val="true"/>
        </w:rPr>
        <w:t xml:space="preserve">, </w:t>
      </w:r>
      <w:r>
        <w:rPr>
          <w:rtl w:val="true"/>
        </w:rPr>
        <w:t>והמערער אינו זכאי לכל הקלה נוספת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אתייחס בקצרה להשגותיו של המערער על עונש המאסר המותנה שהושת עליו בתיק הקודם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מקומן של השגות אלה איננו בהליך דנן</w:t>
      </w:r>
      <w:r>
        <w:rPr>
          <w:rtl w:val="true"/>
        </w:rPr>
        <w:t xml:space="preserve">, </w:t>
      </w:r>
      <w:r>
        <w:rPr>
          <w:rtl w:val="true"/>
        </w:rPr>
        <w:t>והיה מקום להעלותן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במסגרת אחרת מבעוד מועד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גזר הדין בתיק הקודם ניתן בעקבות הסדר טיעון</w:t>
      </w:r>
      <w:r>
        <w:rPr>
          <w:rtl w:val="true"/>
        </w:rPr>
        <w:t xml:space="preserve">, </w:t>
      </w:r>
      <w:r>
        <w:rPr>
          <w:rtl w:val="true"/>
        </w:rPr>
        <w:t>שנעשה בהסכמת המערער</w:t>
      </w:r>
      <w:r>
        <w:rPr>
          <w:rtl w:val="true"/>
        </w:rPr>
        <w:t xml:space="preserve">, </w:t>
      </w:r>
      <w:r>
        <w:rPr>
          <w:rtl w:val="true"/>
        </w:rPr>
        <w:t>ולכן הפניית טענות כלפי תוכנו של ההסדר מוקשית בעיניי</w:t>
      </w:r>
      <w:r>
        <w:rPr>
          <w:rtl w:val="true"/>
        </w:rPr>
        <w:t xml:space="preserve">; </w:t>
      </w:r>
      <w:r>
        <w:rPr>
          <w:rtl w:val="true"/>
        </w:rPr>
        <w:t>מה גם שבית המשפט ציין בזמנו כי הסדר הטיעון</w:t>
      </w:r>
      <w:r>
        <w:rPr>
          <w:rtl w:val="true"/>
        </w:rPr>
        <w:t xml:space="preserve">, </w:t>
      </w:r>
      <w:r>
        <w:rPr>
          <w:rtl w:val="true"/>
        </w:rPr>
        <w:t>על כלל רכיביו</w:t>
      </w:r>
      <w:r>
        <w:rPr>
          <w:rtl w:val="true"/>
        </w:rPr>
        <w:t xml:space="preserve">, </w:t>
      </w:r>
      <w:r>
        <w:rPr>
          <w:rtl w:val="true"/>
        </w:rPr>
        <w:t>מקל עם המערער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נקבע בפסיקתו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כי אין מניעה לעשות שימוש בנוסח רחב של התנאי</w:t>
      </w:r>
      <w:r>
        <w:rPr>
          <w:rtl w:val="true"/>
        </w:rPr>
        <w:t xml:space="preserve">, </w:t>
      </w:r>
      <w:r>
        <w:rPr>
          <w:rtl w:val="true"/>
        </w:rPr>
        <w:t xml:space="preserve">כל עוד ניכרת הקפדה על בהירותו של התנאי </w:t>
      </w:r>
      <w:r>
        <w:rPr>
          <w:rtl w:val="true"/>
        </w:rPr>
        <w:t>(</w:t>
      </w:r>
      <w:hyperlink r:id="rId23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רע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5798/00</w:t>
        </w:r>
        <w:r>
          <w:rPr>
            <w:rStyle w:val="Hyperlink"/>
            <w:rFonts w:cs="FrankRuehl" w:ascii="FrankRuehl" w:hAnsi="FrankRuehl"/>
            <w:sz w:val="28"/>
            <w:rtl w:val="true"/>
          </w:rPr>
          <w:t xml:space="preserve">‏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ריזי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" w:ascii="Times New Roman" w:hAnsi="Times New Roman"/>
            <w:spacing w:val="0"/>
            <w:sz w:val="28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הננו מחליטים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17.6.2014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7" w:name="FileName"/>
      <w:r>
        <w:rPr>
          <w:sz w:val="16"/>
        </w:rPr>
        <w:t>12053230</w:t>
      </w:r>
      <w:r>
        <w:rPr>
          <w:sz w:val="16"/>
          <w:rtl w:val="true"/>
        </w:rPr>
        <w:t>_</w:t>
      </w:r>
      <w:r>
        <w:rPr>
          <w:sz w:val="16"/>
        </w:rPr>
        <w:t>I08.doc</w:t>
      </w:r>
      <w:r>
        <w:rPr>
          <w:sz w:val="16"/>
          <w:rtl w:val="true"/>
        </w:rPr>
        <w:t xml:space="preserve">   </w:t>
      </w:r>
      <w:bookmarkEnd w:id="17"/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54678313-5323/12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5323/12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חסן אבו ליל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1">
    <w:name w:val="WW8Num1z1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4">
    <w:name w:val="מספר הליך"/>
    <w:basedOn w:val="Normal"/>
    <w:qFormat/>
    <w:pPr>
      <w:spacing w:lineRule="exact" w:line="276" w:before="0" w:after="240"/>
      <w:ind w:firstLine="284" w:start="0" w:end="0"/>
      <w:jc w:val="end"/>
    </w:pPr>
    <w:rPr>
      <w:rFonts w:cs="FrankRuehl"/>
      <w:szCs w:val="28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7527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6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case/475278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inks/psika/?link=&#1514;&#1508;&#1495;%20503/07" TargetMode="External"/><Relationship Id="rId13" Type="http://schemas.openxmlformats.org/officeDocument/2006/relationships/hyperlink" Target="http://www.nevo.co.il/case/13087561" TargetMode="External"/><Relationship Id="rId14" Type="http://schemas.openxmlformats.org/officeDocument/2006/relationships/hyperlink" Target="http://www.nevo.co.il/case/10541031" TargetMode="External"/><Relationship Id="rId15" Type="http://schemas.openxmlformats.org/officeDocument/2006/relationships/hyperlink" Target="http://www.nevo.co.il/case/8244989" TargetMode="External"/><Relationship Id="rId16" Type="http://schemas.openxmlformats.org/officeDocument/2006/relationships/hyperlink" Target="http://www.nevo.co.il/case/5601503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6072945" TargetMode="External"/><Relationship Id="rId19" Type="http://schemas.openxmlformats.org/officeDocument/2006/relationships/hyperlink" Target="http://www.nevo.co.il/case/5958231" TargetMode="External"/><Relationship Id="rId20" Type="http://schemas.openxmlformats.org/officeDocument/2006/relationships/hyperlink" Target="http://www.nevo.co.il/case/5969313" TargetMode="External"/><Relationship Id="rId21" Type="http://schemas.openxmlformats.org/officeDocument/2006/relationships/hyperlink" Target="http://www.nevo.co.il/law/70301/56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032952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12053230.I08.doc</Template>
  <TotalTime>15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2014-06-19T11:04:00Z</dcterms:created>
  <dc:creator> </dc:creator>
  <dc:description/>
  <cp:keywords/>
  <dc:language>en-IL</dc:language>
  <cp:lastModifiedBy>orly</cp:lastModifiedBy>
  <cp:lastPrinted>2014-06-16T15:32:00Z</cp:lastPrinted>
  <dcterms:modified xsi:type="dcterms:W3CDTF">2014-06-19T11:38:00Z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חסן אבו ליל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4752781:2;13087561;10541031;8244989;5601503;5852404;6072945;5958231;5969313;6032952</vt:lpwstr>
  </property>
  <property fmtid="{D5CDD505-2E9C-101B-9397-08002B2CF9AE}" pid="9" name="CITY">
    <vt:lpwstr/>
  </property>
  <property fmtid="{D5CDD505-2E9C-101B-9397-08002B2CF9AE}" pid="10" name="DATE">
    <vt:lpwstr>20140617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דנציגר;נ' הנדל;א' שהם</vt:lpwstr>
  </property>
  <property fmtid="{D5CDD505-2E9C-101B-9397-08002B2CF9AE}" pid="14" name="LAWLISTTMP1">
    <vt:lpwstr>70301/056.a;144.a;144.b:2</vt:lpwstr>
  </property>
  <property fmtid="{D5CDD505-2E9C-101B-9397-08002B2CF9AE}" pid="15" name="LAWYER">
    <vt:lpwstr>נורית הרצמן;אחמד מסאלחה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מאסר על תנאי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13800;8982;8980</vt:lpwstr>
  </property>
  <property fmtid="{D5CDD505-2E9C-101B-9397-08002B2CF9AE}" pid="59" name="PADIDATE">
    <vt:lpwstr>20140619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5323</vt:lpwstr>
  </property>
  <property fmtid="{D5CDD505-2E9C-101B-9397-08002B2CF9AE}" pid="65" name="PROCYEAR">
    <vt:lpwstr>12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410120140617</vt:lpwstr>
  </property>
  <property fmtid="{D5CDD505-2E9C-101B-9397-08002B2CF9AE}" pid="69" name="TYPE_N_DATE">
    <vt:lpwstr>41020140617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