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5681/14</w:t>
            </w:r>
            <w:bookmarkEnd w:id="1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רובינשטיין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2" w:name="LastJudge"/>
      <w:bookmarkStart w:id="3" w:name="LastJudge"/>
      <w:bookmarkEnd w:id="3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Appellant"/>
            <w:bookmarkEnd w:id="4"/>
            <w:r>
              <w:rPr>
                <w:rtl w:val="true"/>
              </w:rPr>
              <w:t>המערערת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טאטור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כתילי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10.6.14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29671-12-13</w:t>
            </w:r>
          </w:p>
        </w:tc>
      </w:tr>
    </w:tbl>
    <w:p>
      <w:pPr>
        <w:pStyle w:val="Ruller31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Ruller31"/>
        <w:ind w:end="0"/>
        <w:jc w:val="start"/>
        <w:rPr/>
      </w:pPr>
      <w:r>
        <w:rPr>
          <w:sz w:val="24"/>
          <w:sz w:val="24"/>
          <w:szCs w:val="24"/>
          <w:rtl w:val="true"/>
        </w:rPr>
        <w:t>תאריך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הישיבה</w:t>
      </w:r>
      <w:r>
        <w:rPr>
          <w:sz w:val="24"/>
          <w:szCs w:val="24"/>
          <w:rtl w:val="true"/>
        </w:rPr>
        <w:t>:</w:t>
      </w:r>
      <w:r>
        <w:rPr>
          <w:rtl w:val="true"/>
        </w:rPr>
        <w:tab/>
      </w:r>
      <w:bookmarkStart w:id="5" w:name="xDate"/>
      <w:r>
        <w:rPr>
          <w:sz w:val="24"/>
          <w:sz w:val="24"/>
          <w:szCs w:val="24"/>
          <w:rtl w:val="true"/>
        </w:rPr>
        <w:t>ט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בשבט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התשע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ה</w:t>
      </w:r>
      <w:bookmarkEnd w:id="5"/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29.1.15</w:t>
      </w:r>
      <w:r>
        <w:rPr>
          <w:sz w:val="24"/>
          <w:szCs w:val="24"/>
          <w:rtl w:val="true"/>
        </w:rPr>
        <w:t>)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>: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סגלוביץ</w:t>
      </w:r>
    </w:p>
    <w:p>
      <w:pPr>
        <w:pStyle w:val="Ruller31"/>
        <w:ind w:end="0"/>
        <w:jc w:val="start"/>
        <w:rPr/>
      </w:pPr>
      <w:bookmarkStart w:id="6" w:name="FirstLawyer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bookmarkEnd w:id="6"/>
      <w:r>
        <w:rPr>
          <w:rtl w:val="true"/>
        </w:rPr>
        <w:t xml:space="preserve">: 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מסאלחה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>: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וייס</w:t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7" w:name="PsakDin"/>
            <w:bookmarkStart w:id="8" w:name="secretary"/>
            <w:bookmarkStart w:id="9" w:name="BeginProtocol"/>
            <w:bookmarkEnd w:id="7"/>
            <w:bookmarkEnd w:id="8"/>
            <w:bookmarkEnd w:id="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0" w:name="Writer_Name"/>
      <w:bookmarkEnd w:id="10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רובינשטיין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1" w:name="Start_Write"/>
      <w:bookmarkStart w:id="12" w:name="Start_Write"/>
      <w:bookmarkEnd w:id="12"/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bookmarkStart w:id="13" w:name="ABSTRACT_START"/>
      <w:bookmarkEnd w:id="13"/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/>
        <w:t>F.N</w:t>
      </w:r>
      <w:r>
        <w:rPr>
          <w:rtl w:val="true"/>
        </w:rPr>
        <w:t xml:space="preserve">, </w:t>
      </w:r>
      <w:r>
        <w:rPr>
          <w:rtl w:val="true"/>
        </w:rPr>
        <w:t>ועמו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).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17,000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והסתירם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הכנס</w:t>
      </w:r>
      <w:r>
        <w:rPr>
          <w:rtl w:val="true"/>
        </w:rPr>
        <w:t xml:space="preserve">", </w:t>
      </w:r>
      <w:r>
        <w:rPr>
          <w:rtl w:val="true"/>
        </w:rPr>
        <w:t>ובמהלך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; </w:t>
      </w:r>
      <w:r>
        <w:rPr>
          <w:rtl w:val="true"/>
        </w:rPr>
        <w:t>וכשהשתלטו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).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  <w:bookmarkStart w:id="14" w:name="ABSTRACT_END"/>
      <w:bookmarkStart w:id="15" w:name="ABSTRACT_END"/>
      <w:bookmarkEnd w:id="15"/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לשוטרים</w:t>
      </w:r>
      <w:r>
        <w:rPr>
          <w:rtl w:val="true"/>
        </w:rPr>
        <w:t xml:space="preserve">;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סרק</w:t>
      </w:r>
      <w:r>
        <w:rPr>
          <w:rtl w:val="true"/>
        </w:rPr>
        <w:t xml:space="preserve">, </w:t>
      </w:r>
      <w:r>
        <w:rPr>
          <w:rtl w:val="true"/>
        </w:rPr>
        <w:t>ושהסיבה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בשמחות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עבריינות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טהורה</w:t>
      </w:r>
      <w:r>
        <w:rPr>
          <w:rtl w:val="true"/>
        </w:rPr>
        <w:t xml:space="preserve">",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ונכונותו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שמחה</w:t>
      </w:r>
      <w:r>
        <w:rPr>
          <w:rtl w:val="true"/>
        </w:rPr>
        <w:t xml:space="preserve">, </w:t>
      </w:r>
      <w:r>
        <w:rPr>
          <w:rtl w:val="true"/>
        </w:rPr>
        <w:t>שלדעת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הסתייגות</w:t>
      </w:r>
      <w:r>
        <w:rPr>
          <w:rtl w:val="true"/>
        </w:rPr>
        <w:t xml:space="preserve">, </w:t>
      </w:r>
      <w:r>
        <w:rPr>
          <w:rtl w:val="true"/>
        </w:rPr>
        <w:t>מהסברי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לזרוק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רכש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17,000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)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בשמחות</w:t>
      </w:r>
      <w:r>
        <w:rPr>
          <w:rtl w:val="true"/>
        </w:rPr>
        <w:t xml:space="preserve">, </w:t>
      </w:r>
      <w:r>
        <w:rPr>
          <w:rtl w:val="true"/>
        </w:rPr>
        <w:t>העלולה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tl w:val="true"/>
        </w:rPr>
        <w:t xml:space="preserve">;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והמשיב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26.1.15</w:t>
      </w:r>
      <w:r>
        <w:rPr>
          <w:rtl w:val="true"/>
        </w:rPr>
        <w:t xml:space="preserve">), </w:t>
      </w:r>
      <w:r>
        <w:rPr>
          <w:rtl w:val="true"/>
        </w:rPr>
        <w:t>המתאר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לשבועיים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: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התנדבותו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בשיפוץ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בסיכון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וחבל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ויידרדר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נציגת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למחלקה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>.</w:t>
      </w:r>
    </w:p>
    <w:p>
      <w:pPr>
        <w:pStyle w:val="msolistparagraph"/>
        <w:ind w:end="0"/>
        <w:jc w:val="start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שבוטאה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 xml:space="preserve">, </w:t>
      </w:r>
      <w:r>
        <w:rPr>
          <w:rtl w:val="true"/>
        </w:rPr>
        <w:t>ועניינן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ודוגמאות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4329/10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אסמאעיל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2010</w:t>
      </w:r>
      <w:r>
        <w:rPr>
          <w:rtl w:val="true"/>
        </w:rPr>
        <w:t xml:space="preserve">)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; </w:t>
      </w:r>
      <w:hyperlink r:id="rId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7655/11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אלגאבר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2012</w:t>
      </w:r>
      <w:r>
        <w:rPr>
          <w:rtl w:val="true"/>
        </w:rPr>
        <w:t xml:space="preserve">)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555/11</w:t>
      </w:r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מחאג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2012</w:t>
      </w:r>
      <w:r>
        <w:rPr>
          <w:rtl w:val="true"/>
        </w:rPr>
        <w:t xml:space="preserve">)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; </w:t>
      </w:r>
      <w:hyperlink r:id="rId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2398/14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אלהזייל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7.7.14</w:t>
      </w:r>
      <w:r>
        <w:rPr>
          <w:rtl w:val="true"/>
        </w:rPr>
        <w:t xml:space="preserve">)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; </w:t>
      </w:r>
      <w:hyperlink r:id="rId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קריספיל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24.8.14</w:t>
      </w:r>
      <w:r>
        <w:rPr>
          <w:rtl w:val="true"/>
        </w:rPr>
        <w:t xml:space="preserve">)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שנסיבותיהם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;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עוואודה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2009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 </w:t>
      </w:r>
      <w:r>
        <w:rPr>
          <w:rtl w:val="true"/>
        </w:rPr>
        <w:t>נזדמן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')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msolistparagraph"/>
        <w:ind w:end="0"/>
        <w:jc w:val="start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 xml:space="preserve">; </w:t>
      </w:r>
      <w:r>
        <w:rPr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והמעשה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</w:t>
      </w:r>
      <w:r>
        <w:rPr>
          <w:rtl w:val="true"/>
        </w:rPr>
        <w:t xml:space="preserve">, </w:t>
      </w:r>
      <w:r>
        <w:rPr>
          <w:rtl w:val="true"/>
        </w:rPr>
        <w:t>ובהיותו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וכדברי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שבמערכתו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';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כשמקורו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</w:t>
      </w:r>
      <w:r>
        <w:rPr>
          <w:rtl w:val="true"/>
        </w:rPr>
        <w:t>...".</w:t>
      </w:r>
    </w:p>
    <w:p>
      <w:pPr>
        <w:pStyle w:val="msolistparagraph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7241/12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עמאר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טאטור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2013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שמחה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שתוארה</w:t>
      </w:r>
      <w:r>
        <w:rPr>
          <w:rtl w:val="true"/>
        </w:rPr>
        <w:t xml:space="preserve">;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וכאן</w:t>
      </w:r>
      <w:r>
        <w:rPr>
          <w:rFonts w:eastAsia="Arial TUR;Arial" w:cs="Arial TUR;Arial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).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שמחה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מובנית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חלילה</w:t>
      </w:r>
      <w:r>
        <w:rPr>
          <w:rtl w:val="true"/>
        </w:rPr>
        <w:t xml:space="preserve">, </w:t>
      </w:r>
      <w:r>
        <w:rPr>
          <w:rtl w:val="true"/>
        </w:rPr>
        <w:t>ולוא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שראשיתו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קטטה</w:t>
      </w:r>
      <w:r>
        <w:rPr>
          <w:rtl w:val="true"/>
        </w:rPr>
        <w:t xml:space="preserve">, </w:t>
      </w:r>
      <w:r>
        <w:rPr>
          <w:rtl w:val="true"/>
        </w:rPr>
        <w:t>ואזי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מובהקות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וכיון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נעיר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השתכנענו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דרשני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ולדעתנו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1.3.15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קישון</w:t>
      </w:r>
      <w:r>
        <w:rPr>
          <w:rtl w:val="true"/>
        </w:rPr>
        <w:t xml:space="preserve">.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וייטיב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להתיצבות</w:t>
      </w:r>
      <w:r>
        <w:rPr>
          <w:rtl w:val="true"/>
        </w:rPr>
        <w:t xml:space="preserve">.     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1.2.2015</w:t>
      </w:r>
      <w:r>
        <w:rPr>
          <w:rtl w:val="true"/>
        </w:rPr>
        <w:t xml:space="preserve">).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bookmarkStart w:id="16" w:name="FileName"/>
      <w:r>
        <w:rPr>
          <w:sz w:val="16"/>
        </w:rPr>
        <w:t>14056810</w:t>
      </w:r>
      <w:r>
        <w:rPr>
          <w:sz w:val="16"/>
          <w:rtl w:val="true"/>
        </w:rPr>
        <w:t>_</w:t>
      </w:r>
      <w:r>
        <w:rPr>
          <w:sz w:val="16"/>
        </w:rPr>
        <w:t>T02.doc</w:t>
      </w:r>
      <w:r>
        <w:rPr>
          <w:sz w:val="16"/>
          <w:rtl w:val="true"/>
        </w:rPr>
        <w:t xml:space="preserve">   </w:t>
      </w:r>
      <w:bookmarkEnd w:id="16"/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חיות </w:t>
      </w:r>
      <w:r>
        <w:rPr>
          <w:rFonts w:cs="David" w:ascii="David" w:hAnsi="David"/>
          <w:color w:val="000000"/>
          <w:szCs w:val="22"/>
        </w:rPr>
        <w:t>54678313-5681/14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10"/>
      <w:footerReference w:type="default" r:id="rId11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5681/14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טאטור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qFormat/>
    <w:rPr>
      <w:rFonts w:ascii="Tahoma" w:hAnsi="Tahoma" w:cs="Tahoma"/>
      <w:sz w:val="16"/>
      <w:szCs w:val="16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msolistparagraph">
    <w:name w:val="msolistparagraph"/>
    <w:basedOn w:val="Normal"/>
    <w:qFormat/>
    <w:pPr>
      <w:ind w:hanging="0" w:start="72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950172" TargetMode="External"/><Relationship Id="rId3" Type="http://schemas.openxmlformats.org/officeDocument/2006/relationships/hyperlink" Target="http://www.nevo.co.il/case/5603195" TargetMode="External"/><Relationship Id="rId4" Type="http://schemas.openxmlformats.org/officeDocument/2006/relationships/hyperlink" Target="http://www.nevo.co.il/case/13093744" TargetMode="External"/><Relationship Id="rId5" Type="http://schemas.openxmlformats.org/officeDocument/2006/relationships/hyperlink" Target="http://www.nevo.co.il/case/16913730" TargetMode="External"/><Relationship Id="rId6" Type="http://schemas.openxmlformats.org/officeDocument/2006/relationships/hyperlink" Target="http://www.nevo.co.il/case/6000182" TargetMode="External"/><Relationship Id="rId7" Type="http://schemas.openxmlformats.org/officeDocument/2006/relationships/hyperlink" Target="http://www.nevo.co.il/case/5597217" TargetMode="External"/><Relationship Id="rId8" Type="http://schemas.openxmlformats.org/officeDocument/2006/relationships/hyperlink" Target="http://www.court.gov.il/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14056810.T02.doc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2015-02-03T12:38:00Z</dcterms:created>
  <dc:creator> </dc:creator>
  <dc:description/>
  <cp:keywords/>
  <dc:language>en-IL</dc:language>
  <cp:lastModifiedBy>Hofit</cp:lastModifiedBy>
  <cp:lastPrinted>2015-02-01T08:02:00Z</cp:lastPrinted>
  <dcterms:modified xsi:type="dcterms:W3CDTF">2015-02-03T12:38:00Z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טאטור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ProcID=133;209&amp;PartA=555&amp;PartC=11</vt:lpwstr>
  </property>
  <property fmtid="{D5CDD505-2E9C-101B-9397-08002B2CF9AE}" pid="9" name="CASESLISTTMP1">
    <vt:lpwstr>5950172;5603195;13093744;16913730;6000182;5597217</vt:lpwstr>
  </property>
  <property fmtid="{D5CDD505-2E9C-101B-9397-08002B2CF9AE}" pid="10" name="CITY">
    <vt:lpwstr/>
  </property>
  <property fmtid="{D5CDD505-2E9C-101B-9397-08002B2CF9AE}" pid="11" name="DATE">
    <vt:lpwstr>20150201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א' חיות;ח' מלצר;ה א' רובינשטיין</vt:lpwstr>
  </property>
  <property fmtid="{D5CDD505-2E9C-101B-9397-08002B2CF9AE}" pid="15" name="LAWYER">
    <vt:lpwstr>אחמד מסאלחה;תומר סגלוביץ;שירות המבחן למבוגרים עו#ס 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עפ</vt:lpwstr>
  </property>
  <property fmtid="{D5CDD505-2E9C-101B-9397-08002B2CF9AE}" pid="29" name="PROCNUM">
    <vt:lpwstr>5681</vt:lpwstr>
  </property>
  <property fmtid="{D5CDD505-2E9C-101B-9397-08002B2CF9AE}" pid="30" name="PROCYEAR">
    <vt:lpwstr>14</vt:lpwstr>
  </property>
  <property fmtid="{D5CDD505-2E9C-101B-9397-08002B2CF9AE}" pid="31" name="PSAKDIN">
    <vt:lpwstr>פסק-דין</vt:lpwstr>
  </property>
  <property fmtid="{D5CDD505-2E9C-101B-9397-08002B2CF9AE}" pid="32" name="TYPE">
    <vt:lpwstr>1</vt:lpwstr>
  </property>
  <property fmtid="{D5CDD505-2E9C-101B-9397-08002B2CF9AE}" pid="33" name="TYPE_ABS_DATE">
    <vt:lpwstr>410020150201</vt:lpwstr>
  </property>
  <property fmtid="{D5CDD505-2E9C-101B-9397-08002B2CF9AE}" pid="34" name="TYPE_N_DATE">
    <vt:lpwstr>41020150201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