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42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1"/>
        <w:gridCol w:w="7624"/>
        <w:gridCol w:w="655"/>
      </w:tblGrid>
      <w:tr>
        <w:trPr/>
        <w:tc>
          <w:tcPr>
            <w:tcW w:w="7765" w:type="dxa"/>
            <w:gridSpan w:val="2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  <w:tc>
          <w:tcPr>
            <w:tcW w:w="655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342" w:hRule="atLeast"/>
        </w:trPr>
        <w:tc>
          <w:tcPr>
            <w:tcW w:w="141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8279" w:type="dxa"/>
            <w:gridSpan w:val="2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8"/>
                <w:szCs w:val="28"/>
              </w:rPr>
              <w:t>6558/16</w:t>
            </w:r>
            <w:bookmarkEnd w:id="0"/>
          </w:p>
        </w:tc>
      </w:tr>
      <w:tr>
        <w:trPr>
          <w:trHeight w:val="342" w:hRule="atLeast"/>
        </w:trPr>
        <w:tc>
          <w:tcPr>
            <w:tcW w:w="141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8279" w:type="dxa"/>
            <w:gridSpan w:val="2"/>
            <w:tcBorders/>
          </w:tcPr>
          <w:p>
            <w:pPr>
              <w:pStyle w:val="FileNumber"/>
              <w:ind w:end="0"/>
              <w:jc w:val="end"/>
              <w:rPr/>
            </w:pPr>
            <w:hyperlink r:id="rId2">
              <w:r>
                <w:rPr>
                  <w:rStyle w:val="Hyperlink"/>
                  <w:rFonts w:cs="David"/>
                  <w:b/>
                  <w:b/>
                  <w:bCs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b/>
                  <w:bCs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b/>
                  <w:b/>
                  <w:bCs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b/>
                  <w:b/>
                  <w:bCs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b/>
                  <w:bCs/>
                  <w:color w:val="0000FF"/>
                  <w:sz w:val="28"/>
                  <w:szCs w:val="28"/>
                  <w:u w:val="single"/>
                </w:rPr>
                <w:t>6715/16</w:t>
              </w:r>
            </w:hyperlink>
          </w:p>
        </w:tc>
      </w:tr>
      <w:tr>
        <w:trPr/>
        <w:tc>
          <w:tcPr>
            <w:tcW w:w="141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overflowPunct w:val="true"/>
              <w:autoSpaceDE w:val="true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7624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overflowPunct w:val="true"/>
              <w:autoSpaceDE w:val="true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655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overflowPunct w:val="true"/>
              <w:autoSpaceDE w:val="true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end"/>
        <w:rPr/>
      </w:pPr>
      <w:r>
        <w:rPr>
          <w:b/>
          <w:bCs/>
          <w:rtl w:val="true"/>
        </w:rPr>
        <w:t xml:space="preserve"> </w:t>
      </w:r>
    </w:p>
    <w:p>
      <w:pPr>
        <w:pStyle w:val="Ruller31"/>
        <w:ind w:end="0"/>
        <w:jc w:val="start"/>
        <w:rPr>
          <w:rFonts w:cs="Miriam"/>
          <w:b/>
          <w:bCs/>
          <w:sz w:val="28"/>
          <w:szCs w:val="28"/>
        </w:rPr>
      </w:pPr>
      <w:r>
        <w:rPr>
          <w:rFonts w:cs="Miriam"/>
          <w:b/>
          <w:bCs/>
          <w:sz w:val="28"/>
          <w:szCs w:val="2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3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6558/16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מחמד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רבאח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עליאן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4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6715/16</w:t>
              </w:r>
            </w:hyperlink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כאמל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עליאן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5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6558/16</w:t>
              </w:r>
            </w:hyperlink>
          </w:p>
          <w:p>
            <w:pPr>
              <w:pStyle w:val="BodyRuller1"/>
              <w:ind w:end="0"/>
              <w:jc w:val="start"/>
              <w:rPr/>
            </w:pPr>
            <w:hyperlink r:id="rId6">
              <w:r>
                <w:rPr>
                  <w:rFonts w:cs="David"/>
                  <w:sz w:val="28"/>
                  <w:sz w:val="28"/>
                  <w:szCs w:val="28"/>
                  <w:rtl w:val="true"/>
                </w:rPr>
                <w:t>וב</w:t>
              </w:r>
            </w:hyperlink>
            <w:hyperlink r:id="rId7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6715/16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16.6.2016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8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42595-06-15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כרמל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22.2.2017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9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6558/16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מחמוד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רבאח</w:t>
            </w:r>
            <w:r>
              <w:rPr>
                <w:sz w:val="28"/>
                <w:sz w:val="28"/>
                <w:szCs w:val="28"/>
                <w:rtl w:val="true"/>
              </w:rPr>
              <w:t xml:space="preserve"> 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6715/17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לאילה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נעימה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חנאווי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כראם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לנוער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טלי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סמואל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bookmarkStart w:id="4" w:name="PsakDin"/>
            <w:bookmarkStart w:id="5" w:name="secretary"/>
            <w:bookmarkStart w:id="6" w:name="BeginProtocol"/>
            <w:bookmarkEnd w:id="4"/>
            <w:bookmarkEnd w:id="5"/>
            <w:bookmarkEnd w:id="6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  <w:p>
            <w:pPr>
              <w:pStyle w:val="DocumentHead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BODYVERDICT"/>
        <w:spacing w:lineRule="auto" w:line="36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bookmarkStart w:id="7" w:name="Start_Write"/>
      <w:bookmarkStart w:id="8" w:name="Writer_Name"/>
      <w:bookmarkEnd w:id="7"/>
      <w:bookmarkEnd w:id="8"/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ששקלנו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מחליטים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22.2.2017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16065580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H07.doc</w:t>
      </w:r>
    </w:p>
    <w:p>
      <w:pPr>
        <w:pStyle w:val="Ruller381"/>
        <w:ind w:end="0"/>
        <w:jc w:val="start"/>
        <w:rPr/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10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Ruller381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11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4"/>
          <w:u w:val="single"/>
        </w:rPr>
      </w:pPr>
      <w:r>
        <w:rPr>
          <w:rFonts w:cs="David" w:ascii="David" w:hAnsi="David"/>
          <w:color w:val="000000"/>
          <w:szCs w:val="24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 w:cs="David"/>
          <w:color w:val="000000"/>
          <w:rtl w:val="true"/>
        </w:rPr>
        <w:t xml:space="preserve">ובראן </w:t>
      </w:r>
      <w:r>
        <w:rPr>
          <w:rFonts w:cs="David" w:ascii="David" w:hAnsi="David"/>
          <w:color w:val="000000"/>
        </w:rPr>
        <w:t>54678313-6558/16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rFonts w:cs="David"/>
          <w:color w:val="000000"/>
          <w:szCs w:val="24"/>
          <w:u w:val="single"/>
          <w:rtl w:val="true"/>
        </w:rPr>
        <w:t>נוסח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מסמך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זה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כפוף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לשינויי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ניסוח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ועריכה</w:t>
      </w:r>
    </w:p>
    <w:sectPr>
      <w:headerReference w:type="default" r:id="rId12"/>
      <w:footerReference w:type="default" r:id="rId13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2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6558/16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מחמד רבאח עליאן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478685" TargetMode="External"/><Relationship Id="rId3" Type="http://schemas.openxmlformats.org/officeDocument/2006/relationships/hyperlink" Target="http://www.nevo.co.il/case/21478427" TargetMode="External"/><Relationship Id="rId4" Type="http://schemas.openxmlformats.org/officeDocument/2006/relationships/hyperlink" Target="http://www.nevo.co.il/case/21478685" TargetMode="External"/><Relationship Id="rId5" Type="http://schemas.openxmlformats.org/officeDocument/2006/relationships/hyperlink" Target="http://www.nevo.co.il/case/21478427" TargetMode="External"/><Relationship Id="rId6" Type="http://schemas.openxmlformats.org/officeDocument/2006/relationships/hyperlink" Target="http://www.nevo.co.il/case/21478427" TargetMode="External"/><Relationship Id="rId7" Type="http://schemas.openxmlformats.org/officeDocument/2006/relationships/hyperlink" Target="http://www.nevo.co.il/case/21478685" TargetMode="External"/><Relationship Id="rId8" Type="http://schemas.openxmlformats.org/officeDocument/2006/relationships/hyperlink" Target="http://www.nevo.co.il/case/20368844" TargetMode="External"/><Relationship Id="rId9" Type="http://schemas.openxmlformats.org/officeDocument/2006/relationships/hyperlink" Target="http://www.nevo.co.il/case/21478427" TargetMode="External"/><Relationship Id="rId10" Type="http://schemas.openxmlformats.org/officeDocument/2006/relationships/hyperlink" Target="http://www.court.gov.il/" TargetMode="External"/><Relationship Id="rId11" Type="http://schemas.openxmlformats.org/officeDocument/2006/relationships/hyperlink" Target="http://www.nevo.co.il/advertisements/nevo-100.doc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2017-02-26T08:43:00Z</dcterms:created>
  <dc:creator> </dc:creator>
  <dc:description/>
  <cp:keywords/>
  <dc:language>en-IL</dc:language>
  <cp:lastModifiedBy>Hofit</cp:lastModifiedBy>
  <dcterms:modified xsi:type="dcterms:W3CDTF">2017-02-26T08:43:00Z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מחמד רבאח עליאן;מוחמד כאמל עליאן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ProcID=133;209&amp;PartA=6715&amp;PartC=17</vt:lpwstr>
  </property>
  <property fmtid="{D5CDD505-2E9C-101B-9397-08002B2CF9AE}" pid="9" name="CASESLISTTMP1">
    <vt:lpwstr>21478685:3;21478427:3;20368844</vt:lpwstr>
  </property>
  <property fmtid="{D5CDD505-2E9C-101B-9397-08002B2CF9AE}" pid="10" name="CITY">
    <vt:lpwstr/>
  </property>
  <property fmtid="{D5CDD505-2E9C-101B-9397-08002B2CF9AE}" pid="11" name="DATE">
    <vt:lpwstr>20170222</vt:lpwstr>
  </property>
  <property fmtid="{D5CDD505-2E9C-101B-9397-08002B2CF9AE}" pid="12" name="DELEMATA">
    <vt:lpwstr/>
  </property>
  <property fmtid="{D5CDD505-2E9C-101B-9397-08002B2CF9AE}" pid="13" name="JUDGE">
    <vt:lpwstr>ס' ג'ובראן;י' עמית;מ' מזוז</vt:lpwstr>
  </property>
  <property fmtid="{D5CDD505-2E9C-101B-9397-08002B2CF9AE}" pid="14" name="LAWYER">
    <vt:lpwstr>נעימה חנאווי כראם;מחמוד רבאח;מוחמד ח'לאילה;השירות המבחן לנוער גב' טלי סמואל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/>
  </property>
  <property fmtid="{D5CDD505-2E9C-101B-9397-08002B2CF9AE}" pid="21" name="NEWPARTB">
    <vt:lpwstr/>
  </property>
  <property fmtid="{D5CDD505-2E9C-101B-9397-08002B2CF9AE}" pid="22" name="NEWPARTC">
    <vt:lpwstr/>
  </property>
  <property fmtid="{D5CDD505-2E9C-101B-9397-08002B2CF9AE}" pid="23" name="NEWPROC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עפ;עפ</vt:lpwstr>
  </property>
  <property fmtid="{D5CDD505-2E9C-101B-9397-08002B2CF9AE}" pid="28" name="PROCNUM">
    <vt:lpwstr>6558;6715</vt:lpwstr>
  </property>
  <property fmtid="{D5CDD505-2E9C-101B-9397-08002B2CF9AE}" pid="29" name="PROCYEAR">
    <vt:lpwstr>16;16</vt:lpwstr>
  </property>
  <property fmtid="{D5CDD505-2E9C-101B-9397-08002B2CF9AE}" pid="30" name="PSAKDIN">
    <vt:lpwstr>פסק-דין</vt:lpwstr>
  </property>
  <property fmtid="{D5CDD505-2E9C-101B-9397-08002B2CF9AE}" pid="31" name="TYPE">
    <vt:lpwstr>1</vt:lpwstr>
  </property>
  <property fmtid="{D5CDD505-2E9C-101B-9397-08002B2CF9AE}" pid="32" name="TYPE_ABS_DATE">
    <vt:lpwstr>410020170222</vt:lpwstr>
  </property>
  <property fmtid="{D5CDD505-2E9C-101B-9397-08002B2CF9AE}" pid="33" name="TYPE_N_DATE">
    <vt:lpwstr>41020170222</vt:lpwstr>
  </property>
  <property fmtid="{D5CDD505-2E9C-101B-9397-08002B2CF9AE}" pid="34" name="VOLUME">
    <vt:lpwstr/>
  </property>
  <property fmtid="{D5CDD505-2E9C-101B-9397-08002B2CF9AE}" pid="35" name="WORDNUMPAGES">
    <vt:lpwstr>2</vt:lpwstr>
  </property>
</Properties>
</file>