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3"/>
        <w:gridCol w:w="1068"/>
        <w:gridCol w:w="3679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8306"/>
                <w:tab w:val="center" w:pos="4153" w:leader="none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397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ג </w:t>
            </w:r>
            <w:r>
              <w:rPr>
                <w:b/>
                <w:bCs/>
                <w:sz w:val="26"/>
                <w:szCs w:val="26"/>
              </w:rPr>
              <w:t>1079-04-14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יטזב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106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9" w:type="dxa"/>
            <w:tcBorders/>
          </w:tcPr>
          <w:p>
            <w:pPr>
              <w:pStyle w:val="Header"/>
              <w:tabs>
                <w:tab w:val="clear" w:pos="4153"/>
                <w:tab w:val="right" w:pos="8306" w:leader="none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17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יוני </w:t>
            </w:r>
            <w:r>
              <w:rPr>
                <w:b/>
                <w:bCs/>
                <w:sz w:val="26"/>
                <w:szCs w:val="26"/>
              </w:rPr>
              <w:t>2014</w:t>
            </w:r>
          </w:p>
          <w:p>
            <w:pPr>
              <w:pStyle w:val="Header"/>
              <w:tabs>
                <w:tab w:val="clear" w:pos="4153"/>
                <w:tab w:val="right" w:pos="8306" w:leader="none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eastAsia="David"/>
        </w:rPr>
      </w:pPr>
      <w:r>
        <w:rPr>
          <w:rFonts w:eastAsia="David"/>
          <w:rtl w:val="true"/>
        </w:rPr>
        <w:t xml:space="preserve"> </w:t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15"/>
        <w:gridCol w:w="2790"/>
        <w:gridCol w:w="2634"/>
        <w:gridCol w:w="81"/>
      </w:tblGrid>
      <w:tr>
        <w:trPr>
          <w:trHeight w:val="337" w:hRule="atLeast"/>
        </w:trPr>
        <w:tc>
          <w:tcPr>
            <w:tcW w:w="6005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לפני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 אברהם יעקב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סג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</w:rPr>
              <w:br/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השופטת זהבה בוסתן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  <w:br/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 ד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ר שמואל בורנשטין</w:t>
            </w:r>
            <w:r>
              <w:rPr>
                <w:b/>
                <w:bCs/>
                <w:sz w:val="26"/>
                <w:szCs w:val="26"/>
                <w:rtl w:val="true"/>
              </w:rPr>
              <w:br/>
            </w:r>
          </w:p>
        </w:tc>
        <w:tc>
          <w:tcPr>
            <w:tcW w:w="2634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8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המערער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נגוסה יטזב</w:t>
            </w:r>
          </w:p>
        </w:tc>
      </w:tr>
      <w:tr>
        <w:trPr/>
        <w:tc>
          <w:tcPr>
            <w:tcW w:w="8720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המשיבה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</w:tc>
      </w:tr>
    </w:tbl>
    <w:p>
      <w:pPr>
        <w:pStyle w:val="Normal"/>
        <w:ind w:end="0"/>
        <w:jc w:val="start"/>
        <w:rPr>
          <w:rStyle w:val="LineNumber"/>
          <w:rFonts w:ascii="Arial" w:hAnsi="Arial" w:cs="David"/>
          <w:sz w:val="24"/>
          <w:szCs w:val="24"/>
        </w:rPr>
      </w:pPr>
      <w:r>
        <w:rPr>
          <w:rFonts w:cs="Arial"/>
          <w:rtl w:val="true"/>
        </w:rPr>
      </w:r>
    </w:p>
    <w:p>
      <w:pPr>
        <w:pStyle w:val="Normal"/>
        <w:ind w:end="0"/>
        <w:jc w:val="start"/>
        <w:rPr>
          <w:rStyle w:val="LineNumber"/>
          <w:rFonts w:ascii="Arial" w:hAnsi="Arial" w:cs="David"/>
          <w:sz w:val="24"/>
          <w:szCs w:val="24"/>
        </w:rPr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Style w:val="LineNumber"/>
          <w:rFonts w:cs="David" w:ascii="Arial" w:hAnsi="Arial"/>
          <w:sz w:val="6"/>
          <w:szCs w:val="6"/>
          <w:rtl w:val="true"/>
        </w:rPr>
        <w:t>&lt;</w:t>
      </w:r>
      <w:r>
        <w:rPr>
          <w:rStyle w:val="LineNumber"/>
          <w:rFonts w:cs="David" w:ascii="Arial" w:hAnsi="Arial"/>
          <w:sz w:val="6"/>
          <w:szCs w:val="6"/>
        </w:rPr>
        <w:t>#2#</w:t>
      </w:r>
      <w:r>
        <w:rPr>
          <w:rStyle w:val="LineNumber"/>
          <w:rFonts w:cs="David" w:ascii="Arial" w:hAnsi="Arial"/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/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המערער ו</w:t>
      </w:r>
      <w:bookmarkStart w:id="2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 –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דורון שטרן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 המשיבה –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גל רוזנצוויג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David"/>
        <w:ind w:end="0"/>
        <w:jc w:val="both"/>
        <w:rPr>
          <w:rFonts w:eastAsia="Times New Roman"/>
        </w:rPr>
      </w:pPr>
      <w:r>
        <w:rPr>
          <w:rFonts w:eastAsia="Times New Roman"/>
          <w:rtl w:val="true"/>
        </w:rPr>
        <w:t xml:space="preserve"> </w:t>
      </w:r>
    </w:p>
    <w:p>
      <w:pPr>
        <w:pStyle w:val="David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#6#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3" w:name="PsakDin"/>
      <w:bookmarkEnd w:id="3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/>
      </w:pPr>
      <w:bookmarkStart w:id="4" w:name="PsakDin"/>
      <w:bookmarkEnd w:id="4"/>
      <w:r>
        <w:rPr>
          <w:rtl w:val="true"/>
        </w:rPr>
        <w:t>לא ביקשנו את תגובת המשיבה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המערער הורשע לאחר שמיעת ראיות בביצוע עבירות של תקיפה סתם ואיומים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כאשר היה שיכור</w:t>
      </w:r>
      <w:r>
        <w:rPr>
          <w:rtl w:val="true"/>
        </w:rPr>
        <w:t xml:space="preserve">, </w:t>
      </w:r>
      <w:r>
        <w:rPr>
          <w:rtl w:val="true"/>
        </w:rPr>
        <w:t>תקף ברחוב אישה שהוא איננו מכיר</w:t>
      </w:r>
      <w:r>
        <w:rPr>
          <w:rtl w:val="true"/>
        </w:rPr>
        <w:t xml:space="preserve">, </w:t>
      </w:r>
      <w:r>
        <w:rPr>
          <w:rtl w:val="true"/>
        </w:rPr>
        <w:t>ללא כל סיבה נראית לעין</w:t>
      </w:r>
      <w:r>
        <w:rPr>
          <w:rtl w:val="true"/>
        </w:rPr>
        <w:t xml:space="preserve">, </w:t>
      </w:r>
      <w:r>
        <w:rPr>
          <w:rtl w:val="true"/>
        </w:rPr>
        <w:t>ולאחר מכן איים על השוטר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בבימ</w:t>
      </w:r>
      <w:r>
        <w:rPr>
          <w:rtl w:val="true"/>
        </w:rPr>
        <w:t>"</w:t>
      </w:r>
      <w:r>
        <w:rPr>
          <w:rtl w:val="true"/>
        </w:rPr>
        <w:t xml:space="preserve">ש קמא נגזרו על הנאשם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בפועל והופעלו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 מאסר מותנה</w:t>
      </w:r>
      <w:r>
        <w:rPr>
          <w:rtl w:val="true"/>
        </w:rPr>
        <w:t xml:space="preserve">, </w:t>
      </w:r>
      <w:r>
        <w:rPr>
          <w:rtl w:val="true"/>
        </w:rPr>
        <w:t>כך ש</w:t>
      </w:r>
      <w:r>
        <w:rPr>
          <w:rtl w:val="true"/>
        </w:rPr>
        <w:t xml:space="preserve">-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מתוכם במצטבר וחודשיים בחופף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בסופו של דבר המערער נידון ל</w:t>
      </w:r>
      <w:r>
        <w:rPr>
          <w:rtl w:val="true"/>
        </w:rPr>
        <w:t xml:space="preserve">-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 מאסר בפועל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מותנה למשך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 xml:space="preserve">קנס בסך </w:t>
      </w:r>
      <w:r>
        <w:rPr/>
        <w:t>1,000</w:t>
      </w:r>
      <w:r>
        <w:rPr>
          <w:rtl w:val="true"/>
        </w:rPr>
        <w:t xml:space="preserve"> ₪ </w:t>
      </w:r>
      <w:r>
        <w:rPr>
          <w:rtl w:val="true"/>
        </w:rPr>
        <w:t xml:space="preserve">ופיצוי למתלוננים בסך של </w:t>
      </w:r>
      <w:r>
        <w:rPr/>
        <w:t>3,000</w:t>
      </w:r>
      <w:r>
        <w:rPr>
          <w:rtl w:val="true"/>
        </w:rPr>
        <w:t xml:space="preserve"> ₪.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עיקר טענותיו של המערער הן כלפי החלטת ביהמ</w:t>
      </w:r>
      <w:r>
        <w:rPr>
          <w:rtl w:val="true"/>
        </w:rPr>
        <w:t>"</w:t>
      </w:r>
      <w:r>
        <w:rPr>
          <w:rtl w:val="true"/>
        </w:rPr>
        <w:t>ש שלא לבקש תסקיר בעניינו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ראשית נקדים ונאמר שענישה שנגזרה על המערער היא ענישה סבירה ואף ב</w:t>
      </w:r>
      <w:r>
        <w:rPr>
          <w:rtl w:val="true"/>
        </w:rPr>
        <w:t>"</w:t>
      </w:r>
      <w:r>
        <w:rPr>
          <w:rtl w:val="true"/>
        </w:rPr>
        <w:t>כ המערער אינו חולק על כך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המערער הוא בעל עבר פלילי מכביד לאורך שנים רבות ואף ריצה מאסרים כאשר העבירות  בהן הורשע היו עבירות אלימות</w:t>
      </w:r>
      <w:r>
        <w:rPr>
          <w:rtl w:val="true"/>
        </w:rPr>
        <w:t xml:space="preserve">, </w:t>
      </w:r>
      <w:r>
        <w:rPr>
          <w:rtl w:val="true"/>
        </w:rPr>
        <w:t>איומים</w:t>
      </w:r>
      <w:r>
        <w:rPr>
          <w:rtl w:val="true"/>
        </w:rPr>
        <w:t xml:space="preserve">, </w:t>
      </w:r>
      <w:r>
        <w:rPr>
          <w:rtl w:val="true"/>
        </w:rPr>
        <w:t>הפרת הוראה חוקית</w:t>
      </w:r>
      <w:r>
        <w:rPr>
          <w:rtl w:val="true"/>
        </w:rPr>
        <w:t xml:space="preserve">,  </w:t>
      </w:r>
      <w:r>
        <w:rPr>
          <w:rtl w:val="true"/>
        </w:rPr>
        <w:t>ועוד כהנה וכהנה עבירות לאורך תקופה של קרוב לעשור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תסקיר שירות המבחן מטרתו לבחון את ההיבטים המיוחדים לכל נרשם ונרשם ולבדוק אם יש מקום לנקוט בהליכי שיקום כאלה ואחרים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במקרה הנדון כאן</w:t>
      </w:r>
      <w:r>
        <w:rPr>
          <w:rtl w:val="true"/>
        </w:rPr>
        <w:t xml:space="preserve">, </w:t>
      </w:r>
      <w:r>
        <w:rPr>
          <w:rtl w:val="true"/>
        </w:rPr>
        <w:t>מדובר במי שלאורך שנים מבצע עבירות אלימות ואינו לומד את לקחו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 המערער שינה את דרכיו</w:t>
      </w:r>
      <w:r>
        <w:rPr>
          <w:rtl w:val="true"/>
        </w:rPr>
        <w:t xml:space="preserve">, </w:t>
      </w:r>
      <w:r>
        <w:rPr>
          <w:rtl w:val="true"/>
        </w:rPr>
        <w:t>נישא והוא עובד בעבודה מסודרת ועל רקע זה ראוי לבחון אפשרות לשיקומו</w:t>
      </w:r>
      <w:r>
        <w:rPr>
          <w:rtl w:val="true"/>
        </w:rPr>
        <w:t xml:space="preserve">. </w:t>
      </w:r>
      <w:r>
        <w:rPr>
          <w:rtl w:val="true"/>
        </w:rPr>
        <w:t xml:space="preserve">אולם מעיון בגיליון ההרשעות הקודמות של המערער אנו למדים כי בשנת </w:t>
      </w:r>
      <w:r>
        <w:rPr/>
        <w:t>2013</w:t>
      </w:r>
      <w:r>
        <w:rPr>
          <w:rtl w:val="true"/>
        </w:rPr>
        <w:t xml:space="preserve"> </w:t>
      </w:r>
      <w:r>
        <w:rPr>
          <w:rtl w:val="true"/>
        </w:rPr>
        <w:t xml:space="preserve">נפתח נגדו תיק חקירה בגין ביצוע עבירת איומים ובדצמבר </w:t>
      </w:r>
      <w:r>
        <w:rPr/>
        <w:t>2013</w:t>
      </w:r>
      <w:r>
        <w:rPr>
          <w:rtl w:val="true"/>
        </w:rPr>
        <w:t xml:space="preserve">, </w:t>
      </w:r>
      <w:r>
        <w:rPr>
          <w:rtl w:val="true"/>
        </w:rPr>
        <w:t>לפני כחצי שנה</w:t>
      </w:r>
      <w:r>
        <w:rPr>
          <w:rtl w:val="true"/>
        </w:rPr>
        <w:t xml:space="preserve">, </w:t>
      </w:r>
      <w:r>
        <w:rPr>
          <w:rtl w:val="true"/>
        </w:rPr>
        <w:t>נפתח נגדו תיק חקירה נוסף שעניינו תקיפה הגורמת חבלה של ממש לבן זוג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נראה</w:t>
      </w:r>
      <w:r>
        <w:rPr>
          <w:rtl w:val="true"/>
        </w:rPr>
        <w:t xml:space="preserve">, </w:t>
      </w:r>
      <w:r>
        <w:rPr>
          <w:rtl w:val="true"/>
        </w:rPr>
        <w:t>כי המערער לא הפנים את שהיה צריך להפנים ולכן אנו סבורים ששיקולי השיקום בעניינו נסוגים מפני שיקולי ההרתעה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מאחר והעונש שנגזר על המערער הוא עונש סביר</w:t>
      </w:r>
      <w:r>
        <w:rPr>
          <w:rtl w:val="true"/>
        </w:rPr>
        <w:t xml:space="preserve">, </w:t>
      </w:r>
      <w:r>
        <w:rPr>
          <w:rtl w:val="true"/>
        </w:rPr>
        <w:t>ומאחר ואין כל טעם בקבלת תסקיר שירות המבחן</w:t>
      </w:r>
      <w:r>
        <w:rPr>
          <w:rtl w:val="true"/>
        </w:rPr>
        <w:t xml:space="preserve">, </w:t>
      </w:r>
      <w:r>
        <w:rPr>
          <w:rtl w:val="true"/>
        </w:rPr>
        <w:t>שכן לא יהיה בו כדי להפחית מן העונש – אנו דוחים את הערעור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המערער יתייצב לנשיאה בעונשו ביום </w:t>
      </w:r>
      <w:r>
        <w:rPr/>
        <w:t>1.7.14</w:t>
      </w:r>
      <w:r>
        <w:rPr>
          <w:rtl w:val="true"/>
        </w:rPr>
        <w:t xml:space="preserve"> </w:t>
      </w:r>
      <w:r>
        <w:rPr>
          <w:rtl w:val="true"/>
        </w:rPr>
        <w:t xml:space="preserve">בשעה </w:t>
      </w:r>
      <w:r>
        <w:rPr/>
        <w:t>09:00</w:t>
      </w:r>
      <w:r>
        <w:rPr>
          <w:rtl w:val="true"/>
        </w:rPr>
        <w:t xml:space="preserve"> </w:t>
      </w:r>
      <w:r>
        <w:rPr>
          <w:rtl w:val="true"/>
        </w:rPr>
        <w:t>בבית המעצר הדרים</w:t>
      </w:r>
      <w:r>
        <w:rPr>
          <w:rtl w:val="true"/>
        </w:rPr>
        <w:t xml:space="preserve">, </w:t>
      </w:r>
      <w:r>
        <w:rPr>
          <w:rtl w:val="true"/>
        </w:rPr>
        <w:t>כשהוא מצויד בפסק דין זה ובתעודת זהות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התנאים אשר נקבעו לעיכוב הביצוע ימשיכו לחול עד המועד האמור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/>
      </w:pPr>
      <w:r>
        <w:rPr>
          <w:rFonts w:cs="David" w:ascii="David" w:hAnsi="David"/>
          <w:color w:val="FFFFFF"/>
          <w:sz w:val="6"/>
          <w:szCs w:val="6"/>
        </w:rPr>
        <w:t>5129371</w:t>
      </w:r>
      <w:r>
        <w:rPr>
          <w:rtl w:val="true"/>
        </w:rPr>
        <w:t>&lt;</w:t>
      </w:r>
      <w:r>
        <w:rPr/>
        <w:t>#4#</w:t>
      </w:r>
      <w:r>
        <w:rPr>
          <w:rtl w:val="true"/>
        </w:rPr>
        <w:t>&gt;</w:t>
      </w:r>
    </w:p>
    <w:tbl>
      <w:tblPr>
        <w:bidiVisual w:val="true"/>
        <w:tblW w:w="10260" w:type="dxa"/>
        <w:jc w:val="start"/>
        <w:tblInd w:w="-10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/>
          </w:tcPr>
          <w:p>
            <w:pPr>
              <w:pStyle w:val="Normal"/>
              <w:ind w:end="0"/>
              <w:jc w:val="end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  <w:sz w:val="2"/>
                <w:szCs w:val="2"/>
              </w:rPr>
              <w:t>54678313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ניתן והודע היום י</w:t>
            </w:r>
            <w:r>
              <w:rPr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ט סיוון תשע</w:t>
            </w:r>
            <w:r>
              <w:rPr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ד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, </w:t>
            </w:r>
            <w:r>
              <w:rPr>
                <w:b/>
                <w:bCs/>
                <w:sz w:val="28"/>
                <w:szCs w:val="28"/>
              </w:rPr>
              <w:t>17/06/2014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במעמד הנוכחים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.  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cs="FrankRuehl"/>
              </w:rPr>
            </w:pPr>
            <w:r>
              <w:rPr>
                <w:rFonts w:cs="FrankRuehl" w:ascii="Times New Roman" w:hAnsi="Times New Roman"/>
                <w:rtl w:val="true"/>
              </w:rPr>
            </w:r>
          </w:p>
          <w:p>
            <w:pPr>
              <w:pStyle w:val="Normal"/>
              <w:ind w:end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start="720" w:end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rtl w:val="true"/>
              </w:rPr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FrankRuehl"/>
                <w:rtl w:val="true"/>
              </w:rPr>
              <w:t>אברהם</w:t>
            </w:r>
            <w:r>
              <w:rPr>
                <w:rFonts w:ascii="Times New Roman" w:hAnsi="Times New Roman" w:cs="Times New Roman"/>
                <w:rtl w:val="true"/>
              </w:rPr>
              <w:t xml:space="preserve">  </w:t>
            </w:r>
            <w:r>
              <w:rPr>
                <w:rFonts w:ascii="Times New Roman" w:hAnsi="Times New Roman" w:cs="FrankRuehl"/>
                <w:rtl w:val="true"/>
              </w:rPr>
              <w:t>יעקב</w:t>
            </w:r>
            <w:r>
              <w:rPr>
                <w:rFonts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cs="FrankRuehl"/>
                <w:rtl w:val="true"/>
              </w:rPr>
              <w:t>שופט</w:t>
            </w:r>
            <w:r>
              <w:rPr>
                <w:rFonts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cs="FrankRuehl"/>
                <w:rtl w:val="true"/>
              </w:rPr>
              <w:t>סגן</w:t>
            </w:r>
            <w:r>
              <w:rPr>
                <w:rFonts w:ascii="Times New Roman" w:hAnsi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cs="FrankRuehl"/>
                <w:rtl w:val="true"/>
              </w:rPr>
              <w:t>נשיא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FrankRuehl"/>
                <w:rtl w:val="true"/>
              </w:rPr>
              <w:t>זהבה</w:t>
            </w:r>
            <w:r>
              <w:rPr>
                <w:rFonts w:ascii="Times New Roman" w:hAnsi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cs="FrankRuehl"/>
                <w:rtl w:val="true"/>
              </w:rPr>
              <w:t>בוסתן</w:t>
            </w:r>
            <w:r>
              <w:rPr>
                <w:rFonts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cs="FrankRuehl"/>
                <w:rtl w:val="true"/>
              </w:rPr>
              <w:t>שופטת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FrankRuehl"/>
                <w:rtl w:val="true"/>
              </w:rPr>
              <w:t>שמואל</w:t>
            </w:r>
            <w:r>
              <w:rPr>
                <w:rFonts w:ascii="Times New Roman" w:hAnsi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cs="FrankRuehl"/>
                <w:rtl w:val="true"/>
              </w:rPr>
              <w:t>בורנשטין</w:t>
            </w:r>
            <w:r>
              <w:rPr>
                <w:rFonts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cs="FrankRuehl"/>
                <w:rtl w:val="true"/>
              </w:rPr>
              <w:t>שופט</w:t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cs="FrankRuehl"/>
              </w:rPr>
            </w:pPr>
            <w:r>
              <w:rPr>
                <w:rFonts w:cs="FrankRuehl" w:ascii="Times New Roman" w:hAnsi="Times New Roman"/>
                <w:rtl w:val="true"/>
              </w:rPr>
            </w:r>
            <w:bookmarkStart w:id="5" w:name="_GoBack"/>
            <w:bookmarkStart w:id="6" w:name="_GoBack"/>
            <w:bookmarkEnd w:id="6"/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cs="FrankRuehl"/>
              </w:rPr>
            </w:pPr>
            <w:r>
              <w:rPr>
                <w:rFonts w:cs="FrankRuehl" w:ascii="Times New Roman" w:hAnsi="Times New Roman"/>
                <w:rtl w:val="true"/>
              </w:rPr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rtl w:val="true"/>
        </w:rPr>
        <w:t>הוקלד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 xml:space="preserve"> </w:t>
      </w:r>
      <w:r>
        <w:rPr>
          <w:rtl w:val="true"/>
        </w:rPr>
        <w:t>ידי</w:t>
      </w:r>
      <w:r>
        <w:rPr>
          <w:rtl w:val="true"/>
        </w:rPr>
        <w:t xml:space="preserve"> </w:t>
      </w:r>
      <w:r>
        <w:rPr>
          <w:rtl w:val="true"/>
        </w:rPr>
        <w:t>אורית</w:t>
      </w:r>
      <w:r>
        <w:rPr>
          <w:rtl w:val="true"/>
        </w:rPr>
        <w:t xml:space="preserve"> </w:t>
      </w:r>
      <w:r>
        <w:rPr>
          <w:rtl w:val="true"/>
        </w:rPr>
        <w:t>שטורם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אברהם יעקב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3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מרכז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1079-04-14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נגוסה יטזב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CaseDisplayIdentifier" w:val="1079-04-14"/>
    <w:docVar w:name="caseId" w:val="71798568"/>
    <w:docVar w:name="deriveClass" w:val="NGCS.Protocol.BL.Client.ProtocolBLClientCriminal"/>
    <w:docVar w:name="firstPageNumber" w:val="1"/>
    <w:docVar w:name="MyInfo" w:val="This document was extracted from Nevo's site"/>
    <w:docVar w:name="NGCS.caseTypeID" w:val="-1"/>
    <w:docVar w:name="NGCS.courtID" w:val="896"/>
    <w:docVar w:name="NGCS.isReservedAddressPlace" w:val="0"/>
    <w:docVar w:name="NGCS.isReservedVoucherPlace" w:val="0"/>
    <w:docVar w:name="NGCS.proceedingID" w:val="-1"/>
    <w:docVar w:name="NGCS.TemplateCategoryID" w:val="14"/>
    <w:docVar w:name="NGCS.userUPN" w:val="ëåìí"/>
    <w:docVar w:name="privellegeId" w:val="1"/>
    <w:docVar w:name="protocolId" w:val="4855629"/>
    <w:docVar w:name="releaseSign" w:val="0"/>
    <w:docVar w:name="sittingDateTime" w:val="17/06/2014 09:30     "/>
    <w:docVar w:name="sittingId" w:val="77045739"/>
    <w:docVar w:name="sittingTypeId" w:val="2"/>
    <w:docVar w:name="WordClientAssemblyName" w:val="NGCS.Protocol.BL.Client"/>
    <w:docVar w:name="WordClientClassName" w:val="NGCS.Templates.UIP.TemplateWordClient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David" w:hAnsi="David" w:eastAsia="Times New Roman" w:cs="David"/>
      <w:color w:val="auto"/>
      <w:sz w:val="24"/>
      <w:szCs w:val="24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0" w:end="0"/>
      <w:jc w:val="start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0" w:end="0"/>
      <w:jc w:val="start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0" w:end="0"/>
      <w:jc w:val="start"/>
      <w:outlineLvl w:val="2"/>
    </w:pPr>
    <w:rPr>
      <w:b/>
      <w:bCs/>
      <w:sz w:val="26"/>
      <w:szCs w:val="26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>
      <w:rFonts w:cs="Times New Roman"/>
    </w:rPr>
  </w:style>
  <w:style w:type="character" w:styleId="WW8Num4z0">
    <w:name w:val="WW8Num4z0"/>
    <w:qFormat/>
    <w:rPr>
      <w:rFonts w:cs="Times New Roman"/>
    </w:rPr>
  </w:style>
  <w:style w:type="character" w:styleId="WW8Num5z0">
    <w:name w:val="WW8Num5z0"/>
    <w:qFormat/>
    <w:rPr>
      <w:rFonts w:cs="Times New Roman"/>
    </w:rPr>
  </w:style>
  <w:style w:type="character" w:styleId="WW8Num5z1">
    <w:name w:val="WW8Num5z1"/>
    <w:qFormat/>
    <w:rPr>
      <w:rFonts w:cs="Times New Roman"/>
    </w:rPr>
  </w:style>
  <w:style w:type="character" w:styleId="WW8Num6z0">
    <w:name w:val="WW8Num6z0"/>
    <w:qFormat/>
    <w:rPr>
      <w:rFonts w:cs="Times New Roman"/>
    </w:rPr>
  </w:style>
  <w:style w:type="character" w:styleId="WW8Num7z0">
    <w:name w:val="WW8Num7z0"/>
    <w:qFormat/>
    <w:rPr>
      <w:rFonts w:cs="Times New Roman"/>
    </w:rPr>
  </w:style>
  <w:style w:type="character" w:styleId="WW8Num7z1">
    <w:name w:val="WW8Num7z1"/>
    <w:qFormat/>
    <w:rPr>
      <w:rFonts w:cs="Times New Roman"/>
    </w:rPr>
  </w:style>
  <w:style w:type="character" w:styleId="WW8Num8z0">
    <w:name w:val="WW8Num8z0"/>
    <w:qFormat/>
    <w:rPr>
      <w:rFonts w:cs="Times New Roman"/>
    </w:rPr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>
      <w:rFonts w:cs="Times New Roman"/>
    </w:rPr>
  </w:style>
  <w:style w:type="character" w:styleId="WW8Num11z0">
    <w:name w:val="WW8Num11z0"/>
    <w:qFormat/>
    <w:rPr>
      <w:rFonts w:cs="Times New Roman"/>
    </w:rPr>
  </w:style>
  <w:style w:type="character" w:styleId="WW8Num11z1">
    <w:name w:val="WW8Num11z1"/>
    <w:qFormat/>
    <w:rPr>
      <w:rFonts w:cs="Times New Roman"/>
    </w:rPr>
  </w:style>
  <w:style w:type="character" w:styleId="WW8Num12z0">
    <w:name w:val="WW8Num12z0"/>
    <w:qFormat/>
    <w:rPr>
      <w:rFonts w:cs="Times New Roman"/>
    </w:rPr>
  </w:style>
  <w:style w:type="character" w:styleId="WW8Num12z1">
    <w:name w:val="WW8Num12z1"/>
    <w:qFormat/>
    <w:rPr>
      <w:rFonts w:cs="Times New Roman"/>
    </w:rPr>
  </w:style>
  <w:style w:type="character" w:styleId="WW8Num13z0">
    <w:name w:val="WW8Num13z0"/>
    <w:qFormat/>
    <w:rPr>
      <w:rFonts w:cs="Times New Roman"/>
    </w:rPr>
  </w:style>
  <w:style w:type="character" w:styleId="WW8Num14z0">
    <w:name w:val="WW8Num14z0"/>
    <w:qFormat/>
    <w:rPr>
      <w:rFonts w:cs="Times New Roman"/>
    </w:rPr>
  </w:style>
  <w:style w:type="character" w:styleId="WW8Num15z0">
    <w:name w:val="WW8Num15z0"/>
    <w:qFormat/>
    <w:rPr>
      <w:rFonts w:cs="Times New Roman"/>
    </w:rPr>
  </w:style>
  <w:style w:type="character" w:styleId="WW8Num16z0">
    <w:name w:val="WW8Num16z0"/>
    <w:qFormat/>
    <w:rPr>
      <w:rFonts w:cs="Times New Roman"/>
    </w:rPr>
  </w:style>
  <w:style w:type="character" w:styleId="WW8Num17z0">
    <w:name w:val="WW8Num17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rFonts w:cs="Times New Roman"/>
      <w:sz w:val="16"/>
      <w:szCs w:val="16"/>
    </w:rPr>
  </w:style>
  <w:style w:type="character" w:styleId="PageNumber">
    <w:name w:val="page number"/>
    <w:basedOn w:val="DefaultParagraphFont"/>
    <w:rPr>
      <w:rFonts w:cs="Times New Roman"/>
    </w:rPr>
  </w:style>
  <w:style w:type="character" w:styleId="LineNumber">
    <w:name w:val="line number"/>
    <w:basedOn w:val="DefaultParagraphFont"/>
    <w:rPr>
      <w:rFonts w:cs="Arial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CommentText">
    <w:name w:val="Comment Text"/>
    <w:basedOn w:val="Normal"/>
    <w:qFormat/>
    <w:pPr>
      <w:ind w:hanging="0" w:start="0" w:end="0"/>
      <w:jc w:val="start"/>
    </w:pPr>
    <w:rPr>
      <w:rFonts w:ascii="Times New Roman" w:hAnsi="Times New Roman" w:eastAsia="David" w:cs="Times New Roman"/>
      <w:sz w:val="20"/>
      <w:szCs w:val="20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Arial12">
    <w:name w:val="סגנון (לטיני) Arial ‏12 נק' מיושר לשני הצדדים מרווח בין שורות:  ..."/>
    <w:basedOn w:val="Normal"/>
    <w:qFormat/>
    <w:pPr>
      <w:spacing w:lineRule="auto" w:line="360"/>
      <w:ind w:hanging="0" w:start="0" w:end="0"/>
      <w:jc w:val="both"/>
    </w:pPr>
    <w:rPr>
      <w:rFonts w:ascii="Arial" w:hAnsi="Arial" w:eastAsia="David" w:cs="Arial"/>
    </w:rPr>
  </w:style>
  <w:style w:type="paragraph" w:styleId="12">
    <w:name w:val="רגיל + ‏12 נק'"/>
    <w:basedOn w:val="Normal"/>
    <w:qFormat/>
    <w:pPr>
      <w:ind w:hanging="0" w:start="0" w:end="0"/>
      <w:jc w:val="start"/>
    </w:pPr>
    <w:rPr>
      <w:rFonts w:ascii="Times New Roman" w:hAnsi="Times New Roman" w:eastAsia="David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ind w:hanging="0" w:start="0" w:end="0"/>
      <w:jc w:val="both"/>
    </w:pPr>
    <w:rPr>
      <w:rFonts w:ascii="Times New Roman" w:hAnsi="Times New Roman" w:eastAsia="David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advertisements/nevo-100.doc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2017-01-30T09:40:00Z</dcterms:created>
  <dc:creator> </dc:creator>
  <dc:description/>
  <cp:keywords/>
  <dc:language>en-IL</dc:language>
  <cp:lastModifiedBy>Hofit</cp:lastModifiedBy>
  <cp:lastPrinted>2014-06-17T10:44:00Z</cp:lastPrinted>
  <dcterms:modified xsi:type="dcterms:W3CDTF">2017-01-30T09:40:00Z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נגוסה יטזב</vt:lpwstr>
  </property>
  <property fmtid="{D5CDD505-2E9C-101B-9397-08002B2CF9AE}" pid="3" name="APPELLEE">
    <vt:lpwstr>מדינת ישראל</vt:lpwstr>
  </property>
  <property fmtid="{D5CDD505-2E9C-101B-9397-08002B2CF9AE}" pid="4" name="CITY">
    <vt:lpwstr>מרכז</vt:lpwstr>
  </property>
  <property fmtid="{D5CDD505-2E9C-101B-9397-08002B2CF9AE}" pid="5" name="DATE">
    <vt:lpwstr>20140617</vt:lpwstr>
  </property>
  <property fmtid="{D5CDD505-2E9C-101B-9397-08002B2CF9AE}" pid="6" name="JUDGE">
    <vt:lpwstr>אברהם יעקב;זהבה בוסתן;כ' ד"ר שמואל בורנשטין</vt:lpwstr>
  </property>
  <property fmtid="{D5CDD505-2E9C-101B-9397-08002B2CF9AE}" pid="7" name="LAWYER">
    <vt:lpwstr>דורון שטרן;גל רוזנצוויג</vt:lpwstr>
  </property>
  <property fmtid="{D5CDD505-2E9C-101B-9397-08002B2CF9AE}" pid="8" name="NEWPARTA">
    <vt:lpwstr>1079</vt:lpwstr>
  </property>
  <property fmtid="{D5CDD505-2E9C-101B-9397-08002B2CF9AE}" pid="9" name="NEWPARTB">
    <vt:lpwstr>04</vt:lpwstr>
  </property>
  <property fmtid="{D5CDD505-2E9C-101B-9397-08002B2CF9AE}" pid="10" name="NEWPARTC">
    <vt:lpwstr>14</vt:lpwstr>
  </property>
  <property fmtid="{D5CDD505-2E9C-101B-9397-08002B2CF9AE}" pid="11" name="NEWPROC">
    <vt:lpwstr>עפג</vt:lpwstr>
  </property>
  <property fmtid="{D5CDD505-2E9C-101B-9397-08002B2CF9AE}" pid="12" name="PSAKDIN">
    <vt:lpwstr>פסק-דין</vt:lpwstr>
  </property>
  <property fmtid="{D5CDD505-2E9C-101B-9397-08002B2CF9AE}" pid="13" name="TYPE">
    <vt:lpwstr>2</vt:lpwstr>
  </property>
  <property fmtid="{D5CDD505-2E9C-101B-9397-08002B2CF9AE}" pid="14" name="TYPE_ABS_DATE">
    <vt:lpwstr>390020140617</vt:lpwstr>
  </property>
  <property fmtid="{D5CDD505-2E9C-101B-9397-08002B2CF9AE}" pid="15" name="TYPE_N_DATE">
    <vt:lpwstr>39020140617</vt:lpwstr>
  </property>
  <property fmtid="{D5CDD505-2E9C-101B-9397-08002B2CF9AE}" pid="16" name="WORDNUMPAGES">
    <vt:lpwstr>2</vt:lpwstr>
  </property>
</Properties>
</file>