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96"/>
        <w:gridCol w:w="239"/>
        <w:gridCol w:w="2085"/>
      </w:tblGrid>
      <w:tr>
        <w:trPr>
          <w:trHeight w:val="567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bookmarkStart w:id="0" w:name="FirstLawyer"/>
            <w:bookmarkEnd w:id="0"/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בתל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־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אביב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יפו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br/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בשבתו כבית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6396" w:type="dxa"/>
            <w:tcBorders/>
          </w:tcPr>
          <w:p>
            <w:pPr>
              <w:pStyle w:val="Normal"/>
              <w:ind w:end="0"/>
              <w:jc w:val="start"/>
              <w:rPr>
                <w:rFonts w:cs="FrankRuehl"/>
                <w:b/>
                <w:bCs/>
              </w:rPr>
            </w:pPr>
            <w:r>
              <w:rPr>
                <w:rFonts w:cs="FrankRuehl"/>
                <w:b/>
                <w:b/>
                <w:bCs/>
                <w:rtl w:val="true"/>
              </w:rPr>
              <w:t>עפ</w:t>
            </w:r>
            <w:r>
              <w:rPr>
                <w:rFonts w:cs="FrankRuehl"/>
                <w:b/>
                <w:bCs/>
                <w:rtl w:val="true"/>
              </w:rPr>
              <w:t>"</w:t>
            </w:r>
            <w:r>
              <w:rPr>
                <w:rFonts w:cs="FrankRuehl"/>
                <w:b/>
                <w:b/>
                <w:bCs/>
                <w:rtl w:val="true"/>
              </w:rPr>
              <w:t>ג</w:t>
            </w:r>
            <w:r>
              <w:rPr>
                <w:b/>
                <w:b/>
                <w:bCs/>
                <w:rtl w:val="true"/>
              </w:rPr>
              <w:t xml:space="preserve"> </w:t>
            </w:r>
            <w:r>
              <w:rPr>
                <w:rFonts w:cs="FrankRuehl"/>
                <w:b/>
                <w:bCs/>
              </w:rPr>
              <w:t>12819-11-15</w:t>
            </w:r>
            <w:r>
              <w:rPr>
                <w:rFonts w:cs="FrankRuehl"/>
                <w:b/>
                <w:bCs/>
                <w:rtl w:val="true"/>
              </w:rPr>
              <w:t xml:space="preserve"> </w:t>
            </w:r>
            <w:r>
              <w:rPr>
                <w:rFonts w:cs="Miriam"/>
                <w:b/>
                <w:b/>
                <w:bCs/>
                <w:rtl w:val="true"/>
              </w:rPr>
              <w:t>מדינת</w:t>
            </w:r>
            <w:r>
              <w:rPr>
                <w:rFonts w:cs="Miriam"/>
                <w:b/>
                <w:bCs/>
                <w:rtl w:val="true"/>
              </w:rPr>
              <w:br/>
            </w:r>
            <w:r>
              <w:rPr>
                <w:rFonts w:cs="Miriam"/>
                <w:b/>
                <w:b/>
                <w:bCs/>
                <w:rtl w:val="true"/>
              </w:rPr>
              <w:t>ישראל</w:t>
            </w:r>
            <w:r>
              <w:rPr>
                <w:b/>
                <w:b/>
                <w:bCs/>
                <w:rtl w:val="true"/>
              </w:rPr>
              <w:t xml:space="preserve"> </w:t>
            </w:r>
            <w:r>
              <w:rPr>
                <w:rFonts w:cs="Miriam"/>
                <w:b/>
                <w:b/>
                <w:bCs/>
                <w:rtl w:val="true"/>
              </w:rPr>
              <w:t>נ</w:t>
            </w:r>
            <w:r>
              <w:rPr>
                <w:rFonts w:cs="Miriam"/>
                <w:b/>
                <w:bCs/>
                <w:rtl w:val="true"/>
              </w:rPr>
              <w:t xml:space="preserve">' </w:t>
            </w:r>
            <w:r>
              <w:rPr>
                <w:rFonts w:cs="Miriam"/>
                <w:b/>
                <w:b/>
                <w:bCs/>
                <w:rtl w:val="true"/>
              </w:rPr>
              <w:t>בן</w:t>
            </w:r>
            <w:r>
              <w:rPr>
                <w:rFonts w:cs="Miriam"/>
                <w:b/>
                <w:b/>
                <w:bCs/>
                <w:rtl w:val="true"/>
              </w:rPr>
              <w:t>־</w:t>
            </w:r>
            <w:r>
              <w:rPr>
                <w:rFonts w:cs="Miriam"/>
                <w:b/>
                <w:b/>
                <w:bCs/>
                <w:rtl w:val="true"/>
              </w:rPr>
              <w:t>צבי</w:t>
            </w:r>
          </w:p>
        </w:tc>
        <w:tc>
          <w:tcPr>
            <w:tcW w:w="239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rFonts w:cs="FrankRuehl"/>
                <w:b/>
                <w:bCs/>
              </w:rPr>
            </w:pPr>
            <w:r>
              <w:rPr>
                <w:rFonts w:cs="FrankRuehl"/>
                <w:b/>
                <w:bCs/>
                <w:rtl w:val="true"/>
              </w:rPr>
            </w:r>
          </w:p>
        </w:tc>
        <w:tc>
          <w:tcPr>
            <w:tcW w:w="2085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rFonts w:cs="FrankRuehl"/>
                <w:b/>
                <w:bCs/>
              </w:rPr>
            </w:pPr>
            <w:r>
              <w:rPr>
                <w:rFonts w:cs="FrankRuehl"/>
                <w:b/>
                <w:bCs/>
              </w:rPr>
              <w:t>16</w:t>
            </w:r>
            <w:r>
              <w:rPr>
                <w:rFonts w:cs="FrankRuehl"/>
                <w:b/>
                <w:bCs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rtl w:val="true"/>
              </w:rPr>
              <w:t>ב</w:t>
            </w:r>
            <w:r>
              <w:rPr>
                <w:rFonts w:cs="FrankRuehl"/>
                <w:b/>
                <w:b/>
                <w:bCs/>
                <w:rtl w:val="true"/>
              </w:rPr>
              <w:t>דצמבר</w:t>
            </w:r>
            <w:r>
              <w:rPr>
                <w:b/>
                <w:b/>
                <w:bCs/>
                <w:rtl w:val="true"/>
              </w:rPr>
              <w:t xml:space="preserve"> </w:t>
            </w:r>
            <w:r>
              <w:rPr>
                <w:rFonts w:cs="FrankRuehl"/>
                <w:b/>
                <w:bCs/>
              </w:rPr>
              <w:t>2015</w:t>
            </w:r>
          </w:p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rFonts w:cs="FrankRuehl"/>
                <w:b/>
                <w:bCs/>
              </w:rPr>
            </w:pPr>
            <w:r>
              <w:rPr>
                <w:rFonts w:cs="FrankRuehl"/>
                <w:b/>
                <w:b/>
                <w:bCs/>
                <w:rtl w:val="true"/>
              </w:rPr>
              <w:t>ד</w:t>
            </w:r>
            <w:r>
              <w:rPr>
                <w:rFonts w:cs="FrankRuehl"/>
                <w:b/>
                <w:bCs/>
                <w:rtl w:val="true"/>
              </w:rPr>
              <w:t xml:space="preserve">' </w:t>
            </w:r>
            <w:r>
              <w:rPr>
                <w:rFonts w:cs="FrankRuehl"/>
                <w:b/>
                <w:b/>
                <w:bCs/>
                <w:rtl w:val="true"/>
              </w:rPr>
              <w:t>בטבת</w:t>
            </w:r>
            <w:r>
              <w:rPr>
                <w:b/>
                <w:b/>
                <w:bCs/>
                <w:rtl w:val="true"/>
              </w:rPr>
              <w:t xml:space="preserve"> </w:t>
            </w:r>
            <w:r>
              <w:rPr>
                <w:rFonts w:cs="FrankRuehl"/>
                <w:b/>
                <w:b/>
                <w:bCs/>
                <w:rtl w:val="true"/>
              </w:rPr>
              <w:t>תשע</w:t>
            </w:r>
            <w:r>
              <w:rPr>
                <w:rFonts w:cs="FrankRuehl"/>
                <w:b/>
                <w:bCs/>
                <w:rtl w:val="true"/>
              </w:rPr>
              <w:t>"</w:t>
            </w:r>
            <w:r>
              <w:rPr>
                <w:rFonts w:cs="FrankRuehl"/>
                <w:b/>
                <w:b/>
                <w:bCs/>
                <w:rtl w:val="true"/>
              </w:rPr>
              <w:t>ו</w:t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ind w:end="0"/>
        <w:jc w:val="both"/>
        <w:rPr>
          <w:rFonts w:ascii="Arial" w:hAnsi="Arial" w:cs="Arial"/>
          <w:b/>
          <w:bCs/>
          <w:color w:val="000080"/>
          <w:sz w:val="20"/>
          <w:szCs w:val="20"/>
        </w:rPr>
      </w:pPr>
      <w:r>
        <w:rPr>
          <w:rFonts w:cs="Arial" w:ascii="Arial" w:hAnsi="Arial"/>
          <w:b/>
          <w:bCs/>
          <w:color w:val="000080"/>
          <w:sz w:val="20"/>
          <w:szCs w:val="20"/>
          <w:rtl w:val="true"/>
        </w:rPr>
      </w:r>
    </w:p>
    <w:tbl>
      <w:tblPr>
        <w:bidiVisual w:val="true"/>
        <w:tblW w:w="8518" w:type="dxa"/>
        <w:jc w:val="start"/>
        <w:tblInd w:w="23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2"/>
        <w:gridCol w:w="7796"/>
      </w:tblGrid>
      <w:tr>
        <w:trPr/>
        <w:tc>
          <w:tcPr>
            <w:tcW w:w="722" w:type="dxa"/>
            <w:tcBorders/>
          </w:tcPr>
          <w:p>
            <w:pPr>
              <w:pStyle w:val="Normal"/>
              <w:spacing w:lineRule="auto" w:line="360"/>
              <w:ind w:end="0"/>
              <w:jc w:val="both"/>
              <w:rPr>
                <w:rFonts w:ascii="Times New Roman" w:hAnsi="Times New Roman" w:eastAsia="Times New Roman" w:cs="FrankRuehl"/>
                <w:b/>
                <w:bCs/>
                <w:spacing w:val="20"/>
              </w:rPr>
            </w:pP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לפני</w:t>
            </w:r>
            <w:r>
              <w:rPr>
                <w:rStyle w:val="TimesNewRomanTimesNewRoman"/>
                <w:rFonts w:eastAsia="David"/>
                <w:spacing w:val="20"/>
                <w:rtl w:val="true"/>
              </w:rPr>
              <w:t xml:space="preserve"> </w:t>
            </w:r>
          </w:p>
        </w:tc>
        <w:tc>
          <w:tcPr>
            <w:tcW w:w="7796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rFonts w:ascii="Times New Roman" w:hAnsi="Times New Roman" w:eastAsia="Times New Roman" w:cs="FrankRuehl"/>
                <w:b/>
                <w:bCs/>
                <w:spacing w:val="20"/>
              </w:rPr>
            </w:pP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כבוד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pacing w:val="20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הנשיאה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pacing w:val="20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דבורה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pacing w:val="20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ברלינר</w:t>
            </w:r>
            <w:r>
              <w:rPr>
                <w:rFonts w:eastAsia="Times New Roman" w:cs="FrankRuehl" w:ascii="Times New Roman" w:hAnsi="Times New Roman"/>
                <w:b/>
                <w:bCs/>
                <w:spacing w:val="20"/>
                <w:rtl w:val="true"/>
              </w:rPr>
              <w:t xml:space="preserve">, 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אב</w:t>
            </w:r>
            <w:r>
              <w:rPr>
                <w:rFonts w:eastAsia="Times New Roman" w:cs="FrankRuehl" w:ascii="Times New Roman" w:hAnsi="Times New Roman"/>
                <w:b/>
                <w:bCs/>
                <w:spacing w:val="20"/>
                <w:rtl w:val="true"/>
              </w:rPr>
              <w:t>"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ד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rFonts w:ascii="Times New Roman" w:hAnsi="Times New Roman" w:eastAsia="Times New Roman" w:cs="FrankRuehl"/>
                <w:b/>
                <w:bCs/>
                <w:spacing w:val="20"/>
              </w:rPr>
            </w:pP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כבוד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pacing w:val="20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השופטת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pacing w:val="20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אסתר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pacing w:val="20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נחליאלי</w:t>
            </w:r>
            <w:r>
              <w:rPr>
                <w:rFonts w:eastAsia="Times New Roman" w:cs="FrankRuehl" w:ascii="Times New Roman" w:hAnsi="Times New Roman"/>
                <w:b/>
                <w:bCs/>
                <w:spacing w:val="20"/>
                <w:position w:val="4"/>
                <w:rtl w:val="true"/>
              </w:rPr>
              <w:t>-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חיאט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rFonts w:ascii="Times New Roman" w:hAnsi="Times New Roman" w:eastAsia="Times New Roman" w:cs="FrankRuehl"/>
                <w:b/>
                <w:bCs/>
                <w:spacing w:val="20"/>
              </w:rPr>
            </w:pP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כבוד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pacing w:val="20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השופטת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pacing w:val="20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יהודית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pacing w:val="20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FrankRuehl"/>
                <w:b/>
                <w:b/>
                <w:bCs/>
                <w:spacing w:val="20"/>
                <w:rtl w:val="true"/>
              </w:rPr>
              <w:t>שבח</w:t>
            </w:r>
          </w:p>
        </w:tc>
      </w:tr>
    </w:tbl>
    <w:p>
      <w:pPr>
        <w:pStyle w:val="Normal"/>
        <w:ind w:end="0"/>
        <w:jc w:val="both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  <w:bookmarkStart w:id="1" w:name="LastJudge"/>
      <w:bookmarkStart w:id="2" w:name="LastJudge"/>
      <w:bookmarkEnd w:id="2"/>
    </w:p>
    <w:p>
      <w:pPr>
        <w:pStyle w:val="Normal"/>
        <w:ind w:end="0"/>
        <w:jc w:val="both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tbl>
      <w:tblPr>
        <w:bidiVisual w:val="true"/>
        <w:tblW w:w="8518" w:type="dxa"/>
        <w:jc w:val="start"/>
        <w:tblInd w:w="23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5638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bookmarkStart w:id="3" w:name="FirstAppellant"/>
            <w:bookmarkEnd w:id="3"/>
            <w:r>
              <w:rPr>
                <w:rFonts w:ascii="Times New Roman" w:hAnsi="Times New Roman" w:eastAsia="Times New Roman" w:cs="Times New Roman"/>
                <w:b/>
                <w:b/>
                <w:bCs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מערערת</w:t>
            </w:r>
          </w:p>
        </w:tc>
        <w:tc>
          <w:tcPr>
            <w:tcW w:w="5638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rFonts w:ascii="Tahoma" w:hAnsi="Tahoma" w:eastAsia="Times New Roman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eastAsia="Times New Roman" w:cs="Tahoma"/>
                <w:sz w:val="20"/>
                <w:sz w:val="20"/>
                <w:szCs w:val="20"/>
                <w:rtl w:val="true"/>
              </w:rPr>
              <w:t>מדינת ישראל</w:t>
            </w:r>
          </w:p>
        </w:tc>
      </w:tr>
      <w:tr>
        <w:trPr/>
        <w:tc>
          <w:tcPr>
            <w:tcW w:w="8518" w:type="dxa"/>
            <w:gridSpan w:val="2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Tahoma" w:hAnsi="Tahoma" w:eastAsia="Times New Roman" w:cs="FrankRuehl"/>
                <w:b/>
                <w:bCs/>
                <w:sz w:val="20"/>
                <w:szCs w:val="20"/>
              </w:rPr>
            </w:pPr>
            <w:r>
              <w:rPr>
                <w:rFonts w:ascii="Tahoma" w:hAnsi="Tahoma" w:eastAsia="Times New Roman" w:cs="FrankRuehl"/>
                <w:b/>
                <w:b/>
                <w:bCs/>
                <w:rtl w:val="true"/>
              </w:rPr>
              <w:t>נ</w:t>
            </w:r>
            <w:r>
              <w:rPr>
                <w:rFonts w:ascii="Tahoma" w:hAnsi="Tahoma" w:eastAsia="Tahoma" w:cs="Tahoma"/>
                <w:b/>
                <w:b/>
                <w:bCs/>
                <w:rtl w:val="true"/>
              </w:rPr>
              <w:t xml:space="preserve">  </w:t>
            </w:r>
            <w:r>
              <w:rPr>
                <w:rFonts w:ascii="Tahoma" w:hAnsi="Tahoma" w:eastAsia="Times New Roman" w:cs="FrankRuehl"/>
                <w:b/>
                <w:b/>
                <w:bCs/>
                <w:rtl w:val="true"/>
              </w:rPr>
              <w:t>ג</w:t>
            </w:r>
            <w:r>
              <w:rPr>
                <w:rFonts w:ascii="Tahoma" w:hAnsi="Tahoma" w:eastAsia="Tahoma" w:cs="Tahoma"/>
                <w:b/>
                <w:b/>
                <w:bCs/>
                <w:rtl w:val="true"/>
              </w:rPr>
              <w:t xml:space="preserve">  </w:t>
            </w:r>
            <w:r>
              <w:rPr>
                <w:rFonts w:ascii="Tahoma" w:hAnsi="Tahoma" w:eastAsia="Times New Roman" w:cs="FrankRuehl"/>
                <w:b/>
                <w:b/>
                <w:bCs/>
                <w:rtl w:val="true"/>
              </w:rPr>
              <w:t>ד</w:t>
            </w:r>
          </w:p>
        </w:tc>
      </w:tr>
      <w:tr>
        <w:trPr>
          <w:trHeight w:val="80" w:hRule="atLeast"/>
        </w:trPr>
        <w:tc>
          <w:tcPr>
            <w:tcW w:w="2880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משיב</w:t>
            </w:r>
          </w:p>
        </w:tc>
        <w:tc>
          <w:tcPr>
            <w:tcW w:w="5638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rFonts w:ascii="Tahoma" w:hAnsi="Tahoma" w:eastAsia="Times New Roman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eastAsia="Times New Roman" w:cs="Tahoma"/>
                <w:sz w:val="20"/>
                <w:sz w:val="20"/>
                <w:szCs w:val="20"/>
                <w:rtl w:val="true"/>
              </w:rPr>
              <w:t>גיא בן־צבי</w:t>
            </w:r>
          </w:p>
        </w:tc>
      </w:tr>
    </w:tbl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#2#</w:t>
      </w:r>
      <w:r>
        <w:rPr>
          <w:sz w:val="6"/>
          <w:szCs w:val="6"/>
          <w:rtl w:val="true"/>
        </w:rPr>
        <w:t>&gt;</w:t>
      </w:r>
    </w:p>
    <w:p>
      <w:pPr>
        <w:pStyle w:val="12"/>
        <w:spacing w:lineRule="auto" w:line="360"/>
        <w:ind w:end="0"/>
        <w:jc w:val="start"/>
        <w:rPr>
          <w:rFonts w:cs="FrankRuehl"/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  <w:r>
        <w:rPr>
          <w:u w:val="none"/>
          <w:rtl w:val="true"/>
        </w:rPr>
        <w:tab/>
        <w:tab/>
      </w:r>
      <w:r>
        <w:rPr>
          <w:rFonts w:cs="FrankRuehl"/>
          <w:u w:val="none"/>
          <w:rtl w:val="true"/>
        </w:rPr>
        <w:t>באת</w:t>
      </w:r>
      <w:r>
        <w:rPr>
          <w:rFonts w:cs="FrankRuehl"/>
          <w:position w:val="4"/>
          <w:u w:val="none"/>
          <w:rtl w:val="true"/>
        </w:rPr>
        <w:t>-</w:t>
      </w:r>
      <w:r>
        <w:rPr>
          <w:rFonts w:cs="FrankRuehl"/>
          <w:u w:val="none"/>
          <w:rtl w:val="true"/>
        </w:rPr>
        <w:t>כוח</w:t>
      </w:r>
      <w:r>
        <w:rPr>
          <w:u w:val="none"/>
          <w:rtl w:val="true"/>
        </w:rPr>
        <w:t xml:space="preserve"> </w:t>
      </w:r>
      <w:r>
        <w:rPr>
          <w:rFonts w:cs="FrankRuehl"/>
          <w:u w:val="none"/>
          <w:rtl w:val="true"/>
        </w:rPr>
        <w:t>המערערת</w:t>
      </w:r>
      <w:r>
        <w:rPr>
          <w:rFonts w:cs="FrankRuehl"/>
          <w:u w:val="none"/>
          <w:rtl w:val="true"/>
        </w:rPr>
        <w:t xml:space="preserve">, </w:t>
      </w:r>
      <w:r>
        <w:rPr>
          <w:rFonts w:cs="FrankRuehl"/>
          <w:u w:val="none"/>
          <w:rtl w:val="true"/>
        </w:rPr>
        <w:t>עו</w:t>
      </w:r>
      <w:r>
        <w:rPr>
          <w:rFonts w:cs="FrankRuehl"/>
          <w:u w:val="none"/>
          <w:rtl w:val="true"/>
        </w:rPr>
        <w:t>"</w:t>
      </w:r>
      <w:r>
        <w:rPr>
          <w:rFonts w:cs="FrankRuehl"/>
          <w:u w:val="none"/>
          <w:rtl w:val="true"/>
        </w:rPr>
        <w:t>ד</w:t>
      </w:r>
      <w:r>
        <w:rPr>
          <w:u w:val="none"/>
          <w:rtl w:val="true"/>
        </w:rPr>
        <w:t xml:space="preserve"> </w:t>
      </w:r>
      <w:r>
        <w:rPr>
          <w:rFonts w:cs="FrankRuehl"/>
          <w:u w:val="none"/>
          <w:rtl w:val="true"/>
        </w:rPr>
        <w:t>מיטל</w:t>
      </w:r>
      <w:r>
        <w:rPr>
          <w:u w:val="none"/>
          <w:rtl w:val="true"/>
        </w:rPr>
        <w:t xml:space="preserve"> </w:t>
      </w:r>
      <w:r>
        <w:rPr>
          <w:rFonts w:cs="FrankRuehl"/>
          <w:u w:val="none"/>
          <w:rtl w:val="true"/>
        </w:rPr>
        <w:t>מור</w:t>
      </w:r>
    </w:p>
    <w:p>
      <w:pPr>
        <w:pStyle w:val="12"/>
        <w:spacing w:lineRule="auto" w:line="360"/>
        <w:ind w:start="1440" w:end="0"/>
        <w:jc w:val="start"/>
        <w:rPr>
          <w:rFonts w:cs="FrankRuehl"/>
          <w:b w:val="false"/>
          <w:bCs w:val="false"/>
          <w:u w:val="none"/>
        </w:rPr>
      </w:pPr>
      <w:r>
        <w:rPr>
          <w:rFonts w:cs="FrankRuehl"/>
          <w:u w:val="none"/>
          <w:rtl w:val="true"/>
        </w:rPr>
        <w:t>המשיב</w:t>
      </w:r>
      <w:r>
        <w:rPr>
          <w:u w:val="none"/>
          <w:rtl w:val="true"/>
        </w:rPr>
        <w:t xml:space="preserve"> </w:t>
      </w:r>
      <w:r>
        <w:rPr>
          <w:rFonts w:cs="FrankRuehl"/>
          <w:u w:val="none"/>
          <w:rtl w:val="true"/>
        </w:rPr>
        <w:t>בעצמו</w:t>
      </w:r>
      <w:r>
        <w:rPr>
          <w:u w:val="none"/>
          <w:rtl w:val="true"/>
        </w:rPr>
        <w:t xml:space="preserve"> </w:t>
      </w:r>
      <w:r>
        <w:rPr>
          <w:rFonts w:cs="FrankRuehl"/>
          <w:u w:val="none"/>
          <w:rtl w:val="true"/>
        </w:rPr>
        <w:t>ובאי</w:t>
      </w:r>
      <w:r>
        <w:rPr>
          <w:rFonts w:cs="FrankRuehl"/>
          <w:position w:val="4"/>
          <w:u w:val="none"/>
          <w:rtl w:val="true"/>
        </w:rPr>
        <w:t>-</w:t>
      </w:r>
      <w:r>
        <w:rPr>
          <w:rFonts w:cs="FrankRuehl"/>
          <w:u w:val="none"/>
          <w:rtl w:val="true"/>
        </w:rPr>
        <w:t>כוחו</w:t>
      </w:r>
      <w:r>
        <w:rPr>
          <w:rFonts w:cs="FrankRuehl"/>
          <w:u w:val="none"/>
          <w:rtl w:val="true"/>
        </w:rPr>
        <w:t xml:space="preserve">, </w:t>
      </w:r>
      <w:r>
        <w:rPr>
          <w:rFonts w:cs="FrankRuehl"/>
          <w:u w:val="none"/>
          <w:rtl w:val="true"/>
        </w:rPr>
        <w:t>עו</w:t>
      </w:r>
      <w:r>
        <w:rPr>
          <w:rFonts w:cs="FrankRuehl"/>
          <w:u w:val="none"/>
          <w:rtl w:val="true"/>
        </w:rPr>
        <w:t>"</w:t>
      </w:r>
      <w:r>
        <w:rPr>
          <w:rFonts w:cs="FrankRuehl"/>
          <w:u w:val="none"/>
          <w:rtl w:val="true"/>
        </w:rPr>
        <w:t>ד</w:t>
      </w:r>
      <w:r>
        <w:rPr>
          <w:u w:val="none"/>
          <w:rtl w:val="true"/>
        </w:rPr>
        <w:t xml:space="preserve"> </w:t>
      </w:r>
      <w:r>
        <w:rPr>
          <w:rFonts w:cs="FrankRuehl"/>
          <w:u w:val="none"/>
          <w:rtl w:val="true"/>
        </w:rPr>
        <w:t>אהד</w:t>
      </w:r>
      <w:r>
        <w:rPr>
          <w:u w:val="none"/>
          <w:rtl w:val="true"/>
        </w:rPr>
        <w:t xml:space="preserve"> </w:t>
      </w:r>
      <w:r>
        <w:rPr>
          <w:rFonts w:cs="FrankRuehl"/>
          <w:u w:val="none"/>
          <w:rtl w:val="true"/>
        </w:rPr>
        <w:t>חן</w:t>
      </w:r>
      <w:r>
        <w:rPr>
          <w:u w:val="none"/>
          <w:rtl w:val="true"/>
        </w:rPr>
        <w:t xml:space="preserve"> </w:t>
      </w:r>
      <w:r>
        <w:rPr>
          <w:rFonts w:cs="FrankRuehl"/>
          <w:u w:val="none"/>
          <w:rtl w:val="true"/>
        </w:rPr>
        <w:t>ועו</w:t>
      </w:r>
      <w:r>
        <w:rPr>
          <w:rFonts w:cs="FrankRuehl"/>
          <w:u w:val="none"/>
          <w:rtl w:val="true"/>
        </w:rPr>
        <w:t>"</w:t>
      </w:r>
      <w:r>
        <w:rPr>
          <w:rFonts w:cs="FrankRuehl"/>
          <w:u w:val="none"/>
          <w:rtl w:val="true"/>
        </w:rPr>
        <w:t>ד</w:t>
      </w:r>
      <w:r>
        <w:rPr>
          <w:u w:val="none"/>
          <w:rtl w:val="true"/>
        </w:rPr>
        <w:t xml:space="preserve"> </w:t>
      </w:r>
      <w:r>
        <w:rPr>
          <w:rFonts w:cs="FrankRuehl"/>
          <w:u w:val="none"/>
          <w:rtl w:val="true"/>
        </w:rPr>
        <w:t>הילה</w:t>
      </w:r>
      <w:r>
        <w:rPr>
          <w:u w:val="none"/>
          <w:rtl w:val="true"/>
        </w:rPr>
        <w:t xml:space="preserve"> </w:t>
      </w:r>
      <w:r>
        <w:rPr>
          <w:rFonts w:cs="FrankRuehl"/>
          <w:u w:val="none"/>
          <w:rtl w:val="true"/>
        </w:rPr>
        <w:t>פריגוזין</w:t>
      </w:r>
    </w:p>
    <w:p>
      <w:pPr>
        <w:pStyle w:val="12"/>
        <w:ind w:end="0"/>
        <w:jc w:val="start"/>
        <w:rPr>
          <w:rFonts w:cs="FrankRuehl"/>
          <w:b w:val="false"/>
          <w:bCs w:val="false"/>
          <w:u w:val="none"/>
        </w:rPr>
      </w:pPr>
      <w:r>
        <w:rPr>
          <w:rFonts w:cs="FrankRuehl"/>
          <w:b w:val="false"/>
          <w:bCs w:val="false"/>
          <w:u w:val="none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/>
          <w:bCs/>
          <w:u w:val="none"/>
        </w:rPr>
      </w:pPr>
      <w:r>
        <w:rPr>
          <w:rFonts w:cs="FrankRuehl" w:ascii="FrankRuehl" w:hAnsi="FrankRuehl"/>
          <w:b/>
          <w:bCs/>
          <w:u w:val="none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1973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3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1973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u w:val="single"/>
          </w:rPr>
          <w:t>6</w:t>
        </w:r>
      </w:hyperlink>
    </w:p>
    <w:p>
      <w:pPr>
        <w:pStyle w:val="Normal"/>
        <w:spacing w:lineRule="exact" w:line="240" w:before="0" w:after="120"/>
        <w:ind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  <w:bookmarkStart w:id="6" w:name="LawTable_End"/>
      <w:bookmarkStart w:id="7" w:name="LawTable_End"/>
      <w:bookmarkEnd w:id="7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Miriam"/>
          <w:sz w:val="28"/>
          <w:szCs w:val="28"/>
        </w:rPr>
      </w:pPr>
      <w:r>
        <w:rPr>
          <w:rFonts w:cs="Miriam" w:ascii="Arial" w:hAnsi="Arial"/>
          <w:sz w:val="28"/>
          <w:szCs w:val="28"/>
          <w:rtl w:val="true"/>
        </w:rPr>
      </w:r>
    </w:p>
    <w:p>
      <w:pPr>
        <w:pStyle w:val="Normal"/>
        <w:ind w:end="0"/>
        <w:jc w:val="center"/>
        <w:rPr>
          <w:rFonts w:ascii="Arial" w:hAnsi="Arial"/>
          <w:bCs/>
          <w:sz w:val="28"/>
          <w:szCs w:val="28"/>
        </w:rPr>
      </w:pPr>
      <w:bookmarkStart w:id="8" w:name="PsakDin"/>
      <w:bookmarkEnd w:id="8"/>
      <w:r>
        <w:rPr>
          <w:rFonts w:ascii="Arial" w:hAnsi="Arial" w:cs="Miriam"/>
          <w:bCs/>
          <w:sz w:val="28"/>
          <w:sz w:val="28"/>
          <w:szCs w:val="28"/>
          <w:rtl w:val="true"/>
        </w:rPr>
        <w:t>פ</w:t>
      </w:r>
      <w:r>
        <w:rPr>
          <w:rFonts w:ascii="Arial" w:hAnsi="Arial" w:eastAsia="Arial" w:cs="Arial"/>
          <w:bCs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Miriam"/>
          <w:bCs/>
          <w:sz w:val="28"/>
          <w:sz w:val="28"/>
          <w:szCs w:val="28"/>
          <w:rtl w:val="true"/>
        </w:rPr>
        <w:t>ס</w:t>
      </w:r>
      <w:r>
        <w:rPr>
          <w:rFonts w:ascii="Arial" w:hAnsi="Arial" w:eastAsia="Arial" w:cs="Arial"/>
          <w:bCs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Miriam"/>
          <w:bCs/>
          <w:sz w:val="28"/>
          <w:sz w:val="28"/>
          <w:szCs w:val="28"/>
          <w:rtl w:val="true"/>
        </w:rPr>
        <w:t>ק</w:t>
      </w:r>
      <w:r>
        <w:rPr>
          <w:rFonts w:ascii="Arial" w:hAnsi="Arial" w:eastAsia="Arial" w:cs="Arial"/>
          <w:bCs/>
          <w:sz w:val="28"/>
          <w:sz w:val="28"/>
          <w:szCs w:val="28"/>
          <w:rtl w:val="true"/>
        </w:rPr>
        <w:t xml:space="preserve"> </w:t>
      </w:r>
      <w:r>
        <w:rPr>
          <w:rFonts w:cs="Miriam" w:ascii="Arial" w:hAnsi="Arial"/>
          <w:bCs/>
          <w:sz w:val="28"/>
          <w:szCs w:val="28"/>
          <w:rtl w:val="true"/>
        </w:rPr>
        <w:t xml:space="preserve">- </w:t>
      </w:r>
      <w:r>
        <w:rPr>
          <w:rFonts w:ascii="Arial" w:hAnsi="Arial" w:cs="Miriam"/>
          <w:bCs/>
          <w:sz w:val="28"/>
          <w:sz w:val="28"/>
          <w:szCs w:val="28"/>
          <w:rtl w:val="true"/>
        </w:rPr>
        <w:t>ד</w:t>
      </w:r>
      <w:r>
        <w:rPr>
          <w:rFonts w:ascii="Arial" w:hAnsi="Arial" w:eastAsia="Arial" w:cs="Arial"/>
          <w:bCs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Miriam"/>
          <w:bCs/>
          <w:sz w:val="28"/>
          <w:sz w:val="28"/>
          <w:szCs w:val="28"/>
          <w:rtl w:val="true"/>
        </w:rPr>
        <w:t>י</w:t>
      </w:r>
      <w:r>
        <w:rPr>
          <w:rFonts w:ascii="Arial" w:hAnsi="Arial" w:eastAsia="Arial" w:cs="Arial"/>
          <w:bCs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Miriam"/>
          <w:bCs/>
          <w:sz w:val="28"/>
          <w:sz w:val="28"/>
          <w:szCs w:val="28"/>
          <w:rtl w:val="true"/>
        </w:rPr>
        <w:t>ן</w:t>
      </w:r>
    </w:p>
    <w:p>
      <w:pPr>
        <w:pStyle w:val="Normal"/>
        <w:ind w:end="0"/>
        <w:jc w:val="both"/>
        <w:rPr>
          <w:rFonts w:ascii="Arial" w:hAnsi="Arial" w:cs="Miriam"/>
          <w:bCs/>
          <w:sz w:val="28"/>
          <w:szCs w:val="28"/>
        </w:rPr>
      </w:pPr>
      <w:r>
        <w:rPr>
          <w:rFonts w:cs="Miriam" w:ascii="Arial" w:hAnsi="Arial"/>
          <w:bCs/>
          <w:sz w:val="28"/>
          <w:szCs w:val="28"/>
          <w:rtl w:val="true"/>
        </w:rPr>
      </w:r>
      <w:bookmarkStart w:id="9" w:name="PsakDin"/>
      <w:bookmarkStart w:id="10" w:name="PsakDin"/>
      <w:bookmarkEnd w:id="10"/>
    </w:p>
    <w:p>
      <w:pPr>
        <w:pStyle w:val="Normal"/>
        <w:ind w:end="0"/>
        <w:jc w:val="both"/>
        <w:rPr>
          <w:rFonts w:cs="Miriam"/>
          <w:sz w:val="20"/>
          <w:szCs w:val="20"/>
        </w:rPr>
      </w:pPr>
      <w:r>
        <w:rPr>
          <w:rFonts w:cs="Miriam"/>
          <w:sz w:val="20"/>
          <w:sz w:val="20"/>
          <w:szCs w:val="20"/>
          <w:rtl w:val="true"/>
        </w:rPr>
        <w:t>ה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ע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ו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ב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ד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ו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ת</w:t>
      </w:r>
      <w:r>
        <w:rPr>
          <w:sz w:val="20"/>
          <w:sz w:val="20"/>
          <w:szCs w:val="20"/>
          <w:rtl w:val="true"/>
        </w:rPr>
        <w:t xml:space="preserve">  </w:t>
      </w:r>
      <w:r>
        <w:rPr>
          <w:rFonts w:cs="Miriam"/>
          <w:sz w:val="20"/>
          <w:sz w:val="20"/>
          <w:szCs w:val="20"/>
          <w:rtl w:val="true"/>
        </w:rPr>
        <w:t>ו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ה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ט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ע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נ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ו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ת</w:t>
      </w:r>
    </w:p>
    <w:p>
      <w:pPr>
        <w:pStyle w:val="Normal"/>
        <w:ind w:end="0"/>
        <w:jc w:val="both"/>
        <w:rPr>
          <w:rFonts w:cs="Miriam"/>
          <w:sz w:val="20"/>
          <w:szCs w:val="20"/>
        </w:rPr>
      </w:pPr>
      <w:r>
        <w:rPr>
          <w:rFonts w:cs="Miriam"/>
          <w:sz w:val="20"/>
          <w:szCs w:val="20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Miriam"/>
        </w:rPr>
        <w:t>1</w:t>
      </w:r>
      <w:r>
        <w:rPr>
          <w:rFonts w:cs="Miriam"/>
          <w:rtl w:val="true"/>
        </w:rPr>
        <w:t>.</w:t>
      </w:r>
      <w:r>
        <w:rPr>
          <w:rtl w:val="true"/>
        </w:rPr>
        <w:tab/>
      </w:r>
      <w:bookmarkStart w:id="11" w:name="ABSTRACT_START"/>
      <w:bookmarkEnd w:id="11"/>
      <w:r>
        <w:rPr>
          <w:rtl w:val="true"/>
        </w:rPr>
        <w:t>המשיב הורשע בבית המשפט קמא על סמך הודייתו בעברה של גידול סמים מסוכנים</w:t>
      </w:r>
      <w:r>
        <w:rPr>
          <w:rtl w:val="true"/>
        </w:rPr>
        <w:t xml:space="preserve">, </w:t>
      </w:r>
      <w:r>
        <w:rPr>
          <w:rtl w:val="true"/>
        </w:rPr>
        <w:t>ייצורם והכנתם</w:t>
      </w:r>
      <w:r>
        <w:rPr>
          <w:rtl w:val="true"/>
        </w:rPr>
        <w:t xml:space="preserve">, </w:t>
      </w:r>
      <w:r>
        <w:rPr>
          <w:rtl w:val="true"/>
        </w:rPr>
        <w:t xml:space="preserve">עבֵרה לפי </w:t>
      </w:r>
      <w:hyperlink r:id="rId5">
        <w:r>
          <w:rPr>
            <w:rStyle w:val="Hyperlink"/>
            <w:rtl w:val="true"/>
          </w:rPr>
          <w:t>סעיף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</w:rPr>
          <w:t>6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6">
        <w:r>
          <w:rPr>
            <w:rStyle w:val="Hyperlink"/>
            <w:color w:val="0000FF"/>
            <w:u w:val="single"/>
            <w:rtl w:val="true"/>
          </w:rPr>
          <w:t>פקודת הסמים המסוכנים</w:t>
        </w:r>
      </w:hyperlink>
      <w:r>
        <w:rPr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נוסח חדש</w:t>
      </w:r>
      <w:r>
        <w:rPr>
          <w:rtl w:val="true"/>
        </w:rPr>
        <w:t xml:space="preserve">],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–</w:t>
      </w:r>
      <w:r>
        <w:rPr/>
        <w:t>1973</w:t>
      </w:r>
      <w:r>
        <w:rPr>
          <w:rtl w:val="true"/>
        </w:rPr>
        <w:t xml:space="preserve">. </w:t>
      </w:r>
      <w:r>
        <w:rPr>
          <w:rtl w:val="true"/>
        </w:rPr>
        <w:t>הוראת החוק שבה הורשע המשיב מביאה לידי ביטוי הסדר טיעון שהושג בינו לבין התביעה עובר להודייתו</w:t>
      </w:r>
      <w:r>
        <w:rPr>
          <w:rtl w:val="true"/>
        </w:rPr>
        <w:t xml:space="preserve">, </w:t>
      </w:r>
      <w:r>
        <w:rPr>
          <w:rtl w:val="true"/>
        </w:rPr>
        <w:t>ולפיו נמחקה מכתב האישום הוראת החיקוק הנוספת</w:t>
      </w:r>
      <w:r>
        <w:rPr>
          <w:rtl w:val="true"/>
        </w:rPr>
        <w:t xml:space="preserve">, </w:t>
      </w:r>
      <w:r>
        <w:rPr>
          <w:rtl w:val="true"/>
        </w:rPr>
        <w:t>שייחסה לו עברה של החזקת סמים שלא לצריכה עצמית</w:t>
      </w:r>
      <w:r>
        <w:rPr>
          <w:rtl w:val="true"/>
        </w:rPr>
        <w:t xml:space="preserve">. </w:t>
      </w:r>
      <w:r>
        <w:rPr>
          <w:rtl w:val="true"/>
        </w:rPr>
        <w:t>בדיעבד</w:t>
      </w:r>
      <w:r>
        <w:rPr>
          <w:rtl w:val="true"/>
        </w:rPr>
        <w:t xml:space="preserve">, </w:t>
      </w:r>
      <w:r>
        <w:rPr>
          <w:rtl w:val="true"/>
        </w:rPr>
        <w:t>אחד הטיעונים שהעלה הסנגור לפנינו הוא כי יש חוסר הלימה בין תיקון כתב האישום כמפורט לעיל</w:t>
      </w:r>
      <w:r>
        <w:rPr>
          <w:rtl w:val="true"/>
        </w:rPr>
        <w:t xml:space="preserve">, </w:t>
      </w:r>
      <w:r>
        <w:rPr>
          <w:rtl w:val="true"/>
        </w:rPr>
        <w:t>שהתבטא כאמור במחיקת הוראת החיקוק</w:t>
      </w:r>
      <w:r>
        <w:rPr>
          <w:rtl w:val="true"/>
        </w:rPr>
        <w:t xml:space="preserve">, </w:t>
      </w:r>
      <w:r>
        <w:rPr>
          <w:rtl w:val="true"/>
        </w:rPr>
        <w:t>לבין העובדות המפורטות בו</w:t>
      </w:r>
      <w:r>
        <w:rPr>
          <w:rtl w:val="true"/>
        </w:rPr>
        <w:t xml:space="preserve">, </w:t>
      </w:r>
      <w:r>
        <w:rPr>
          <w:rtl w:val="true"/>
        </w:rPr>
        <w:t>ועובדה זו אינה צריכה להיות מובאת בחשבון לחובתו של המשיב</w:t>
      </w:r>
      <w:r>
        <w:rPr>
          <w:rtl w:val="true"/>
        </w:rPr>
        <w:t>.</w:t>
      </w:r>
    </w:p>
    <w:p>
      <w:pPr>
        <w:pStyle w:val="Normal"/>
        <w:ind w:end="0"/>
        <w:jc w:val="both"/>
        <w:rPr/>
      </w:pPr>
      <w:r>
        <w:rPr>
          <w:rtl w:val="true"/>
        </w:rPr>
      </w:r>
      <w:bookmarkStart w:id="12" w:name="ABSTRACT_END"/>
      <w:bookmarkStart w:id="13" w:name="ABSTRACT_END"/>
      <w:bookmarkEnd w:id="13"/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Miriam"/>
        </w:rPr>
        <w:t>2</w:t>
      </w:r>
      <w:r>
        <w:rPr>
          <w:rFonts w:cs="Miriam"/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>על</w:t>
      </w:r>
      <w:r>
        <w:rPr>
          <w:position w:val="4"/>
          <w:rtl w:val="true"/>
        </w:rPr>
        <w:t>-</w:t>
      </w:r>
      <w:r>
        <w:rPr>
          <w:rtl w:val="true"/>
        </w:rPr>
        <w:t>פי העובדות שבהן הודה המשיב לכל הדעות</w:t>
      </w:r>
      <w:r>
        <w:rPr>
          <w:rtl w:val="true"/>
        </w:rPr>
        <w:t xml:space="preserve">, </w:t>
      </w:r>
      <w:r>
        <w:rPr>
          <w:rtl w:val="true"/>
        </w:rPr>
        <w:t xml:space="preserve">במהלך החודשים שבין ספטמבר </w:t>
      </w:r>
      <w:r>
        <w:rPr/>
        <w:t>2013</w:t>
      </w:r>
      <w:r>
        <w:rPr>
          <w:rtl w:val="true"/>
        </w:rPr>
        <w:t xml:space="preserve"> </w:t>
      </w:r>
      <w:r>
        <w:rPr>
          <w:rtl w:val="true"/>
        </w:rPr>
        <w:t xml:space="preserve">לבין </w:t>
      </w:r>
      <w:r>
        <w:rPr/>
        <w:t>26.06.14</w:t>
      </w:r>
      <w:r>
        <w:rPr>
          <w:rtl w:val="true"/>
        </w:rPr>
        <w:t xml:space="preserve"> </w:t>
      </w:r>
      <w:r>
        <w:rPr>
          <w:rtl w:val="true"/>
        </w:rPr>
        <w:t>הוא החזיק בדירה שכורה ברמת</w:t>
      </w:r>
      <w:r>
        <w:rPr>
          <w:position w:val="4"/>
          <w:rtl w:val="true"/>
        </w:rPr>
        <w:t>-</w:t>
      </w:r>
      <w:r>
        <w:rPr>
          <w:rtl w:val="true"/>
        </w:rPr>
        <w:t>גן והקים בה מעבדה לגידול סם</w:t>
      </w:r>
      <w:r>
        <w:rPr>
          <w:rtl w:val="true"/>
        </w:rPr>
        <w:t xml:space="preserve">. </w:t>
      </w:r>
      <w:r>
        <w:rPr>
          <w:rtl w:val="true"/>
        </w:rPr>
        <w:t>כתב האישום</w:t>
      </w:r>
      <w:r>
        <w:rPr>
          <w:rtl w:val="true"/>
        </w:rPr>
        <w:t xml:space="preserve">, </w:t>
      </w:r>
      <w:r>
        <w:rPr>
          <w:rtl w:val="true"/>
        </w:rPr>
        <w:t>לאורך שורות רבות וארוכות</w:t>
      </w:r>
      <w:r>
        <w:rPr>
          <w:rtl w:val="true"/>
        </w:rPr>
        <w:t xml:space="preserve">, </w:t>
      </w:r>
      <w:r>
        <w:rPr>
          <w:rtl w:val="true"/>
        </w:rPr>
        <w:t>מפרט את הציוד שהיה מצוי באותה מעבדת סם</w:t>
      </w:r>
      <w:r>
        <w:rPr>
          <w:rtl w:val="true"/>
        </w:rPr>
        <w:t xml:space="preserve">. </w:t>
      </w:r>
      <w:r>
        <w:rPr>
          <w:rtl w:val="true"/>
        </w:rPr>
        <w:t>אין לך פריט הקשור לתחום זה שאינו מצוי באותה רשימת ציוד</w:t>
      </w:r>
      <w:r>
        <w:rPr>
          <w:rtl w:val="true"/>
        </w:rPr>
        <w:t xml:space="preserve">: </w:t>
      </w:r>
      <w:r>
        <w:rPr>
          <w:rtl w:val="true"/>
        </w:rPr>
        <w:t>אדניות במספר רב</w:t>
      </w:r>
      <w:r>
        <w:rPr>
          <w:rtl w:val="true"/>
        </w:rPr>
        <w:t xml:space="preserve">, </w:t>
      </w:r>
      <w:r>
        <w:rPr>
          <w:rtl w:val="true"/>
        </w:rPr>
        <w:t>צינורות</w:t>
      </w:r>
      <w:r>
        <w:rPr>
          <w:rtl w:val="true"/>
        </w:rPr>
        <w:t xml:space="preserve">, </w:t>
      </w:r>
      <w:r>
        <w:rPr>
          <w:rtl w:val="true"/>
        </w:rPr>
        <w:t>מנורות עם רפלקטורים</w:t>
      </w:r>
      <w:r>
        <w:rPr>
          <w:rtl w:val="true"/>
        </w:rPr>
        <w:t xml:space="preserve">, </w:t>
      </w:r>
      <w:r>
        <w:rPr>
          <w:rtl w:val="true"/>
        </w:rPr>
        <w:t>שקית ובה תערובת לגידול חומרים אורגניים</w:t>
      </w:r>
      <w:r>
        <w:rPr>
          <w:rtl w:val="true"/>
        </w:rPr>
        <w:t xml:space="preserve">, </w:t>
      </w:r>
      <w:r>
        <w:rPr>
          <w:rtl w:val="true"/>
        </w:rPr>
        <w:t>חומר לספיגת מים</w:t>
      </w:r>
      <w:r>
        <w:rPr>
          <w:rtl w:val="true"/>
        </w:rPr>
        <w:t xml:space="preserve">, </w:t>
      </w:r>
      <w:r>
        <w:rPr>
          <w:rtl w:val="true"/>
        </w:rPr>
        <w:t>שנאי חשמלאי</w:t>
      </w:r>
      <w:r>
        <w:rPr>
          <w:rtl w:val="true"/>
        </w:rPr>
        <w:t xml:space="preserve">, </w:t>
      </w:r>
      <w:r>
        <w:rPr>
          <w:rtl w:val="true"/>
        </w:rPr>
        <w:t>תרמוסטט</w:t>
      </w:r>
      <w:r>
        <w:rPr>
          <w:rtl w:val="true"/>
        </w:rPr>
        <w:t xml:space="preserve">, </w:t>
      </w:r>
      <w:r>
        <w:rPr>
          <w:rtl w:val="true"/>
        </w:rPr>
        <w:t>שעוני שבת</w:t>
      </w:r>
      <w:r>
        <w:rPr>
          <w:rtl w:val="true"/>
        </w:rPr>
        <w:t xml:space="preserve">, </w:t>
      </w:r>
      <w:r>
        <w:rPr>
          <w:rtl w:val="true"/>
        </w:rPr>
        <w:t xml:space="preserve">מסנן אוויר </w:t>
      </w:r>
      <w:r>
        <w:rPr>
          <w:rtl w:val="true"/>
        </w:rPr>
        <w:t>–</w:t>
      </w:r>
      <w:r>
        <w:rPr>
          <w:rtl w:val="true"/>
        </w:rPr>
        <w:t xml:space="preserve"> ולא פירטנו עוד הכול</w:t>
      </w:r>
      <w:r>
        <w:rPr>
          <w:rtl w:val="true"/>
        </w:rPr>
        <w:t>.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נוסף למעבדה המשוכללת שהקים המשיב</w:t>
      </w:r>
      <w:r>
        <w:rPr>
          <w:rtl w:val="true"/>
        </w:rPr>
        <w:t xml:space="preserve">, </w:t>
      </w:r>
      <w:r>
        <w:rPr>
          <w:rtl w:val="true"/>
        </w:rPr>
        <w:t>במקומות שונים בדירה היו מפוזרות כמויות סם</w:t>
      </w:r>
      <w:r>
        <w:rPr>
          <w:rtl w:val="true"/>
        </w:rPr>
        <w:t xml:space="preserve">, </w:t>
      </w:r>
      <w:r>
        <w:rPr>
          <w:rtl w:val="true"/>
        </w:rPr>
        <w:t>בין סם בפועל ובין שתילים של קנבוס</w:t>
      </w:r>
      <w:r>
        <w:rPr>
          <w:rtl w:val="true"/>
        </w:rPr>
        <w:t xml:space="preserve">. </w:t>
      </w:r>
      <w:r>
        <w:rPr>
          <w:rtl w:val="true"/>
        </w:rPr>
        <w:t xml:space="preserve">הכמות הגדולה שמדובר בה מוזכרת בסעיף ח לסעיף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לעובדות כתב האישום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position w:val="4"/>
          <w:rtl w:val="true"/>
        </w:rPr>
        <w:t>-</w:t>
      </w:r>
      <w:r>
        <w:rPr>
          <w:rtl w:val="true"/>
        </w:rPr>
        <w:t>פי האמור בו</w:t>
      </w:r>
      <w:r>
        <w:rPr>
          <w:rtl w:val="true"/>
        </w:rPr>
        <w:t xml:space="preserve">, </w:t>
      </w:r>
      <w:r>
        <w:rPr>
          <w:rFonts w:cs="Miriam"/>
          <w:rtl w:val="true"/>
        </w:rPr>
        <w:t>,,</w:t>
      </w:r>
      <w:r>
        <w:rPr>
          <w:rFonts w:cs="Miriam"/>
          <w:rtl w:val="true"/>
        </w:rPr>
        <w:t>במרפסת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חדר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השינה</w:t>
      </w:r>
      <w:r>
        <w:rPr>
          <w:rtl w:val="true"/>
        </w:rPr>
        <w:t xml:space="preserve"> </w:t>
      </w:r>
      <w:r>
        <w:rPr>
          <w:rFonts w:cs="Miriam"/>
        </w:rPr>
        <w:t>9</w:t>
      </w:r>
      <w:r>
        <w:rPr>
          <w:rFonts w:cs="Miriam"/>
          <w:rtl w:val="true"/>
        </w:rPr>
        <w:t xml:space="preserve"> </w:t>
      </w:r>
      <w:r>
        <w:rPr>
          <w:rFonts w:cs="Miriam"/>
          <w:rtl w:val="true"/>
        </w:rPr>
        <w:t>שתילים</w:t>
      </w:r>
      <w:r>
        <w:rPr>
          <w:rtl w:val="true"/>
        </w:rPr>
        <w:t xml:space="preserve"> </w:t>
      </w:r>
      <w:r>
        <w:rPr>
          <w:rFonts w:cs="Miriam"/>
          <w:rtl w:val="true"/>
        </w:rPr>
        <w:t>של</w:t>
      </w:r>
      <w:r>
        <w:rPr>
          <w:rtl w:val="true"/>
        </w:rPr>
        <w:t xml:space="preserve"> </w:t>
      </w:r>
      <w:r>
        <w:rPr>
          <w:rFonts w:cs="Miriam"/>
          <w:rtl w:val="true"/>
        </w:rPr>
        <w:t>קנבוס</w:t>
      </w:r>
      <w:r>
        <w:rPr>
          <w:rtl w:val="true"/>
        </w:rPr>
        <w:t xml:space="preserve"> </w:t>
      </w:r>
      <w:r>
        <w:rPr>
          <w:rFonts w:cs="Miriam"/>
          <w:rtl w:val="true"/>
        </w:rPr>
        <w:t>במשקל</w:t>
      </w:r>
      <w:r>
        <w:rPr>
          <w:rtl w:val="true"/>
        </w:rPr>
        <w:t xml:space="preserve"> </w:t>
      </w:r>
      <w:r>
        <w:rPr>
          <w:rFonts w:cs="Miriam"/>
        </w:rPr>
        <w:t>2050</w:t>
      </w:r>
      <w:r>
        <w:rPr>
          <w:rFonts w:cs="Miriam"/>
          <w:rtl w:val="true"/>
        </w:rPr>
        <w:t xml:space="preserve"> </w:t>
      </w:r>
      <w:r>
        <w:rPr>
          <w:rFonts w:cs="Miriam"/>
          <w:rtl w:val="true"/>
        </w:rPr>
        <w:t>גרם</w:t>
      </w:r>
      <w:r>
        <w:rPr>
          <w:rtl w:val="true"/>
        </w:rPr>
        <w:t xml:space="preserve"> </w:t>
      </w:r>
      <w:r>
        <w:rPr>
          <w:rFonts w:cs="Miriam"/>
          <w:rtl w:val="true"/>
        </w:rPr>
        <w:t>נטו</w:t>
      </w:r>
      <w:r>
        <w:rPr>
          <w:rFonts w:cs="Miriam"/>
          <w:rtl w:val="true"/>
        </w:rPr>
        <w:t>''</w:t>
      </w:r>
      <w:r>
        <w:rPr>
          <w:rtl w:val="true"/>
        </w:rPr>
        <w:t xml:space="preserve">. </w:t>
      </w:r>
      <w:r>
        <w:rPr>
          <w:rtl w:val="true"/>
        </w:rPr>
        <w:t>כתב האישום מפרט כמויות שונות של סם שנתפס בדירה</w:t>
      </w:r>
      <w:r>
        <w:rPr>
          <w:rtl w:val="true"/>
        </w:rPr>
        <w:t xml:space="preserve">. </w:t>
      </w:r>
      <w:r>
        <w:rPr>
          <w:rtl w:val="true"/>
        </w:rPr>
        <w:t xml:space="preserve">כדי להסיר ספק נאמר כי המשיב הודה בהחזקת כל אותן כמויות סם שמפורטות בסעיף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גם אם העברה של החזקת הסם נמחקה</w:t>
      </w:r>
      <w:r>
        <w:rPr>
          <w:rtl w:val="true"/>
        </w:rPr>
        <w:t xml:space="preserve">. </w:t>
      </w:r>
      <w:r>
        <w:rPr>
          <w:rtl w:val="true"/>
        </w:rPr>
        <w:t>כנתון עובדתי המצוי לפנינו</w:t>
      </w:r>
      <w:r>
        <w:rPr>
          <w:rtl w:val="true"/>
        </w:rPr>
        <w:t xml:space="preserve">, </w:t>
      </w:r>
      <w:r>
        <w:rPr>
          <w:rtl w:val="true"/>
        </w:rPr>
        <w:t>הודייתו של המשיב משקפת את מה שנתפס בדירה ושבהחזקתו הודה המשיב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Miriam"/>
        </w:rPr>
        <w:t>3</w:t>
      </w:r>
      <w:r>
        <w:rPr>
          <w:rFonts w:cs="Miriam"/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 xml:space="preserve">בית המשפט קמא </w:t>
      </w:r>
      <w:r>
        <w:rPr>
          <w:rtl w:val="true"/>
        </w:rPr>
        <w:t>(</w:t>
      </w:r>
      <w:r>
        <w:rPr>
          <w:rtl w:val="true"/>
        </w:rPr>
        <w:t>כבוד השופטת מעין בן</w:t>
      </w:r>
      <w:r>
        <w:rPr>
          <w:position w:val="4"/>
          <w:rtl w:val="true"/>
        </w:rPr>
        <w:t>-</w:t>
      </w:r>
      <w:r>
        <w:rPr>
          <w:rtl w:val="true"/>
        </w:rPr>
        <w:t>ארי</w:t>
      </w:r>
      <w:r>
        <w:rPr>
          <w:rtl w:val="true"/>
        </w:rPr>
        <w:t xml:space="preserve">) </w:t>
      </w:r>
      <w:r>
        <w:rPr>
          <w:rtl w:val="true"/>
        </w:rPr>
        <w:t>קיבל שני תסקירים באשר למשיב</w:t>
      </w:r>
      <w:r>
        <w:rPr>
          <w:rtl w:val="true"/>
        </w:rPr>
        <w:t xml:space="preserve">. </w:t>
      </w:r>
      <w:r>
        <w:rPr>
          <w:rtl w:val="true"/>
        </w:rPr>
        <w:t xml:space="preserve">נׂאמר כבר בשלב זה כי התסקיר הבסיסי הוא התסקיר מיום </w:t>
      </w:r>
      <w:r>
        <w:rPr/>
        <w:t>15.03.15</w:t>
      </w:r>
      <w:r>
        <w:rPr>
          <w:rtl w:val="true"/>
        </w:rPr>
        <w:t xml:space="preserve">. </w:t>
      </w:r>
      <w:r>
        <w:rPr>
          <w:rtl w:val="true"/>
        </w:rPr>
        <w:t>תסקיר נוסף שהונח לפני בית המשפט</w:t>
      </w:r>
      <w:r>
        <w:rPr>
          <w:rtl w:val="true"/>
        </w:rPr>
        <w:t xml:space="preserve">, </w:t>
      </w:r>
      <w:r>
        <w:rPr>
          <w:rtl w:val="true"/>
        </w:rPr>
        <w:t xml:space="preserve">מיום </w:t>
      </w:r>
      <w:r>
        <w:rPr/>
        <w:t>19.04.15</w:t>
      </w:r>
      <w:r>
        <w:rPr>
          <w:rtl w:val="true"/>
        </w:rPr>
        <w:t xml:space="preserve">, </w:t>
      </w:r>
      <w:r>
        <w:rPr>
          <w:rtl w:val="true"/>
        </w:rPr>
        <w:t>הוא תסקיר קצר שבו יש עדכון נתונים מסוימים ולא מעבר לכך</w:t>
      </w:r>
      <w:r>
        <w:rPr>
          <w:rtl w:val="true"/>
        </w:rPr>
        <w:t xml:space="preserve">. </w:t>
      </w:r>
      <w:r>
        <w:rPr>
          <w:rtl w:val="true"/>
        </w:rPr>
        <w:t>לכך יש לצרף חוות דעת שהסכמנו היום לקבל לִפנים משורת הדין</w:t>
      </w:r>
      <w:r>
        <w:rPr>
          <w:rtl w:val="true"/>
        </w:rPr>
        <w:t xml:space="preserve">, </w:t>
      </w:r>
      <w:r>
        <w:rPr>
          <w:rtl w:val="true"/>
        </w:rPr>
        <w:t xml:space="preserve">חוות דעת מיום </w:t>
      </w:r>
      <w:r>
        <w:rPr/>
        <w:t>07.12.15</w:t>
      </w:r>
      <w:r>
        <w:rPr>
          <w:rtl w:val="true"/>
        </w:rPr>
        <w:t xml:space="preserve">, </w:t>
      </w:r>
      <w:r>
        <w:rPr>
          <w:rtl w:val="true"/>
        </w:rPr>
        <w:t xml:space="preserve">של המרכז הירושלמי לבריאות הנפש </w:t>
      </w:r>
      <w:r>
        <w:rPr>
          <w:rtl w:val="true"/>
        </w:rPr>
        <w:t>–</w:t>
      </w:r>
      <w:r>
        <w:rPr>
          <w:rtl w:val="true"/>
        </w:rPr>
        <w:t xml:space="preserve"> המכון הירושלמי לטיפול בבעיות סמים ותחלואה כפולה</w:t>
      </w:r>
      <w:r>
        <w:rPr>
          <w:rtl w:val="true"/>
        </w:rPr>
        <w:t xml:space="preserve">. </w:t>
      </w:r>
      <w:r>
        <w:rPr>
          <w:rtl w:val="true"/>
        </w:rPr>
        <w:t>מסמך זה מפרט את הטיפול שעבר המשיב ואת התרשמותה של המטפלת מן המצב שאליו הגיע במהלך הטיפול ובעקבותיו</w:t>
      </w:r>
      <w:r>
        <w:rPr>
          <w:rtl w:val="true"/>
        </w:rPr>
        <w:t>.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Miriam"/>
        </w:rPr>
        <w:t>4</w:t>
      </w:r>
      <w:r>
        <w:rPr>
          <w:rFonts w:cs="Miriam"/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 xml:space="preserve">בית המשפט קמא קבע כי מתחם הענישה הראוי וההולם בתיק זה נע בין מאסר שיכול שיינשא בעבודות שירות לבין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 מאסר בפועל</w:t>
      </w:r>
      <w:r>
        <w:rPr>
          <w:rtl w:val="true"/>
        </w:rPr>
        <w:t xml:space="preserve">. </w:t>
      </w:r>
      <w:r>
        <w:rPr>
          <w:rtl w:val="true"/>
        </w:rPr>
        <w:t>כבוד השופטת קמא סברה כי יש למקם את המשיב ממש בתחתית המתחם</w:t>
      </w:r>
      <w:r>
        <w:rPr>
          <w:rtl w:val="true"/>
        </w:rPr>
        <w:t xml:space="preserve">, </w:t>
      </w:r>
      <w:r>
        <w:rPr>
          <w:rtl w:val="true"/>
        </w:rPr>
        <w:t>שעל</w:t>
      </w:r>
      <w:r>
        <w:rPr>
          <w:position w:val="4"/>
          <w:rtl w:val="true"/>
        </w:rPr>
        <w:t>-</w:t>
      </w:r>
      <w:r>
        <w:rPr>
          <w:rtl w:val="true"/>
        </w:rPr>
        <w:t>כן הוטלו עליו שישה חודשי מאסר</w:t>
      </w:r>
      <w:r>
        <w:rPr>
          <w:rtl w:val="true"/>
        </w:rPr>
        <w:t xml:space="preserve">. </w:t>
      </w:r>
      <w:r>
        <w:rPr>
          <w:rtl w:val="true"/>
        </w:rPr>
        <w:t>לא זו בלבד שבית המשפט מיקם את המשיב ברף התחתון של המתחם שקבע</w:t>
      </w:r>
      <w:r>
        <w:rPr>
          <w:rtl w:val="true"/>
        </w:rPr>
        <w:t xml:space="preserve">, </w:t>
      </w:r>
      <w:r>
        <w:rPr>
          <w:rtl w:val="true"/>
        </w:rPr>
        <w:t>אלא שהוא הוסיף וקבע כי המשיב יישא את המאסר בדרך של עבודות שירות</w:t>
      </w:r>
      <w:r>
        <w:rPr>
          <w:rtl w:val="true"/>
        </w:rPr>
        <w:t xml:space="preserve">. </w:t>
      </w:r>
      <w:r>
        <w:rPr>
          <w:rtl w:val="true"/>
        </w:rPr>
        <w:t>על המשיב הוטלו העונשים הללו</w:t>
      </w:r>
      <w:r>
        <w:rPr>
          <w:rtl w:val="true"/>
        </w:rPr>
        <w:t xml:space="preserve">: </w:t>
      </w:r>
      <w:r>
        <w:rPr>
          <w:rtl w:val="true"/>
        </w:rPr>
        <w:t>שישה חודשי מאסר</w:t>
      </w:r>
      <w:r>
        <w:rPr>
          <w:rtl w:val="true"/>
        </w:rPr>
        <w:t xml:space="preserve">, </w:t>
      </w:r>
      <w:r>
        <w:rPr>
          <w:rtl w:val="true"/>
        </w:rPr>
        <w:t>שיינשאו בדרך של עבודות שירות</w:t>
      </w:r>
      <w:r>
        <w:rPr>
          <w:rtl w:val="true"/>
        </w:rPr>
        <w:t xml:space="preserve">; </w:t>
      </w:r>
      <w:r>
        <w:rPr>
          <w:rtl w:val="true"/>
        </w:rPr>
        <w:t>חמישה חודשי מאסר על</w:t>
      </w:r>
      <w:r>
        <w:rPr>
          <w:position w:val="4"/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 xml:space="preserve">; </w:t>
      </w:r>
      <w:r>
        <w:rPr>
          <w:rtl w:val="true"/>
        </w:rPr>
        <w:t>צו מבחן למשך שנה</w:t>
      </w:r>
      <w:r>
        <w:rPr>
          <w:rtl w:val="true"/>
        </w:rPr>
        <w:t xml:space="preserve">; </w:t>
      </w:r>
      <w:r>
        <w:rPr>
          <w:rtl w:val="true"/>
        </w:rPr>
        <w:t xml:space="preserve">וכן קנס בסך </w:t>
      </w:r>
      <w:r>
        <w:rPr/>
        <w:t>5,000</w:t>
      </w:r>
      <w:r>
        <w:rPr>
          <w:rtl w:val="true"/>
        </w:rPr>
        <w:t xml:space="preserve"> ₪. </w:t>
      </w:r>
      <w:r>
        <w:rPr>
          <w:rtl w:val="true"/>
        </w:rPr>
        <w:t xml:space="preserve">בית המשפט הכריז על המשיב סוחר סמים והורה לפיכך על חילוט סכום של </w:t>
      </w:r>
      <w:r>
        <w:rPr/>
        <w:t>1,140</w:t>
      </w:r>
      <w:r>
        <w:rPr>
          <w:rtl w:val="true"/>
        </w:rPr>
        <w:t xml:space="preserve"> ₪ </w:t>
      </w:r>
      <w:r>
        <w:rPr>
          <w:rtl w:val="true"/>
        </w:rPr>
        <w:t>שנתפס אצלו</w:t>
      </w:r>
      <w:r>
        <w:rPr>
          <w:rtl w:val="true"/>
        </w:rPr>
        <w:t>.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Miriam"/>
        </w:rPr>
        <w:t>5</w:t>
      </w:r>
      <w:r>
        <w:rPr>
          <w:rFonts w:cs="Miriam"/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>על גזר</w:t>
      </w:r>
      <w:r>
        <w:rPr>
          <w:position w:val="4"/>
          <w:rtl w:val="true"/>
        </w:rPr>
        <w:t>-</w:t>
      </w:r>
      <w:r>
        <w:rPr>
          <w:rtl w:val="true"/>
        </w:rPr>
        <w:t>הדין מערערת המדינה לפנינו</w:t>
      </w:r>
      <w:r>
        <w:rPr>
          <w:rtl w:val="true"/>
        </w:rPr>
        <w:t xml:space="preserve">. </w:t>
      </w:r>
      <w:r>
        <w:rPr>
          <w:rtl w:val="true"/>
        </w:rPr>
        <w:t>לטענתה</w:t>
      </w:r>
      <w:r>
        <w:rPr>
          <w:rtl w:val="true"/>
        </w:rPr>
        <w:t xml:space="preserve">, </w:t>
      </w:r>
      <w:r>
        <w:rPr>
          <w:rtl w:val="true"/>
        </w:rPr>
        <w:t>נפלו שלוש טעויות מרכזיות בגזר</w:t>
      </w:r>
      <w:r>
        <w:rPr>
          <w:position w:val="4"/>
          <w:rtl w:val="true"/>
        </w:rPr>
        <w:t>-</w:t>
      </w:r>
      <w:r>
        <w:rPr>
          <w:rtl w:val="true"/>
        </w:rPr>
        <w:t>הדין של בית המשפט קמא</w:t>
      </w:r>
      <w:r>
        <w:rPr>
          <w:rtl w:val="true"/>
        </w:rPr>
        <w:t>:</w:t>
      </w:r>
    </w:p>
    <w:p>
      <w:pPr>
        <w:pStyle w:val="Normal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 xml:space="preserve">באשר לקביעת המתחם </w:t>
      </w:r>
      <w:r>
        <w:rPr>
          <w:rtl w:val="true"/>
        </w:rPr>
        <w:t>–</w:t>
      </w:r>
      <w:r>
        <w:rPr>
          <w:rtl w:val="true"/>
        </w:rPr>
        <w:t xml:space="preserve"> המתחם שקבע בית המשפט קמא איננו הולם את העברה שמדובר בה</w:t>
      </w:r>
      <w:r>
        <w:rPr>
          <w:rtl w:val="true"/>
        </w:rPr>
        <w:t xml:space="preserve">. </w:t>
      </w:r>
      <w:r>
        <w:rPr>
          <w:rtl w:val="true"/>
        </w:rPr>
        <w:t>העברה היא של גידול סם</w:t>
      </w:r>
      <w:r>
        <w:rPr>
          <w:rtl w:val="true"/>
        </w:rPr>
        <w:t xml:space="preserve">, </w:t>
      </w:r>
      <w:r>
        <w:rPr>
          <w:rtl w:val="true"/>
        </w:rPr>
        <w:t>עברה שבצדה הציב המחוקק עונש מאסר בן עשרים שנה</w:t>
      </w:r>
      <w:r>
        <w:rPr>
          <w:rtl w:val="true"/>
        </w:rPr>
        <w:t xml:space="preserve">. </w:t>
      </w:r>
      <w:r>
        <w:rPr>
          <w:rtl w:val="true"/>
        </w:rPr>
        <w:t>תקרת הענישה במקרה זה איננה מילה ריקה מתוכן</w:t>
      </w:r>
      <w:r>
        <w:rPr>
          <w:rtl w:val="true"/>
        </w:rPr>
        <w:t xml:space="preserve">, </w:t>
      </w:r>
      <w:r>
        <w:rPr>
          <w:rtl w:val="true"/>
        </w:rPr>
        <w:t>ועליה לתת את אותותיה בענישה הקונקרטית</w:t>
      </w:r>
      <w:r>
        <w:rPr>
          <w:rtl w:val="true"/>
        </w:rPr>
        <w:t xml:space="preserve">. </w:t>
      </w:r>
      <w:r>
        <w:rPr>
          <w:rtl w:val="true"/>
        </w:rPr>
        <w:t>בית המשפט קמא לא נתן לכך ביטוי</w:t>
      </w:r>
      <w:r>
        <w:rPr>
          <w:rtl w:val="true"/>
        </w:rPr>
        <w:t xml:space="preserve">, </w:t>
      </w:r>
      <w:r>
        <w:rPr>
          <w:rtl w:val="true"/>
        </w:rPr>
        <w:t>וכבר בכך שגה</w:t>
      </w:r>
      <w:r>
        <w:rPr>
          <w:rtl w:val="true"/>
        </w:rPr>
        <w:t xml:space="preserve">. </w:t>
      </w:r>
      <w:r>
        <w:rPr>
          <w:rtl w:val="true"/>
        </w:rPr>
        <w:t>המדינה מפנה בעניין זה לפסקי</w:t>
      </w:r>
      <w:r>
        <w:rPr>
          <w:position w:val="4"/>
          <w:rtl w:val="true"/>
        </w:rPr>
        <w:t>-</w:t>
      </w:r>
      <w:r>
        <w:rPr>
          <w:rtl w:val="true"/>
        </w:rPr>
        <w:t>דין שונים שניתנו גם במותב זה וגם במקומות אחרים</w:t>
      </w:r>
      <w:r>
        <w:rPr>
          <w:rtl w:val="true"/>
        </w:rPr>
        <w:t xml:space="preserve">, </w:t>
      </w:r>
      <w:r>
        <w:rPr>
          <w:rtl w:val="true"/>
        </w:rPr>
        <w:t>שעמדו על משמעותה של העברה הנדונה</w:t>
      </w:r>
      <w:r>
        <w:rPr>
          <w:rtl w:val="true"/>
        </w:rPr>
        <w:t xml:space="preserve">, </w:t>
      </w:r>
      <w:r>
        <w:rPr>
          <w:rtl w:val="true"/>
        </w:rPr>
        <w:t>קרי</w:t>
      </w:r>
      <w:r>
        <w:rPr>
          <w:rtl w:val="true"/>
        </w:rPr>
        <w:t xml:space="preserve">: </w:t>
      </w:r>
      <w:r>
        <w:rPr>
          <w:rtl w:val="true"/>
        </w:rPr>
        <w:t>גידול סם במעבדת סם שאותה פלוני מחזיק בביתו</w:t>
      </w:r>
      <w:r>
        <w:rPr>
          <w:rtl w:val="true"/>
        </w:rPr>
        <w:t>.</w:t>
      </w:r>
    </w:p>
    <w:p>
      <w:pPr>
        <w:pStyle w:val="Normal"/>
        <w:ind w:hanging="720" w:start="144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הנתון השני שבו</w:t>
      </w:r>
      <w:r>
        <w:rPr>
          <w:rtl w:val="true"/>
        </w:rPr>
        <w:t xml:space="preserve">, </w:t>
      </w:r>
      <w:r>
        <w:rPr>
          <w:rtl w:val="true"/>
        </w:rPr>
        <w:t>אליבא דמדינה</w:t>
      </w:r>
      <w:r>
        <w:rPr>
          <w:rtl w:val="true"/>
        </w:rPr>
        <w:t xml:space="preserve">, </w:t>
      </w:r>
      <w:r>
        <w:rPr>
          <w:rtl w:val="true"/>
        </w:rPr>
        <w:t>נפלה טעות בגזר</w:t>
      </w:r>
      <w:r>
        <w:rPr>
          <w:position w:val="4"/>
          <w:rtl w:val="true"/>
        </w:rPr>
        <w:t>-</w:t>
      </w:r>
      <w:r>
        <w:rPr>
          <w:rtl w:val="true"/>
        </w:rPr>
        <w:t>הדין של בית המשפט קמא הוא החלת עקרון ההלימה</w:t>
      </w:r>
      <w:r>
        <w:rPr>
          <w:rtl w:val="true"/>
        </w:rPr>
        <w:t xml:space="preserve">. </w:t>
      </w:r>
      <w:r>
        <w:rPr>
          <w:rtl w:val="true"/>
        </w:rPr>
        <w:t>לטענת המדינה</w:t>
      </w:r>
      <w:r>
        <w:rPr>
          <w:rtl w:val="true"/>
        </w:rPr>
        <w:t xml:space="preserve">, </w:t>
      </w:r>
      <w:r>
        <w:rPr>
          <w:rtl w:val="true"/>
        </w:rPr>
        <w:t>גזר</w:t>
      </w:r>
      <w:r>
        <w:rPr>
          <w:position w:val="4"/>
          <w:rtl w:val="true"/>
        </w:rPr>
        <w:t>-</w:t>
      </w:r>
      <w:r>
        <w:rPr>
          <w:rtl w:val="true"/>
        </w:rPr>
        <w:t xml:space="preserve">הדין של בית המשפט קמא איננו מתחשב דיו במעשה העברה </w:t>
      </w:r>
      <w:r>
        <w:rPr>
          <w:u w:val="single"/>
          <w:rtl w:val="true"/>
        </w:rPr>
        <w:t>בנסיבותיו</w:t>
      </w:r>
      <w:r>
        <w:rPr>
          <w:rtl w:val="true"/>
        </w:rPr>
        <w:t xml:space="preserve">, </w:t>
      </w:r>
      <w:r>
        <w:rPr>
          <w:rtl w:val="true"/>
        </w:rPr>
        <w:t>כפי שמצֻווה עליו לעשות מכוח עקרון ההלימה</w:t>
      </w:r>
      <w:r>
        <w:rPr>
          <w:rtl w:val="true"/>
        </w:rPr>
        <w:t xml:space="preserve">. </w:t>
      </w:r>
      <w:r>
        <w:rPr>
          <w:rtl w:val="true"/>
        </w:rPr>
        <w:t>נסיבותיו כוללות את כל אותו ציוד משוכלל שנמצא במעבדת הסמים</w:t>
      </w:r>
      <w:r>
        <w:rPr>
          <w:rtl w:val="true"/>
        </w:rPr>
        <w:t xml:space="preserve">. </w:t>
      </w:r>
      <w:r>
        <w:rPr>
          <w:rtl w:val="true"/>
        </w:rPr>
        <w:t>בית המשפט כמעט לא נתן ביטוי לכך</w:t>
      </w:r>
      <w:r>
        <w:rPr>
          <w:rtl w:val="true"/>
        </w:rPr>
        <w:t xml:space="preserve">, </w:t>
      </w:r>
      <w:r>
        <w:rPr>
          <w:rtl w:val="true"/>
        </w:rPr>
        <w:t>ובכך כאמור שגה</w:t>
      </w:r>
      <w:r>
        <w:rPr>
          <w:rtl w:val="true"/>
        </w:rPr>
        <w:t xml:space="preserve">. </w:t>
      </w:r>
      <w:r>
        <w:rPr>
          <w:rtl w:val="true"/>
        </w:rPr>
        <w:t>לכך מיתוספת גם העובדה שברשות המשיב נמצאו כ</w:t>
      </w:r>
      <w:r>
        <w:rPr>
          <w:position w:val="4"/>
          <w:rtl w:val="true"/>
        </w:rPr>
        <w:t>-</w:t>
      </w:r>
      <w:r>
        <w:rPr/>
        <w:t>2.5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ג סמים</w:t>
      </w:r>
      <w:r>
        <w:rPr>
          <w:rtl w:val="true"/>
        </w:rPr>
        <w:t xml:space="preserve">. </w:t>
      </w:r>
      <w:r>
        <w:rPr>
          <w:rtl w:val="true"/>
        </w:rPr>
        <w:t xml:space="preserve">כמות זו מורכבת הן מהכמות הגדולה הגלומה בשתילי הסם הן מהכמויות שנתפסו בדירה ושבהחזקתן הודה המשיב </w:t>
      </w:r>
      <w:r>
        <w:rPr>
          <w:rtl w:val="true"/>
        </w:rPr>
        <w:t>(</w:t>
      </w:r>
      <w:r>
        <w:rPr>
          <w:rtl w:val="true"/>
        </w:rPr>
        <w:t>גם אם נמחקה עברת ההחזקה מהוראות החיקוק שמדובר בהן</w:t>
      </w:r>
      <w:r>
        <w:rPr>
          <w:rtl w:val="true"/>
        </w:rPr>
        <w:t>).</w:t>
      </w:r>
    </w:p>
    <w:p>
      <w:pPr>
        <w:pStyle w:val="Normal"/>
        <w:ind w:hanging="720" w:start="144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הנושא השלישי שבו שגה בית המשפט קמא</w:t>
      </w:r>
      <w:r>
        <w:rPr>
          <w:rtl w:val="true"/>
        </w:rPr>
        <w:t xml:space="preserve">, </w:t>
      </w:r>
      <w:r>
        <w:rPr>
          <w:rtl w:val="true"/>
        </w:rPr>
        <w:t>אליבא דמדינה</w:t>
      </w:r>
      <w:r>
        <w:rPr>
          <w:rtl w:val="true"/>
        </w:rPr>
        <w:t xml:space="preserve">, </w:t>
      </w:r>
      <w:r>
        <w:rPr>
          <w:rtl w:val="true"/>
        </w:rPr>
        <w:t>עניינו מיקומו של המשיב בתוך המתחם שקבע</w:t>
      </w:r>
      <w:r>
        <w:rPr>
          <w:rtl w:val="true"/>
        </w:rPr>
        <w:t xml:space="preserve">. </w:t>
      </w:r>
      <w:r>
        <w:rPr>
          <w:rtl w:val="true"/>
        </w:rPr>
        <w:t>המשיב שלפנינו כבר עבר עברה מאותו סוג בדיוק</w:t>
      </w:r>
      <w:r>
        <w:rPr>
          <w:rtl w:val="true"/>
        </w:rPr>
        <w:t xml:space="preserve">, </w:t>
      </w:r>
      <w:r>
        <w:rPr>
          <w:rtl w:val="true"/>
        </w:rPr>
        <w:t>אף אם חלפו שנים רבות מאז ביצועה</w:t>
      </w:r>
      <w:r>
        <w:rPr>
          <w:rtl w:val="true"/>
        </w:rPr>
        <w:t xml:space="preserve">. </w:t>
      </w:r>
      <w:r>
        <w:rPr>
          <w:rtl w:val="true"/>
        </w:rPr>
        <w:t>תסקיר שירות המבחן איננו מצביע על תהליך טיפול מושלם שאותו עבר</w:t>
      </w:r>
      <w:r>
        <w:rPr>
          <w:rtl w:val="true"/>
        </w:rPr>
        <w:t xml:space="preserve">. </w:t>
      </w:r>
      <w:r>
        <w:rPr>
          <w:rtl w:val="true"/>
        </w:rPr>
        <w:t>אדרבה</w:t>
      </w:r>
      <w:r>
        <w:rPr>
          <w:rtl w:val="true"/>
        </w:rPr>
        <w:t xml:space="preserve">, </w:t>
      </w:r>
      <w:r>
        <w:rPr>
          <w:rtl w:val="true"/>
        </w:rPr>
        <w:t>עולה ממנו כי הוא מצוי בתחילתו של תהליך הטיפול</w:t>
      </w:r>
      <w:r>
        <w:rPr>
          <w:rtl w:val="true"/>
        </w:rPr>
        <w:t xml:space="preserve">. </w:t>
      </w:r>
      <w:r>
        <w:rPr>
          <w:rtl w:val="true"/>
        </w:rPr>
        <w:t>מכל מקום למי שיש בעברו עברה קודמת של סחר בסם מסוכן</w:t>
      </w:r>
      <w:r>
        <w:rPr>
          <w:rtl w:val="true"/>
        </w:rPr>
        <w:t xml:space="preserve">, </w:t>
      </w:r>
      <w:r>
        <w:rPr>
          <w:rtl w:val="true"/>
        </w:rPr>
        <w:t>ואגב מתן ביטוי לצורך גם בהרתעת אחרים</w:t>
      </w:r>
      <w:r>
        <w:rPr>
          <w:rtl w:val="true"/>
        </w:rPr>
        <w:t xml:space="preserve">, </w:t>
      </w:r>
      <w:r>
        <w:rPr>
          <w:rtl w:val="true"/>
        </w:rPr>
        <w:t>לא היה מקום להסתפק במאסר שירוצה בדרך של עבודות שירות</w:t>
      </w:r>
      <w:r>
        <w:rPr>
          <w:rtl w:val="true"/>
        </w:rPr>
        <w:t>.</w:t>
      </w:r>
    </w:p>
    <w:p>
      <w:pPr>
        <w:pStyle w:val="Normal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Miriam"/>
        </w:rPr>
        <w:t>6</w:t>
      </w:r>
      <w:r>
        <w:rPr>
          <w:rFonts w:cs="Miriam"/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>הסנגור טוען</w:t>
      </w:r>
      <w:r>
        <w:rPr>
          <w:rtl w:val="true"/>
        </w:rPr>
        <w:t xml:space="preserve">, </w:t>
      </w:r>
      <w:r>
        <w:rPr>
          <w:rtl w:val="true"/>
        </w:rPr>
        <w:t>כפי שניתן לצפות</w:t>
      </w:r>
      <w:r>
        <w:rPr>
          <w:rtl w:val="true"/>
        </w:rPr>
        <w:t xml:space="preserve">, </w:t>
      </w:r>
      <w:r>
        <w:rPr>
          <w:rtl w:val="true"/>
        </w:rPr>
        <w:t>כי לא נפלה כל שגגה בהחלטתה של כבוד השופטת קמא</w:t>
      </w:r>
      <w:r>
        <w:rPr>
          <w:rtl w:val="true"/>
        </w:rPr>
        <w:t xml:space="preserve">. </w:t>
      </w:r>
      <w:r>
        <w:rPr>
          <w:rtl w:val="true"/>
        </w:rPr>
        <w:t>באשר למתחם הענישה הפנה אותנו לפסק</w:t>
      </w:r>
      <w:r>
        <w:rPr>
          <w:position w:val="4"/>
          <w:rtl w:val="true"/>
        </w:rPr>
        <w:t>-</w:t>
      </w:r>
      <w:r>
        <w:rPr>
          <w:rtl w:val="true"/>
        </w:rPr>
        <w:t>הדין של בית המשפט המחוזי במחוז המרכז</w:t>
      </w:r>
      <w:r>
        <w:rPr>
          <w:rtl w:val="true"/>
        </w:rPr>
        <w:t xml:space="preserve">, </w:t>
      </w:r>
      <w:r>
        <w:rPr>
          <w:rtl w:val="true"/>
        </w:rPr>
        <w:t>שבו קבע בית המשפט קמא מתחם דומה כשהוא מקבל בכך ערעור על גזר</w:t>
      </w:r>
      <w:r>
        <w:rPr>
          <w:position w:val="4"/>
          <w:rtl w:val="true"/>
        </w:rPr>
        <w:t>-</w:t>
      </w:r>
      <w:r>
        <w:rPr>
          <w:rtl w:val="true"/>
        </w:rPr>
        <w:t>הדין שהוטל בבית המשפט קמא</w:t>
      </w:r>
      <w:r>
        <w:rPr>
          <w:rtl w:val="true"/>
        </w:rPr>
        <w:t xml:space="preserve">, </w:t>
      </w:r>
      <w:r>
        <w:rPr>
          <w:rtl w:val="true"/>
        </w:rPr>
        <w:t>וכן למתחם שנקבע במותב זה בתיק שבו היו שלושה אישומים והמתחם באשר לכל עברה ועברה הועמד על תקופה שהרף התחתון בה הוא שישה חודשי מאסר</w:t>
      </w:r>
      <w:r>
        <w:rPr>
          <w:rtl w:val="true"/>
        </w:rPr>
        <w:t xml:space="preserve">. </w:t>
      </w:r>
      <w:r>
        <w:rPr>
          <w:rtl w:val="true"/>
        </w:rPr>
        <w:t xml:space="preserve">באשר לכמויות שמדובר בהן </w:t>
      </w:r>
      <w:r>
        <w:rPr>
          <w:rtl w:val="true"/>
        </w:rPr>
        <w:t>–</w:t>
      </w:r>
      <w:r>
        <w:rPr>
          <w:rtl w:val="true"/>
        </w:rPr>
        <w:t xml:space="preserve"> לטענת הסנגור</w:t>
      </w:r>
      <w:r>
        <w:rPr>
          <w:rtl w:val="true"/>
        </w:rPr>
        <w:t xml:space="preserve">, </w:t>
      </w:r>
      <w:r>
        <w:rPr>
          <w:rtl w:val="true"/>
        </w:rPr>
        <w:t>הכמות איננה מסיבית</w:t>
      </w:r>
      <w:r>
        <w:rPr>
          <w:rtl w:val="true"/>
        </w:rPr>
        <w:t xml:space="preserve">. </w:t>
      </w:r>
      <w:r>
        <w:rPr>
          <w:rtl w:val="true"/>
        </w:rPr>
        <w:t>מדובר בתשעה שתילים</w:t>
      </w:r>
      <w:r>
        <w:rPr>
          <w:rtl w:val="true"/>
        </w:rPr>
        <w:t xml:space="preserve">. </w:t>
      </w:r>
      <w:r>
        <w:rPr>
          <w:rtl w:val="true"/>
        </w:rPr>
        <w:t xml:space="preserve">הכמות של </w:t>
      </w:r>
      <w:r>
        <w:rPr/>
        <w:t>2.5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ג היא כמות ברוטו</w:t>
      </w:r>
      <w:r>
        <w:rPr>
          <w:rtl w:val="true"/>
        </w:rPr>
        <w:t xml:space="preserve">, </w:t>
      </w:r>
      <w:r>
        <w:rPr>
          <w:rtl w:val="true"/>
        </w:rPr>
        <w:t>להבדיל מנטו</w:t>
      </w:r>
      <w:r>
        <w:rPr>
          <w:rtl w:val="true"/>
        </w:rPr>
        <w:t xml:space="preserve">. </w:t>
      </w:r>
      <w:r>
        <w:rPr>
          <w:rtl w:val="true"/>
        </w:rPr>
        <w:t>המעבדה עדיין לא הגיעה לכלל שימוש</w:t>
      </w:r>
      <w:r>
        <w:rPr>
          <w:rtl w:val="true"/>
        </w:rPr>
        <w:t xml:space="preserve">; </w:t>
      </w:r>
      <w:r>
        <w:rPr>
          <w:rtl w:val="true"/>
        </w:rPr>
        <w:t>יש לראות את הפעילות בה כשלב הכנה ולא כשלב השימוש בפועל בכל תוצריה</w:t>
      </w:r>
      <w:r>
        <w:rPr>
          <w:rtl w:val="true"/>
        </w:rPr>
        <w:t xml:space="preserve">. </w:t>
      </w:r>
      <w:r>
        <w:rPr>
          <w:rtl w:val="true"/>
        </w:rPr>
        <w:t>לפיכך המתחם שקבע בית המשפט קמא הולם את מעשה העברה בנסיבותיו</w:t>
      </w:r>
      <w:r>
        <w:rPr>
          <w:rtl w:val="true"/>
        </w:rPr>
        <w:t xml:space="preserve">. </w:t>
      </w:r>
      <w:r>
        <w:rPr>
          <w:rtl w:val="true"/>
        </w:rPr>
        <w:t>הסנגור טוען עוד כי המדינה מדברת בשני קולות</w:t>
      </w:r>
      <w:r>
        <w:rPr>
          <w:rtl w:val="true"/>
        </w:rPr>
        <w:t xml:space="preserve">, </w:t>
      </w:r>
      <w:r>
        <w:rPr>
          <w:rtl w:val="true"/>
        </w:rPr>
        <w:t>שאחד מהם שייך לתביעה המשטרתית</w:t>
      </w:r>
      <w:r>
        <w:rPr>
          <w:rtl w:val="true"/>
        </w:rPr>
        <w:t xml:space="preserve">, </w:t>
      </w:r>
      <w:r>
        <w:rPr>
          <w:rtl w:val="true"/>
        </w:rPr>
        <w:t>אשר ניהלה את הדיון בבית המשפט קמא</w:t>
      </w:r>
      <w:r>
        <w:rPr>
          <w:rtl w:val="true"/>
        </w:rPr>
        <w:t xml:space="preserve">, </w:t>
      </w:r>
      <w:r>
        <w:rPr>
          <w:rtl w:val="true"/>
        </w:rPr>
        <w:t xml:space="preserve">והאחר </w:t>
      </w:r>
      <w:r>
        <w:rPr>
          <w:rtl w:val="true"/>
        </w:rPr>
        <w:t>–</w:t>
      </w:r>
      <w:r>
        <w:rPr>
          <w:rtl w:val="true"/>
        </w:rPr>
        <w:t xml:space="preserve"> לפרקליטות</w:t>
      </w:r>
      <w:r>
        <w:rPr>
          <w:rtl w:val="true"/>
        </w:rPr>
        <w:t xml:space="preserve">, </w:t>
      </w:r>
      <w:r>
        <w:rPr>
          <w:rtl w:val="true"/>
        </w:rPr>
        <w:t>המנהלת את הדיון שלפנינו</w:t>
      </w:r>
      <w:r>
        <w:rPr>
          <w:rtl w:val="true"/>
        </w:rPr>
        <w:t xml:space="preserve">. </w:t>
      </w:r>
      <w:r>
        <w:rPr>
          <w:rtl w:val="true"/>
        </w:rPr>
        <w:t>בבית המשפט קמא הסכימה המדינה בסופו של דבר</w:t>
      </w:r>
      <w:r>
        <w:rPr>
          <w:rtl w:val="true"/>
        </w:rPr>
        <w:t xml:space="preserve">, </w:t>
      </w:r>
      <w:r>
        <w:rPr>
          <w:rtl w:val="true"/>
        </w:rPr>
        <w:t>לאחר שעתרה מלכתחילה למעצרו של המשיבה עד תום ההליכים</w:t>
      </w:r>
      <w:r>
        <w:rPr>
          <w:rtl w:val="true"/>
        </w:rPr>
        <w:t xml:space="preserve">, </w:t>
      </w:r>
      <w:r>
        <w:rPr>
          <w:rtl w:val="true"/>
        </w:rPr>
        <w:t>לשחרורו</w:t>
      </w:r>
      <w:r>
        <w:rPr>
          <w:rtl w:val="true"/>
        </w:rPr>
        <w:t xml:space="preserve">, </w:t>
      </w:r>
      <w:r>
        <w:rPr>
          <w:rtl w:val="true"/>
        </w:rPr>
        <w:t>ללמדך שלא ראתה את העניין בחומרה</w:t>
      </w:r>
      <w:r>
        <w:rPr>
          <w:rtl w:val="true"/>
        </w:rPr>
        <w:t xml:space="preserve">. </w:t>
      </w:r>
      <w:r>
        <w:rPr>
          <w:rtl w:val="true"/>
        </w:rPr>
        <w:t>וראה זה פלא</w:t>
      </w:r>
      <w:r>
        <w:rPr>
          <w:rtl w:val="true"/>
        </w:rPr>
        <w:t xml:space="preserve">: </w:t>
      </w:r>
      <w:r>
        <w:rPr>
          <w:rtl w:val="true"/>
        </w:rPr>
        <w:t>בשלב שלאחר מתן גזר</w:t>
      </w:r>
      <w:r>
        <w:rPr>
          <w:position w:val="4"/>
          <w:rtl w:val="true"/>
        </w:rPr>
        <w:t>-</w:t>
      </w:r>
      <w:r>
        <w:rPr>
          <w:rtl w:val="true"/>
        </w:rPr>
        <w:t>הדין עותרת אותה מדינה</w:t>
      </w:r>
      <w:r>
        <w:rPr>
          <w:rtl w:val="true"/>
        </w:rPr>
        <w:t xml:space="preserve">, </w:t>
      </w:r>
      <w:r>
        <w:rPr>
          <w:rtl w:val="true"/>
        </w:rPr>
        <w:t>גם אם מפי רשות אחרת</w:t>
      </w:r>
      <w:r>
        <w:rPr>
          <w:rtl w:val="true"/>
        </w:rPr>
        <w:t xml:space="preserve">, </w:t>
      </w:r>
      <w:r>
        <w:rPr>
          <w:rtl w:val="true"/>
        </w:rPr>
        <w:t>להחמרה בענישה</w:t>
      </w:r>
      <w:r>
        <w:rPr>
          <w:rtl w:val="true"/>
        </w:rPr>
        <w:t xml:space="preserve">, </w:t>
      </w:r>
      <w:r>
        <w:rPr>
          <w:rtl w:val="true"/>
        </w:rPr>
        <w:t>לאחר שבית המשפט קמא מצא להסתפק במאסר שלא יינשא מאחורי סורג ובריח</w:t>
      </w:r>
      <w:r>
        <w:rPr>
          <w:rtl w:val="true"/>
        </w:rPr>
        <w:t>.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 xml:space="preserve">באשר לתהליך שעבר המשיב </w:t>
      </w:r>
      <w:r>
        <w:rPr>
          <w:rtl w:val="true"/>
        </w:rPr>
        <w:t>–</w:t>
      </w:r>
      <w:r>
        <w:rPr>
          <w:rtl w:val="true"/>
        </w:rPr>
        <w:t xml:space="preserve"> הסנגור המציא לנו כאמור את חוות הדעת העדכנית שהזכרנו</w:t>
      </w:r>
      <w:r>
        <w:rPr>
          <w:rtl w:val="true"/>
        </w:rPr>
        <w:t xml:space="preserve">, </w:t>
      </w:r>
      <w:r>
        <w:rPr>
          <w:rtl w:val="true"/>
        </w:rPr>
        <w:t xml:space="preserve">מיום </w:t>
      </w:r>
      <w:r>
        <w:rPr/>
        <w:t>07.12.15</w:t>
      </w:r>
      <w:r>
        <w:rPr>
          <w:rtl w:val="true"/>
        </w:rPr>
        <w:t xml:space="preserve">, </w:t>
      </w:r>
      <w:r>
        <w:rPr>
          <w:rtl w:val="true"/>
        </w:rPr>
        <w:t>אשר מתעדת מפגשים וטיפול שעבר המשיב במכון הירושלמי לטיפול בבעיות סמים ובתחלואה כפולה</w:t>
      </w:r>
      <w:r>
        <w:rPr>
          <w:rtl w:val="true"/>
        </w:rPr>
        <w:t xml:space="preserve">. </w:t>
      </w:r>
      <w:r>
        <w:rPr>
          <w:rtl w:val="true"/>
        </w:rPr>
        <w:t>מחוות דעת זו עולה כי המשיב התמיד בטיפול והצליח בו</w:t>
      </w:r>
      <w:r>
        <w:rPr>
          <w:rtl w:val="true"/>
        </w:rPr>
        <w:t xml:space="preserve">, </w:t>
      </w:r>
      <w:r>
        <w:rPr>
          <w:rtl w:val="true"/>
        </w:rPr>
        <w:t>שעל</w:t>
      </w:r>
      <w:r>
        <w:rPr>
          <w:position w:val="4"/>
          <w:rtl w:val="true"/>
        </w:rPr>
        <w:t>-</w:t>
      </w:r>
      <w:r>
        <w:rPr>
          <w:rtl w:val="true"/>
        </w:rPr>
        <w:t>כן אין מקום להתערב בגזר</w:t>
      </w:r>
      <w:r>
        <w:rPr>
          <w:position w:val="4"/>
          <w:rtl w:val="true"/>
        </w:rPr>
        <w:t>-</w:t>
      </w:r>
      <w:r>
        <w:rPr>
          <w:rtl w:val="true"/>
        </w:rPr>
        <w:t>הדין של בית המשפט קמא גם מטעם זה</w:t>
      </w:r>
      <w:r>
        <w:rPr>
          <w:rtl w:val="true"/>
        </w:rPr>
        <w:t>.</w:t>
      </w:r>
    </w:p>
    <w:p>
      <w:pPr>
        <w:pStyle w:val="Normal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בשורה התחתונה העתירה היא כאמור להשאיר את הענישה בעינה</w:t>
      </w:r>
      <w:r>
        <w:rPr>
          <w:rtl w:val="true"/>
        </w:rPr>
        <w:t>.</w:t>
      </w:r>
    </w:p>
    <w:p>
      <w:pPr>
        <w:pStyle w:val="Normal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cs="Miriam"/>
          <w:sz w:val="20"/>
          <w:szCs w:val="20"/>
        </w:rPr>
      </w:pPr>
      <w:r>
        <w:rPr>
          <w:rFonts w:cs="Miriam"/>
          <w:sz w:val="20"/>
          <w:sz w:val="20"/>
          <w:szCs w:val="20"/>
          <w:rtl w:val="true"/>
        </w:rPr>
        <w:t>ד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י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ו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ן</w:t>
      </w:r>
      <w:r>
        <w:rPr>
          <w:sz w:val="20"/>
          <w:sz w:val="20"/>
          <w:szCs w:val="20"/>
          <w:rtl w:val="true"/>
        </w:rPr>
        <w:t xml:space="preserve">   </w:t>
      </w:r>
      <w:r>
        <w:rPr>
          <w:rFonts w:cs="Miriam"/>
          <w:sz w:val="20"/>
          <w:sz w:val="20"/>
          <w:szCs w:val="20"/>
          <w:rtl w:val="true"/>
        </w:rPr>
        <w:t>ו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ה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כ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ר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ע</w:t>
      </w:r>
      <w:r>
        <w:rPr>
          <w:sz w:val="20"/>
          <w:sz w:val="20"/>
          <w:szCs w:val="20"/>
          <w:rtl w:val="true"/>
        </w:rPr>
        <w:t xml:space="preserve"> </w:t>
      </w:r>
      <w:r>
        <w:rPr>
          <w:rFonts w:cs="Miriam"/>
          <w:sz w:val="20"/>
          <w:sz w:val="20"/>
          <w:szCs w:val="20"/>
          <w:rtl w:val="true"/>
        </w:rPr>
        <w:t>ה</w:t>
      </w:r>
    </w:p>
    <w:p>
      <w:pPr>
        <w:pStyle w:val="Normal"/>
        <w:ind w:end="0"/>
        <w:jc w:val="both"/>
        <w:rPr>
          <w:rFonts w:cs="Miriam"/>
          <w:b/>
          <w:bCs/>
          <w:sz w:val="20"/>
          <w:szCs w:val="20"/>
        </w:rPr>
      </w:pPr>
      <w:r>
        <w:rPr>
          <w:rFonts w:cs="Miriam"/>
          <w:b/>
          <w:bCs/>
          <w:sz w:val="20"/>
          <w:szCs w:val="20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Miriam"/>
        </w:rPr>
        <w:t>7</w:t>
      </w:r>
      <w:r>
        <w:rPr>
          <w:rFonts w:cs="Miriam"/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>לצערנו</w:t>
      </w:r>
      <w:r>
        <w:rPr>
          <w:rtl w:val="true"/>
        </w:rPr>
        <w:t xml:space="preserve">, </w:t>
      </w:r>
      <w:r>
        <w:rPr>
          <w:rtl w:val="true"/>
        </w:rPr>
        <w:t>איננו יכולות לומר דברים שלא נאמרו מפינו כבר בתיקים קודמים בנושא זה</w:t>
      </w:r>
      <w:r>
        <w:rPr>
          <w:rtl w:val="true"/>
        </w:rPr>
        <w:t xml:space="preserve">, </w:t>
      </w:r>
      <w:r>
        <w:rPr>
          <w:rtl w:val="true"/>
        </w:rPr>
        <w:t>לרבות האמירה כי אין בתקופה האחרונה שבוע דיונים שבו אין ניצבות לפנינו לפחות שתיים–שלוש מעבדות סמים הממוקמות במקומות שונים שמפיקות כמויות סמים גדולות</w:t>
      </w:r>
      <w:r>
        <w:rPr>
          <w:rtl w:val="true"/>
        </w:rPr>
        <w:t xml:space="preserve">. </w:t>
      </w:r>
      <w:r>
        <w:rPr>
          <w:rtl w:val="true"/>
        </w:rPr>
        <w:t>אותן כמויות סמים עלולות למצוא את דרכן לשוק הסמים</w:t>
      </w:r>
      <w:r>
        <w:rPr>
          <w:rtl w:val="true"/>
        </w:rPr>
        <w:t xml:space="preserve">, </w:t>
      </w:r>
      <w:r>
        <w:rPr>
          <w:rtl w:val="true"/>
        </w:rPr>
        <w:t>על כל התוצאות הנובעות מכך</w:t>
      </w:r>
      <w:r>
        <w:rPr>
          <w:rtl w:val="true"/>
        </w:rPr>
        <w:t xml:space="preserve">. </w:t>
      </w:r>
      <w:r>
        <w:rPr>
          <w:rtl w:val="true"/>
        </w:rPr>
        <w:t>תופעת מעבדות הסמים הפכה לרעה חולה שמדינת ישראל כנראה לא מצאה עדיין את הכלים הנכונים להתמודד עמה</w:t>
      </w:r>
      <w:r>
        <w:rPr>
          <w:rtl w:val="true"/>
        </w:rPr>
        <w:t xml:space="preserve">, </w:t>
      </w:r>
      <w:r>
        <w:rPr>
          <w:rtl w:val="true"/>
        </w:rPr>
        <w:t>בוודאי לא במלוא היקפה</w:t>
      </w:r>
      <w:r>
        <w:rPr>
          <w:rtl w:val="true"/>
        </w:rPr>
        <w:t xml:space="preserve">. </w:t>
      </w:r>
      <w:r>
        <w:rPr>
          <w:rtl w:val="true"/>
        </w:rPr>
        <w:t>הדרך להקמת מעבדת סמים כנראה איננה מורכבת ומסובכת במיוחד</w:t>
      </w:r>
      <w:r>
        <w:rPr>
          <w:rtl w:val="true"/>
        </w:rPr>
        <w:t xml:space="preserve">, </w:t>
      </w:r>
      <w:r>
        <w:rPr>
          <w:rtl w:val="true"/>
        </w:rPr>
        <w:t>ושמא משום כך מעבדות צצות כפטריות אחרי הגשם והיו למכת מדינה</w:t>
      </w:r>
      <w:r>
        <w:rPr>
          <w:rtl w:val="true"/>
        </w:rPr>
        <w:t xml:space="preserve">. </w:t>
      </w:r>
      <w:r>
        <w:rPr>
          <w:rtl w:val="true"/>
        </w:rPr>
        <w:t>גם במקרה הנוכחי כתב האישום מציין בין היתר כי המשיב רכש זרעים לצורך המעבדה דרך אתר באינטרנט</w:t>
      </w:r>
      <w:r>
        <w:rPr>
          <w:rtl w:val="true"/>
        </w:rPr>
        <w:t xml:space="preserve">, </w:t>
      </w:r>
      <w:r>
        <w:rPr>
          <w:rtl w:val="true"/>
        </w:rPr>
        <w:t>ומה פשוט וקל יותר מזה</w:t>
      </w:r>
      <w:r>
        <w:rPr>
          <w:rtl w:val="true"/>
        </w:rPr>
        <w:t xml:space="preserve">? </w:t>
      </w:r>
      <w:r>
        <w:rPr>
          <w:rtl w:val="true"/>
        </w:rPr>
        <w:t>באותה צורה רכש ככל הנראה גם את הציוד</w:t>
      </w:r>
      <w:r>
        <w:rPr>
          <w:rtl w:val="true"/>
        </w:rPr>
        <w:t xml:space="preserve">, </w:t>
      </w:r>
      <w:r>
        <w:rPr>
          <w:rtl w:val="true"/>
        </w:rPr>
        <w:t>וכך הוקמה לה מעבדה נוספת מסוג אותן מעבדות שמשחררות לשוק רווי הסמים כמויות גדולות במיוחד של סם</w:t>
      </w:r>
      <w:r>
        <w:rPr>
          <w:rtl w:val="true"/>
        </w:rPr>
        <w:t xml:space="preserve">. </w:t>
      </w:r>
      <w:r>
        <w:rPr>
          <w:rtl w:val="true"/>
        </w:rPr>
        <w:t>המעבדה שמדובר בה בתיק הנוכחי היא מעבדה משוכללת במיוחד</w:t>
      </w:r>
      <w:r>
        <w:rPr>
          <w:rtl w:val="true"/>
        </w:rPr>
        <w:t xml:space="preserve">, </w:t>
      </w:r>
      <w:r>
        <w:rPr>
          <w:rtl w:val="true"/>
        </w:rPr>
        <w:t>גם בהשוואה למעבדות שאנו נתקלות בהן</w:t>
      </w:r>
      <w:r>
        <w:rPr>
          <w:rtl w:val="true"/>
        </w:rPr>
        <w:t xml:space="preserve">. </w:t>
      </w:r>
      <w:r>
        <w:rPr>
          <w:rtl w:val="true"/>
        </w:rPr>
        <w:t>כפי שציינּו בפתח הדברים</w:t>
      </w:r>
      <w:r>
        <w:rPr>
          <w:rtl w:val="true"/>
        </w:rPr>
        <w:t xml:space="preserve">, </w:t>
      </w:r>
      <w:r>
        <w:rPr>
          <w:rtl w:val="true"/>
        </w:rPr>
        <w:t>אין לך פריט שאינו מנוי ברשימת הפריטים אשר נתפסו בדירתו השכורה של המשיב</w:t>
      </w:r>
      <w:r>
        <w:rPr>
          <w:rtl w:val="true"/>
        </w:rPr>
        <w:t xml:space="preserve">, </w:t>
      </w:r>
      <w:r>
        <w:rPr>
          <w:rtl w:val="true"/>
        </w:rPr>
        <w:t>אותה דירה שבה הוקמה מעבדת הסמים</w:t>
      </w:r>
      <w:r>
        <w:rPr>
          <w:rtl w:val="true"/>
        </w:rPr>
        <w:t xml:space="preserve">. </w:t>
      </w:r>
      <w:r>
        <w:rPr>
          <w:rtl w:val="true"/>
        </w:rPr>
        <w:t>הכמויות שמדובר בהן בתיק זה אף הן אינו מבוטלות</w:t>
      </w:r>
      <w:r>
        <w:rPr>
          <w:rtl w:val="true"/>
        </w:rPr>
        <w:t xml:space="preserve">: </w:t>
      </w:r>
      <w:r>
        <w:rPr>
          <w:rtl w:val="true"/>
        </w:rPr>
        <w:t xml:space="preserve">הן הכמויות של הקנביס הגולמי באותם תשעה שתילים שמדובר בהם בפריט ח לסעיף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לעובדות האישום הן הכמויות הנוספות שמוזכרות ושנתפסו בחלקים שונים בדירת המגורים</w:t>
      </w:r>
      <w:r>
        <w:rPr>
          <w:rtl w:val="true"/>
        </w:rPr>
        <w:t>.</w:t>
      </w:r>
    </w:p>
    <w:p>
      <w:pPr>
        <w:pStyle w:val="Normal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לא בכדִי הציב המחוקק בצדה של עברת גידול הסם עונש מקסימלי השווה לעונש שמוטל על הפצת סם וסחר בסמים</w:t>
      </w:r>
      <w:r>
        <w:rPr>
          <w:rtl w:val="true"/>
        </w:rPr>
        <w:t xml:space="preserve">. </w:t>
      </w:r>
      <w:r>
        <w:rPr>
          <w:rtl w:val="true"/>
        </w:rPr>
        <w:t>יש בכך אמירה נורמטיבית לצד אמירה אופרטיבית</w:t>
      </w:r>
      <w:r>
        <w:rPr>
          <w:rtl w:val="true"/>
        </w:rPr>
        <w:t xml:space="preserve">. </w:t>
      </w:r>
      <w:r>
        <w:rPr>
          <w:rtl w:val="true"/>
        </w:rPr>
        <w:t>מידת החומרה שבגידול סם איננה נופלת מזו של הפצת הסם</w:t>
      </w:r>
      <w:r>
        <w:rPr>
          <w:rtl w:val="true"/>
        </w:rPr>
        <w:t xml:space="preserve">. </w:t>
      </w:r>
      <w:r>
        <w:rPr>
          <w:rtl w:val="true"/>
        </w:rPr>
        <w:t>מי שמגדל סם בכמויות כאלה חזקה עליו שאיננו מתכוון רק לשימוש עצמי</w:t>
      </w:r>
      <w:r>
        <w:rPr>
          <w:rtl w:val="true"/>
        </w:rPr>
        <w:t xml:space="preserve">, </w:t>
      </w:r>
      <w:r>
        <w:rPr>
          <w:rtl w:val="true"/>
        </w:rPr>
        <w:t xml:space="preserve">וכך גם נאמר בפירוש בעובדות כתב האישום שבו הודה המשיב </w:t>
      </w:r>
      <w:r>
        <w:rPr>
          <w:rFonts w:cs="Miriam"/>
          <w:rtl w:val="true"/>
        </w:rPr>
        <w:t>,,</w:t>
      </w:r>
      <w:r>
        <w:rPr>
          <w:rtl w:val="true"/>
        </w:rPr>
        <w:t>[...]</w:t>
      </w:r>
      <w:r>
        <w:rPr>
          <w:rFonts w:cs="Miriam"/>
          <w:rtl w:val="true"/>
        </w:rPr>
        <w:t xml:space="preserve"> </w:t>
      </w:r>
      <w:r>
        <w:rPr>
          <w:rFonts w:cs="Miriam"/>
          <w:rtl w:val="true"/>
        </w:rPr>
        <w:t>והכל</w:t>
      </w:r>
      <w:r>
        <w:rPr>
          <w:rtl w:val="true"/>
        </w:rPr>
        <w:t xml:space="preserve"> </w:t>
      </w:r>
      <w:r>
        <w:rPr>
          <w:rFonts w:cs="Miriam"/>
          <w:rtl w:val="true"/>
        </w:rPr>
        <w:t>לצורך</w:t>
      </w:r>
      <w:r>
        <w:rPr>
          <w:rtl w:val="true"/>
        </w:rPr>
        <w:t xml:space="preserve"> </w:t>
      </w:r>
      <w:r>
        <w:rPr>
          <w:rFonts w:cs="Miriam"/>
          <w:rtl w:val="true"/>
        </w:rPr>
        <w:t>גידול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הסם</w:t>
      </w:r>
      <w:r>
        <w:rPr>
          <w:rtl w:val="true"/>
        </w:rPr>
        <w:t xml:space="preserve"> </w:t>
      </w:r>
      <w:r>
        <w:rPr>
          <w:rFonts w:cs="Miriam"/>
          <w:rtl w:val="true"/>
        </w:rPr>
        <w:t>וזאת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שלא</w:t>
      </w:r>
      <w:r>
        <w:rPr>
          <w:rtl w:val="true"/>
        </w:rPr>
        <w:t xml:space="preserve"> </w:t>
      </w:r>
      <w:r>
        <w:rPr>
          <w:rFonts w:cs="Miriam"/>
          <w:rtl w:val="true"/>
        </w:rPr>
        <w:t>לצריכתו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העצמית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ללא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היתר</w:t>
      </w:r>
      <w:r>
        <w:rPr>
          <w:rtl w:val="true"/>
        </w:rPr>
        <w:t xml:space="preserve"> </w:t>
      </w:r>
      <w:r>
        <w:rPr>
          <w:rFonts w:cs="Miriam"/>
          <w:rtl w:val="true"/>
        </w:rPr>
        <w:t>או</w:t>
      </w:r>
      <w:r>
        <w:rPr>
          <w:rtl w:val="true"/>
        </w:rPr>
        <w:t xml:space="preserve"> </w:t>
      </w:r>
      <w:r>
        <w:rPr>
          <w:rFonts w:cs="Miriam"/>
          <w:rtl w:val="true"/>
        </w:rPr>
        <w:t>רישיון</w:t>
      </w:r>
      <w:r>
        <w:rPr>
          <w:rtl w:val="true"/>
        </w:rPr>
        <w:t xml:space="preserve"> </w:t>
      </w:r>
      <w:r>
        <w:rPr>
          <w:rFonts w:cs="Miriam"/>
          <w:rtl w:val="true"/>
        </w:rPr>
        <w:t>כדין</w:t>
      </w:r>
      <w:r>
        <w:rPr>
          <w:rtl w:val="true"/>
        </w:rPr>
        <w:t>[...]</w:t>
      </w:r>
      <w:r>
        <w:rPr>
          <w:rFonts w:cs="Miriam"/>
          <w:rtl w:val="true"/>
        </w:rPr>
        <w:t>''</w:t>
      </w:r>
      <w:r>
        <w:rPr>
          <w:rtl w:val="true"/>
        </w:rPr>
        <w:t xml:space="preserve"> (</w:t>
      </w:r>
      <w:r>
        <w:rPr>
          <w:rtl w:val="true"/>
        </w:rPr>
        <w:t xml:space="preserve">סעיף </w:t>
      </w:r>
      <w:r>
        <w:rPr/>
        <w:t>1</w:t>
      </w:r>
      <w:r>
        <w:rPr>
          <w:rtl w:val="true"/>
        </w:rPr>
        <w:t>א</w:t>
      </w:r>
      <w:r>
        <w:rPr>
          <w:rtl w:val="true"/>
        </w:rPr>
        <w:t xml:space="preserve">). </w:t>
      </w:r>
      <w:r>
        <w:rPr>
          <w:rtl w:val="true"/>
        </w:rPr>
        <w:t>המתחם הנכון</w:t>
      </w:r>
      <w:r>
        <w:rPr>
          <w:rtl w:val="true"/>
        </w:rPr>
        <w:t xml:space="preserve">, </w:t>
      </w:r>
      <w:r>
        <w:rPr>
          <w:rtl w:val="true"/>
        </w:rPr>
        <w:t>כפי שאמרנו בכמה וכמה תיקים ושצוטט בהודעת הערעור</w:t>
      </w:r>
      <w:r>
        <w:rPr>
          <w:rtl w:val="true"/>
        </w:rPr>
        <w:t xml:space="preserve">, </w:t>
      </w:r>
      <w:r>
        <w:rPr>
          <w:rtl w:val="true"/>
        </w:rPr>
        <w:t>צריך לעמוד על תקופה שתחילתה במאסר שיינשא מאחורי סורג ובריח ולא במאסר שיינשא בעבודות שירות</w:t>
      </w:r>
      <w:r>
        <w:rPr>
          <w:rtl w:val="true"/>
        </w:rPr>
        <w:t>.</w:t>
      </w:r>
    </w:p>
    <w:p>
      <w:pPr>
        <w:pStyle w:val="Normal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Miriam"/>
        </w:rPr>
        <w:t>8</w:t>
      </w:r>
      <w:r>
        <w:rPr>
          <w:rFonts w:cs="Miriam"/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>הסנגור הפנה אותנו לפסק</w:t>
      </w:r>
      <w:r>
        <w:rPr>
          <w:position w:val="4"/>
          <w:rtl w:val="true"/>
        </w:rPr>
        <w:t>-</w:t>
      </w:r>
      <w:r>
        <w:rPr>
          <w:rtl w:val="true"/>
        </w:rPr>
        <w:t xml:space="preserve">הדין שנתן מותב זה </w:t>
      </w:r>
      <w:r>
        <w:rPr>
          <w:rtl w:val="true"/>
        </w:rPr>
        <w:t>(</w:t>
      </w:r>
      <w:r>
        <w:rPr>
          <w:rtl w:val="true"/>
        </w:rPr>
        <w:t>בחלקו</w:t>
      </w:r>
      <w:r>
        <w:rPr>
          <w:rtl w:val="true"/>
        </w:rPr>
        <w:t xml:space="preserve">) </w:t>
      </w:r>
      <w:hyperlink r:id="rId7">
        <w:r>
          <w:rPr>
            <w:rStyle w:val="Hyperlink"/>
            <w:rtl w:val="true"/>
          </w:rPr>
          <w:t>בע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 xml:space="preserve">פ </w:t>
        </w:r>
        <w:r>
          <w:rPr>
            <w:rStyle w:val="Hyperlink"/>
          </w:rPr>
          <w:t>46572-03-15</w:t>
        </w:r>
      </w:hyperlink>
      <w:r>
        <w:rPr>
          <w:rtl w:val="true"/>
        </w:rPr>
        <w:t xml:space="preserve"> </w:t>
      </w:r>
      <w:r>
        <w:rPr>
          <w:rFonts w:cs="Miriam"/>
          <w:rtl w:val="true"/>
        </w:rPr>
        <w:t>מדינת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ישראל</w:t>
      </w:r>
      <w:r>
        <w:rPr>
          <w:rtl w:val="true"/>
        </w:rPr>
        <w:t xml:space="preserve"> </w:t>
      </w:r>
      <w:r>
        <w:rPr>
          <w:rFonts w:cs="Miriam"/>
          <w:rtl w:val="true"/>
        </w:rPr>
        <w:t>נ</w:t>
      </w:r>
      <w:r>
        <w:rPr>
          <w:rFonts w:cs="Miriam"/>
          <w:rtl w:val="true"/>
        </w:rPr>
        <w:t xml:space="preserve">' </w:t>
      </w:r>
      <w:r>
        <w:rPr>
          <w:rFonts w:cs="Miriam"/>
          <w:rtl w:val="true"/>
        </w:rPr>
        <w:t>זרובסקי</w:t>
      </w:r>
      <w:r>
        <w:rPr>
          <w:rtl w:val="true"/>
        </w:rPr>
        <w:t xml:space="preserve">. </w:t>
      </w:r>
      <w:r>
        <w:rPr>
          <w:rtl w:val="true"/>
        </w:rPr>
        <w:t>באותו עניין הושם הדגש במתחמם של כל שלושת האישומים גם יחד</w:t>
      </w:r>
      <w:r>
        <w:rPr>
          <w:rtl w:val="true"/>
        </w:rPr>
        <w:t xml:space="preserve">, </w:t>
      </w:r>
      <w:r>
        <w:rPr>
          <w:rtl w:val="true"/>
        </w:rPr>
        <w:t>שעל</w:t>
      </w:r>
      <w:r>
        <w:rPr>
          <w:position w:val="4"/>
          <w:rtl w:val="true"/>
        </w:rPr>
        <w:t>-</w:t>
      </w:r>
      <w:r>
        <w:rPr>
          <w:rtl w:val="true"/>
        </w:rPr>
        <w:t xml:space="preserve">כן ראינו לנכון להסתפק במתחם פרטני באשר לכל אישום שינוע בין שישה חודשי מאסר לבין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 xml:space="preserve">חודשי מאסר </w:t>
      </w:r>
      <w:r>
        <w:rPr>
          <w:rtl w:val="true"/>
        </w:rPr>
        <w:t>(</w:t>
      </w:r>
      <w:r>
        <w:rPr>
          <w:rtl w:val="true"/>
        </w:rPr>
        <w:t xml:space="preserve">התוצאה העונשית הכוללת הייתה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 מאסר</w:t>
      </w:r>
      <w:r>
        <w:rPr>
          <w:rtl w:val="true"/>
        </w:rPr>
        <w:t xml:space="preserve">). </w:t>
      </w:r>
      <w:r>
        <w:rPr>
          <w:rtl w:val="true"/>
        </w:rPr>
        <w:t xml:space="preserve">מכל מקום אפילו יצאנו מנקודת הנחה כי מתחם הענישה בתיק זה נע בין שישה חודשי מאסר לבין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 מאסר</w:t>
      </w:r>
      <w:r>
        <w:rPr>
          <w:rtl w:val="true"/>
        </w:rPr>
        <w:t xml:space="preserve">, </w:t>
      </w:r>
      <w:r>
        <w:rPr>
          <w:rtl w:val="true"/>
        </w:rPr>
        <w:t>עדיין לא היה מקום למקם את המשיב שלפנינו בתחתיתו</w:t>
      </w:r>
      <w:r>
        <w:rPr>
          <w:rtl w:val="true"/>
        </w:rPr>
        <w:t>.</w:t>
      </w:r>
    </w:p>
    <w:p>
      <w:pPr>
        <w:pStyle w:val="Normal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Miriam"/>
        </w:rPr>
        <w:t>9</w:t>
      </w:r>
      <w:r>
        <w:rPr>
          <w:rFonts w:cs="Miriam"/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>בכך אנו מגיעות לנסיבותיו האישיות של המשיב</w:t>
      </w:r>
      <w:r>
        <w:rPr>
          <w:rtl w:val="true"/>
        </w:rPr>
        <w:t xml:space="preserve">, </w:t>
      </w:r>
      <w:r>
        <w:rPr>
          <w:rtl w:val="true"/>
        </w:rPr>
        <w:t>ובהיבט זה אנו רוצות לתת את הדעת לשני נושאים</w:t>
      </w:r>
      <w:r>
        <w:rPr>
          <w:rtl w:val="true"/>
        </w:rPr>
        <w:t xml:space="preserve">: </w:t>
      </w:r>
      <w:r>
        <w:rPr>
          <w:rtl w:val="true"/>
        </w:rPr>
        <w:t>הנושא הראשון הוא העולה מתסקיר שירות המבחן שהוצג לפני בית המשפט קמא</w:t>
      </w:r>
      <w:r>
        <w:rPr>
          <w:rtl w:val="true"/>
        </w:rPr>
        <w:t xml:space="preserve">. </w:t>
      </w:r>
      <w:r>
        <w:rPr>
          <w:rtl w:val="true"/>
        </w:rPr>
        <w:t xml:space="preserve">כבר ציינּו לעיל שהתסקיר העיקרי הוא מיום </w:t>
      </w:r>
      <w:r>
        <w:rPr/>
        <w:t>15.03.15</w:t>
      </w:r>
      <w:r>
        <w:rPr>
          <w:rtl w:val="true"/>
        </w:rPr>
        <w:t xml:space="preserve">. </w:t>
      </w:r>
      <w:r>
        <w:rPr>
          <w:rtl w:val="true"/>
        </w:rPr>
        <w:t>בתסקיר הנוסף אין התייחסות לעמדותיו של המשיב באשר לביצוע העברה</w:t>
      </w:r>
      <w:r>
        <w:rPr>
          <w:rtl w:val="true"/>
        </w:rPr>
        <w:t xml:space="preserve">. </w:t>
      </w:r>
      <w:r>
        <w:rPr>
          <w:rtl w:val="true"/>
        </w:rPr>
        <w:t>באותו תסקיר שירות המבחן אומר בין היתר כדלקמן</w:t>
      </w:r>
      <w:r>
        <w:rPr>
          <w:rtl w:val="true"/>
        </w:rPr>
        <w:t xml:space="preserve">: </w:t>
      </w:r>
      <w:r>
        <w:rPr>
          <w:rFonts w:cs="Miriam"/>
          <w:rtl w:val="true"/>
        </w:rPr>
        <w:t>,,</w:t>
      </w:r>
      <w:r>
        <w:rPr>
          <w:rFonts w:cs="Miriam"/>
          <w:rtl w:val="true"/>
        </w:rPr>
        <w:t>באשר</w:t>
      </w:r>
      <w:r>
        <w:rPr>
          <w:rtl w:val="true"/>
        </w:rPr>
        <w:t xml:space="preserve"> </w:t>
      </w:r>
      <w:r>
        <w:rPr>
          <w:rFonts w:cs="Miriam"/>
          <w:rtl w:val="true"/>
        </w:rPr>
        <w:t>לעבירה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הנוכחית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גיא</w:t>
      </w:r>
      <w:r>
        <w:rPr>
          <w:rtl w:val="true"/>
        </w:rPr>
        <w:t xml:space="preserve"> </w:t>
      </w:r>
      <w:r>
        <w:rPr>
          <w:rFonts w:cs="Miriam"/>
          <w:rtl w:val="true"/>
        </w:rPr>
        <w:t>לוקח</w:t>
      </w:r>
      <w:r>
        <w:rPr>
          <w:rtl w:val="true"/>
        </w:rPr>
        <w:t xml:space="preserve"> </w:t>
      </w:r>
      <w:r>
        <w:rPr>
          <w:rFonts w:cs="Miriam"/>
          <w:rtl w:val="true"/>
        </w:rPr>
        <w:t>אחריות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על</w:t>
      </w:r>
      <w:r>
        <w:rPr>
          <w:rtl w:val="true"/>
        </w:rPr>
        <w:t xml:space="preserve"> </w:t>
      </w:r>
      <w:r>
        <w:rPr>
          <w:rFonts w:cs="Miriam"/>
          <w:rtl w:val="true"/>
        </w:rPr>
        <w:t>מעשיו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המתוארים</w:t>
      </w:r>
      <w:r>
        <w:rPr>
          <w:rFonts w:cs="Miriam"/>
          <w:rtl w:val="true"/>
        </w:rPr>
        <w:t xml:space="preserve">. </w:t>
      </w:r>
      <w:r>
        <w:rPr>
          <w:rFonts w:cs="Miriam"/>
          <w:rtl w:val="true"/>
        </w:rPr>
        <w:t>מסר</w:t>
      </w:r>
      <w:r>
        <w:rPr>
          <w:rtl w:val="true"/>
        </w:rPr>
        <w:t xml:space="preserve"> </w:t>
      </w:r>
      <w:r>
        <w:rPr>
          <w:rFonts w:cs="Miriam"/>
          <w:rtl w:val="true"/>
        </w:rPr>
        <w:t>כי</w:t>
      </w:r>
      <w:r>
        <w:rPr>
          <w:rtl w:val="true"/>
        </w:rPr>
        <w:t xml:space="preserve"> </w:t>
      </w:r>
      <w:r>
        <w:rPr>
          <w:rFonts w:cs="Miriam"/>
          <w:rtl w:val="true"/>
        </w:rPr>
        <w:t>בשל</w:t>
      </w:r>
      <w:r>
        <w:rPr>
          <w:rtl w:val="true"/>
        </w:rPr>
        <w:t xml:space="preserve"> </w:t>
      </w:r>
      <w:r>
        <w:rPr>
          <w:rFonts w:cs="Miriam"/>
          <w:rtl w:val="true"/>
        </w:rPr>
        <w:t>זמינות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ואיכות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החומר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החליט</w:t>
      </w:r>
      <w:r>
        <w:rPr>
          <w:rtl w:val="true"/>
        </w:rPr>
        <w:t xml:space="preserve"> </w:t>
      </w:r>
      <w:r>
        <w:rPr>
          <w:rFonts w:cs="Miriam"/>
          <w:rtl w:val="true"/>
        </w:rPr>
        <w:t>לגדל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הסם</w:t>
      </w:r>
      <w:r>
        <w:rPr>
          <w:rtl w:val="true"/>
        </w:rPr>
        <w:t xml:space="preserve"> </w:t>
      </w:r>
      <w:r>
        <w:rPr>
          <w:rFonts w:cs="Miriam"/>
          <w:rtl w:val="true"/>
        </w:rPr>
        <w:t>בביתו</w:t>
      </w:r>
      <w:r>
        <w:rPr>
          <w:rtl w:val="true"/>
        </w:rPr>
        <w:t>[...]</w:t>
      </w:r>
      <w:r>
        <w:rPr>
          <w:rFonts w:cs="Miriam"/>
          <w:rtl w:val="true"/>
        </w:rPr>
        <w:t xml:space="preserve">'' </w:t>
      </w:r>
      <w:r>
        <w:rPr>
          <w:rtl w:val="true"/>
        </w:rPr>
        <w:t>(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2</w:t>
      </w:r>
      <w:r>
        <w:rPr>
          <w:rtl w:val="true"/>
        </w:rPr>
        <w:t xml:space="preserve">). </w:t>
      </w:r>
      <w:r>
        <w:rPr>
          <w:rtl w:val="true"/>
        </w:rPr>
        <w:t>נעצור כבר באמירה זו כדי לומר כי יש בה ביטוי אולטימטיבי למה שאמרנו לעיל</w:t>
      </w:r>
      <w:r>
        <w:rPr>
          <w:rtl w:val="true"/>
        </w:rPr>
        <w:t xml:space="preserve">, </w:t>
      </w:r>
      <w:r>
        <w:rPr>
          <w:rtl w:val="true"/>
        </w:rPr>
        <w:t>דהיינו הקלות הבלתי נסבלת של הקמת מעבדת סם</w:t>
      </w:r>
      <w:r>
        <w:rPr>
          <w:rtl w:val="true"/>
        </w:rPr>
        <w:t xml:space="preserve">. </w:t>
      </w:r>
      <w:r>
        <w:rPr>
          <w:rtl w:val="true"/>
        </w:rPr>
        <w:t>זמינות החומר ואיכותו הביאו את המשיב להקים את המעבדה בביתו</w:t>
      </w:r>
      <w:r>
        <w:rPr>
          <w:rtl w:val="true"/>
        </w:rPr>
        <w:t xml:space="preserve">. </w:t>
      </w:r>
      <w:r>
        <w:rPr>
          <w:rtl w:val="true"/>
        </w:rPr>
        <w:t xml:space="preserve">בהמשך אומרת קצינת המבחן כי </w:t>
      </w:r>
      <w:r>
        <w:rPr>
          <w:rFonts w:cs="Miriam"/>
          <w:rtl w:val="true"/>
        </w:rPr>
        <w:t>,,</w:t>
      </w:r>
      <w:r>
        <w:rPr>
          <w:rtl w:val="true"/>
        </w:rPr>
        <w:t>[...]</w:t>
      </w:r>
      <w:r>
        <w:rPr>
          <w:rFonts w:cs="Miriam"/>
          <w:rtl w:val="true"/>
        </w:rPr>
        <w:t xml:space="preserve"> </w:t>
      </w:r>
      <w:r>
        <w:rPr>
          <w:rFonts w:cs="Miriam"/>
          <w:rtl w:val="true"/>
        </w:rPr>
        <w:t>עוד</w:t>
      </w:r>
      <w:r>
        <w:rPr>
          <w:rtl w:val="true"/>
        </w:rPr>
        <w:t xml:space="preserve"> </w:t>
      </w:r>
      <w:r>
        <w:rPr>
          <w:rFonts w:cs="Miriam"/>
          <w:rtl w:val="true"/>
        </w:rPr>
        <w:t>מסר</w:t>
      </w:r>
      <w:r>
        <w:rPr>
          <w:rtl w:val="true"/>
        </w:rPr>
        <w:t xml:space="preserve"> </w:t>
      </w:r>
      <w:r>
        <w:rPr>
          <w:rFonts w:cs="Miriam"/>
          <w:rtl w:val="true"/>
        </w:rPr>
        <w:t>כי</w:t>
      </w:r>
      <w:r>
        <w:rPr>
          <w:rtl w:val="true"/>
        </w:rPr>
        <w:t xml:space="preserve"> </w:t>
      </w:r>
      <w:r>
        <w:rPr>
          <w:rFonts w:cs="Miriam"/>
          <w:rtl w:val="true"/>
        </w:rPr>
        <w:t>כיום</w:t>
      </w:r>
      <w:r>
        <w:rPr>
          <w:rtl w:val="true"/>
        </w:rPr>
        <w:t xml:space="preserve"> </w:t>
      </w:r>
      <w:r>
        <w:rPr>
          <w:rFonts w:cs="Miriam"/>
          <w:rtl w:val="true"/>
        </w:rPr>
        <w:t>מבין</w:t>
      </w:r>
      <w:r>
        <w:rPr>
          <w:rtl w:val="true"/>
        </w:rPr>
        <w:t xml:space="preserve"> </w:t>
      </w:r>
      <w:r>
        <w:rPr>
          <w:rFonts w:cs="Miriam"/>
          <w:rtl w:val="true"/>
        </w:rPr>
        <w:t>חומרת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מעשיו</w:t>
      </w:r>
      <w:r>
        <w:rPr>
          <w:rFonts w:cs="Miriam"/>
          <w:rtl w:val="true"/>
        </w:rPr>
        <w:t xml:space="preserve">. </w:t>
      </w:r>
      <w:r>
        <w:rPr>
          <w:rFonts w:cs="Miriam"/>
          <w:rtl w:val="true"/>
        </w:rPr>
        <w:t>יחד</w:t>
      </w:r>
      <w:r>
        <w:rPr>
          <w:rtl w:val="true"/>
        </w:rPr>
        <w:t xml:space="preserve"> </w:t>
      </w:r>
      <w:r>
        <w:rPr>
          <w:rFonts w:cs="Miriam"/>
          <w:rtl w:val="true"/>
        </w:rPr>
        <w:t>עם</w:t>
      </w:r>
      <w:r>
        <w:rPr>
          <w:rtl w:val="true"/>
        </w:rPr>
        <w:t xml:space="preserve"> </w:t>
      </w:r>
      <w:r>
        <w:rPr>
          <w:rFonts w:cs="Miriam"/>
          <w:rtl w:val="true"/>
        </w:rPr>
        <w:t>זאת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התרשמנו</w:t>
      </w:r>
      <w:r>
        <w:rPr>
          <w:rtl w:val="true"/>
        </w:rPr>
        <w:t xml:space="preserve"> </w:t>
      </w:r>
      <w:r>
        <w:rPr>
          <w:rFonts w:cs="Miriam"/>
          <w:rtl w:val="true"/>
        </w:rPr>
        <w:t>כי</w:t>
      </w:r>
      <w:r>
        <w:rPr>
          <w:rtl w:val="true"/>
        </w:rPr>
        <w:t xml:space="preserve"> </w:t>
      </w:r>
      <w:r>
        <w:rPr>
          <w:rFonts w:cs="Miriam"/>
          <w:rtl w:val="true"/>
        </w:rPr>
        <w:t>מביע</w:t>
      </w:r>
      <w:r>
        <w:rPr>
          <w:rtl w:val="true"/>
        </w:rPr>
        <w:t xml:space="preserve"> </w:t>
      </w:r>
      <w:r>
        <w:rPr>
          <w:rFonts w:cs="Miriam"/>
          <w:rtl w:val="true"/>
        </w:rPr>
        <w:t>חרטה</w:t>
      </w:r>
      <w:r>
        <w:rPr>
          <w:rtl w:val="true"/>
        </w:rPr>
        <w:t xml:space="preserve"> </w:t>
      </w:r>
      <w:r>
        <w:rPr>
          <w:rFonts w:cs="Miriam"/>
          <w:rtl w:val="true"/>
        </w:rPr>
        <w:t>על</w:t>
      </w:r>
      <w:r>
        <w:rPr>
          <w:rtl w:val="true"/>
        </w:rPr>
        <w:t xml:space="preserve"> </w:t>
      </w:r>
      <w:r>
        <w:rPr>
          <w:rFonts w:cs="Miriam"/>
          <w:rtl w:val="true"/>
        </w:rPr>
        <w:t>רקע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המחירים</w:t>
      </w:r>
      <w:r>
        <w:rPr>
          <w:rtl w:val="true"/>
        </w:rPr>
        <w:t xml:space="preserve"> </w:t>
      </w:r>
      <w:r>
        <w:rPr>
          <w:rFonts w:cs="Miriam"/>
          <w:rtl w:val="true"/>
        </w:rPr>
        <w:t>שנאלץ</w:t>
      </w:r>
      <w:r>
        <w:rPr>
          <w:rtl w:val="true"/>
        </w:rPr>
        <w:t xml:space="preserve"> </w:t>
      </w:r>
      <w:r>
        <w:rPr>
          <w:rFonts w:cs="Miriam"/>
          <w:rtl w:val="true"/>
        </w:rPr>
        <w:t>לשלם</w:t>
      </w:r>
      <w:r>
        <w:rPr>
          <w:rtl w:val="true"/>
        </w:rPr>
        <w:t xml:space="preserve"> </w:t>
      </w:r>
      <w:r>
        <w:rPr>
          <w:rFonts w:cs="Miriam"/>
          <w:rtl w:val="true"/>
        </w:rPr>
        <w:t>כתוצאה</w:t>
      </w:r>
      <w:r>
        <w:rPr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מ</w:t>
      </w:r>
      <w:r>
        <w:rPr>
          <w:rtl w:val="true"/>
        </w:rPr>
        <w:t>]</w:t>
      </w:r>
      <w:r>
        <w:rPr>
          <w:rFonts w:cs="Miriam"/>
          <w:rtl w:val="true"/>
        </w:rPr>
        <w:t>מעשיו</w:t>
      </w:r>
      <w:r>
        <w:rPr>
          <w:rtl w:val="true"/>
        </w:rPr>
        <w:t xml:space="preserve"> </w:t>
      </w:r>
      <w:r>
        <w:rPr>
          <w:rFonts w:cs="Miriam"/>
          <w:rtl w:val="true"/>
        </w:rPr>
        <w:t>ומתקשה</w:t>
      </w:r>
      <w:r>
        <w:rPr>
          <w:rtl w:val="true"/>
        </w:rPr>
        <w:t xml:space="preserve"> </w:t>
      </w:r>
      <w:r>
        <w:rPr>
          <w:rFonts w:cs="Miriam"/>
          <w:rtl w:val="true"/>
        </w:rPr>
        <w:t>להביע</w:t>
      </w:r>
      <w:r>
        <w:rPr>
          <w:rtl w:val="true"/>
        </w:rPr>
        <w:t xml:space="preserve"> </w:t>
      </w:r>
      <w:r>
        <w:rPr>
          <w:rFonts w:cs="Miriam"/>
          <w:rtl w:val="true"/>
        </w:rPr>
        <w:t>חרטה</w:t>
      </w:r>
      <w:r>
        <w:rPr>
          <w:rtl w:val="true"/>
        </w:rPr>
        <w:t xml:space="preserve"> </w:t>
      </w:r>
      <w:r>
        <w:rPr>
          <w:rFonts w:cs="Miriam"/>
          <w:rtl w:val="true"/>
        </w:rPr>
        <w:t>על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התנהלותו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הבעייתיית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והעבריינית</w:t>
      </w:r>
      <w:r>
        <w:rPr>
          <w:rFonts w:cs="Miriam"/>
          <w:rtl w:val="true"/>
        </w:rPr>
        <w:t xml:space="preserve">. </w:t>
      </w:r>
      <w:r>
        <w:rPr>
          <w:rFonts w:cs="Miriam"/>
          <w:rtl w:val="true"/>
        </w:rPr>
        <w:t>התרשמנו</w:t>
      </w:r>
      <w:r>
        <w:rPr>
          <w:rtl w:val="true"/>
        </w:rPr>
        <w:t xml:space="preserve"> </w:t>
      </w:r>
      <w:r>
        <w:rPr>
          <w:rFonts w:cs="Miriam"/>
          <w:rtl w:val="true"/>
        </w:rPr>
        <w:t>כי</w:t>
      </w:r>
      <w:r>
        <w:rPr>
          <w:rtl w:val="true"/>
        </w:rPr>
        <w:t xml:space="preserve"> </w:t>
      </w:r>
      <w:r>
        <w:rPr>
          <w:rFonts w:cs="Miriam"/>
          <w:rtl w:val="true"/>
        </w:rPr>
        <w:t>מתקשה</w:t>
      </w:r>
      <w:r>
        <w:rPr>
          <w:rtl w:val="true"/>
        </w:rPr>
        <w:t xml:space="preserve"> </w:t>
      </w:r>
      <w:r>
        <w:rPr>
          <w:rFonts w:cs="Miriam"/>
          <w:rtl w:val="true"/>
        </w:rPr>
        <w:t>לבחון</w:t>
      </w:r>
      <w:r>
        <w:rPr>
          <w:rtl w:val="true"/>
        </w:rPr>
        <w:t xml:space="preserve"> </w:t>
      </w:r>
      <w:r>
        <w:rPr>
          <w:rFonts w:cs="Miriam"/>
          <w:rtl w:val="true"/>
        </w:rPr>
        <w:t>לעומק</w:t>
      </w:r>
      <w:r>
        <w:rPr>
          <w:rtl w:val="true"/>
        </w:rPr>
        <w:t xml:space="preserve"> </w:t>
      </w:r>
      <w:r>
        <w:rPr>
          <w:rFonts w:cs="Miriam"/>
          <w:rtl w:val="true"/>
        </w:rPr>
        <w:t>את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המניעים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העמוקים</w:t>
      </w:r>
      <w:r>
        <w:rPr>
          <w:rtl w:val="true"/>
        </w:rPr>
        <w:t xml:space="preserve"> </w:t>
      </w:r>
      <w:r>
        <w:rPr>
          <w:rFonts w:cs="Miriam"/>
          <w:rtl w:val="true"/>
        </w:rPr>
        <w:t>שבבסיס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התנהגותו</w:t>
      </w:r>
      <w:r>
        <w:rPr>
          <w:rtl w:val="true"/>
        </w:rPr>
        <w:t xml:space="preserve"> </w:t>
      </w:r>
      <w:r>
        <w:rPr>
          <w:rFonts w:cs="Miriam"/>
          <w:rtl w:val="true"/>
        </w:rPr>
        <w:t>הבעייתית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ונוטה</w:t>
      </w:r>
      <w:r>
        <w:rPr>
          <w:rtl w:val="true"/>
        </w:rPr>
        <w:t xml:space="preserve"> </w:t>
      </w:r>
      <w:r>
        <w:rPr>
          <w:rFonts w:cs="Miriam"/>
          <w:rtl w:val="true"/>
        </w:rPr>
        <w:t>לטשטש</w:t>
      </w:r>
      <w:r>
        <w:rPr>
          <w:rtl w:val="true"/>
        </w:rPr>
        <w:t xml:space="preserve"> </w:t>
      </w:r>
      <w:r>
        <w:rPr>
          <w:rFonts w:cs="Miriam"/>
          <w:rtl w:val="true"/>
        </w:rPr>
        <w:t>את</w:t>
      </w:r>
      <w:r>
        <w:rPr>
          <w:rtl w:val="true"/>
        </w:rPr>
        <w:t xml:space="preserve"> </w:t>
      </w:r>
      <w:r>
        <w:rPr>
          <w:rFonts w:cs="Miriam"/>
          <w:rtl w:val="true"/>
        </w:rPr>
        <w:t>קשייו</w:t>
      </w:r>
      <w:r>
        <w:rPr>
          <w:rFonts w:cs="Miriam"/>
          <w:rtl w:val="true"/>
        </w:rPr>
        <w:t>''</w:t>
      </w:r>
      <w:r>
        <w:rPr>
          <w:rtl w:val="true"/>
        </w:rPr>
        <w:t xml:space="preserve"> (</w:t>
      </w:r>
      <w:r>
        <w:rPr>
          <w:rtl w:val="true"/>
        </w:rPr>
        <w:t>שם</w:t>
      </w:r>
      <w:r>
        <w:rPr>
          <w:rtl w:val="true"/>
        </w:rPr>
        <w:t xml:space="preserve">). </w:t>
      </w:r>
      <w:r>
        <w:rPr>
          <w:rtl w:val="true"/>
        </w:rPr>
        <w:t>דברים דומים נאמרו גם בסֵיפה של תסקיר שירות המבחן</w:t>
      </w:r>
      <w:r>
        <w:rPr>
          <w:rtl w:val="true"/>
        </w:rPr>
        <w:t xml:space="preserve">. </w:t>
      </w:r>
      <w:r>
        <w:rPr>
          <w:rtl w:val="true"/>
        </w:rPr>
        <w:t>הדברים אינם טעונים פירוש והם מדברים בעד עצמם</w:t>
      </w:r>
      <w:r>
        <w:rPr>
          <w:rtl w:val="true"/>
        </w:rPr>
        <w:t>.</w:t>
      </w:r>
    </w:p>
    <w:p>
      <w:pPr>
        <w:pStyle w:val="Normal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בתסקיר הנוסף מצוין כי המשיב נמצא רק בשלבים הראשונים של הטיפול וזקוק להמשך טיפול</w:t>
      </w:r>
      <w:r>
        <w:rPr>
          <w:rtl w:val="true"/>
        </w:rPr>
        <w:t xml:space="preserve">. </w:t>
      </w:r>
      <w:r>
        <w:rPr>
          <w:rtl w:val="true"/>
        </w:rPr>
        <w:t>התקופה שחלפה מאז ועד היום איננה ארוכה במיוחד</w:t>
      </w:r>
      <w:r>
        <w:rPr>
          <w:rtl w:val="true"/>
        </w:rPr>
        <w:t xml:space="preserve">, </w:t>
      </w:r>
      <w:r>
        <w:rPr>
          <w:rtl w:val="true"/>
        </w:rPr>
        <w:t xml:space="preserve">שהרי התסקיר הנוסף הוא מיום </w:t>
      </w:r>
      <w:r>
        <w:rPr/>
        <w:t>19.04.15</w:t>
      </w:r>
      <w:r>
        <w:rPr>
          <w:rtl w:val="true"/>
        </w:rPr>
        <w:t xml:space="preserve">. </w:t>
      </w:r>
      <w:r>
        <w:rPr>
          <w:rtl w:val="true"/>
        </w:rPr>
        <w:t>האמור בחוות הדעת הפסיכולוגית אינו משנה בהרבה את התמונה</w:t>
      </w:r>
      <w:r>
        <w:rPr>
          <w:rtl w:val="true"/>
        </w:rPr>
        <w:t xml:space="preserve">. </w:t>
      </w:r>
      <w:r>
        <w:rPr>
          <w:rtl w:val="true"/>
        </w:rPr>
        <w:t>הדגש לשיטתנו הוא בעמדותיו של המשיב באשר לעברה שעבר</w:t>
      </w:r>
      <w:r>
        <w:rPr>
          <w:rtl w:val="true"/>
        </w:rPr>
        <w:t xml:space="preserve">. </w:t>
      </w:r>
      <w:r>
        <w:rPr>
          <w:rtl w:val="true"/>
        </w:rPr>
        <w:t>כאמור מדובר במי שלא הביע חרטה אמִתּית</w:t>
      </w:r>
      <w:r>
        <w:rPr>
          <w:rtl w:val="true"/>
        </w:rPr>
        <w:t xml:space="preserve">, </w:t>
      </w:r>
      <w:r>
        <w:rPr>
          <w:rtl w:val="true"/>
        </w:rPr>
        <w:t>וככל שהביע אותה הרי זה בשל המחיר שהוא נדרש לשלם על מעשיו ולא מעבר לזה</w:t>
      </w:r>
      <w:r>
        <w:rPr>
          <w:rtl w:val="true"/>
        </w:rPr>
        <w:t>.</w:t>
      </w:r>
    </w:p>
    <w:p>
      <w:pPr>
        <w:pStyle w:val="Normal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Miriam"/>
        </w:rPr>
        <w:t>10</w:t>
      </w:r>
      <w:r>
        <w:rPr>
          <w:rFonts w:cs="Miriam"/>
          <w:rtl w:val="true"/>
        </w:rPr>
        <w:t>.</w:t>
      </w:r>
      <w:r>
        <w:rPr>
          <w:rtl w:val="true"/>
        </w:rPr>
        <w:tab/>
      </w:r>
      <w:r>
        <w:rPr>
          <w:rtl w:val="true"/>
        </w:rPr>
        <w:t>ההיבט הנוסף שברצוננו להזכיר מצוי בעובדה שמדובר במי שבעברו כבר הרשעה בחמורה שבעברות הסמים</w:t>
      </w:r>
      <w:r>
        <w:rPr>
          <w:rtl w:val="true"/>
        </w:rPr>
        <w:t xml:space="preserve">, </w:t>
      </w:r>
      <w:r>
        <w:rPr>
          <w:rtl w:val="true"/>
        </w:rPr>
        <w:t xml:space="preserve">עברה המקבילה בעונש המרבּי שבצדה לעברה נושא כתב האישום הנוכחי </w:t>
      </w:r>
      <w:r>
        <w:rPr>
          <w:rtl w:val="true"/>
        </w:rPr>
        <w:t>–</w:t>
      </w:r>
      <w:r>
        <w:rPr>
          <w:rtl w:val="true"/>
        </w:rPr>
        <w:t xml:space="preserve"> קרֵי</w:t>
      </w:r>
      <w:r>
        <w:rPr>
          <w:rtl w:val="true"/>
        </w:rPr>
        <w:t xml:space="preserve">: </w:t>
      </w:r>
      <w:r>
        <w:rPr>
          <w:rtl w:val="true"/>
        </w:rPr>
        <w:t>סחר בסם והפצתו</w:t>
      </w:r>
      <w:r>
        <w:rPr>
          <w:rtl w:val="true"/>
        </w:rPr>
        <w:t xml:space="preserve">. </w:t>
      </w:r>
      <w:r>
        <w:rPr>
          <w:rtl w:val="true"/>
        </w:rPr>
        <w:t xml:space="preserve">המשיב כבר הורשע בשנת </w:t>
      </w:r>
      <w:r>
        <w:rPr/>
        <w:t>2001</w:t>
      </w:r>
      <w:r>
        <w:rPr>
          <w:rtl w:val="true"/>
        </w:rPr>
        <w:t xml:space="preserve"> </w:t>
      </w:r>
      <w:r>
        <w:rPr>
          <w:rtl w:val="true"/>
        </w:rPr>
        <w:t>בעברה זו</w:t>
      </w:r>
      <w:r>
        <w:rPr>
          <w:rtl w:val="true"/>
        </w:rPr>
        <w:t xml:space="preserve">. </w:t>
      </w:r>
      <w:r>
        <w:rPr>
          <w:rtl w:val="true"/>
        </w:rPr>
        <w:t>בית המשפט באותו תיק הלך לקראתו והטיל עליו שישה חודשי מאסר שיינשאו בעבודות שירות</w:t>
      </w:r>
      <w:r>
        <w:rPr>
          <w:rtl w:val="true"/>
        </w:rPr>
        <w:t xml:space="preserve">, </w:t>
      </w:r>
      <w:r>
        <w:rPr>
          <w:rtl w:val="true"/>
        </w:rPr>
        <w:t>משמע המשיב כבר זכה להתייחסות מקלה וספק אם הוא ראוי למתן הזדמנות נוספת</w:t>
      </w:r>
      <w:r>
        <w:rPr>
          <w:rtl w:val="true"/>
        </w:rPr>
        <w:t>.</w:t>
      </w:r>
    </w:p>
    <w:p>
      <w:pPr>
        <w:pStyle w:val="Normal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סוף דבר</w:t>
      </w:r>
      <w:r>
        <w:rPr>
          <w:rtl w:val="true"/>
        </w:rPr>
        <w:t xml:space="preserve">: </w:t>
      </w:r>
      <w:r>
        <w:rPr>
          <w:rtl w:val="true"/>
        </w:rPr>
        <w:t>בהינתן המכלול אנו מטילות על המשיב עשרה חודשי מאסר שיינשאו מאחורי סורג ובריח</w:t>
      </w:r>
      <w:r>
        <w:rPr>
          <w:rtl w:val="true"/>
        </w:rPr>
        <w:t xml:space="preserve">. </w:t>
      </w:r>
      <w:r>
        <w:rPr>
          <w:rtl w:val="true"/>
        </w:rPr>
        <w:t>יתר רכיבי הענישה יישארו בעינם</w:t>
      </w:r>
      <w:r>
        <w:rPr>
          <w:rtl w:val="true"/>
        </w:rPr>
        <w:t xml:space="preserve">. </w:t>
      </w:r>
      <w:r>
        <w:rPr>
          <w:rtl w:val="true"/>
        </w:rPr>
        <w:t>איננו רואות לנכון להיענות לבקשת המדינה להטלת פסילה של רישיון הנהיגה</w:t>
      </w:r>
      <w:r>
        <w:rPr>
          <w:rtl w:val="true"/>
        </w:rPr>
        <w:t xml:space="preserve">, </w:t>
      </w:r>
      <w:r>
        <w:rPr>
          <w:rtl w:val="true"/>
        </w:rPr>
        <w:t>משום שעתירה זו לא הושמעה בבית המשפט קמא ואין לה מקום בפעם הראשונה לפני עַרכת הערעור הדנה בתיק</w:t>
      </w:r>
      <w:r>
        <w:rPr>
          <w:rtl w:val="true"/>
        </w:rPr>
        <w:t>.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#4#</w:t>
      </w:r>
      <w:r>
        <w:rPr>
          <w:sz w:val="6"/>
          <w:szCs w:val="6"/>
          <w:rtl w:val="true"/>
        </w:rPr>
        <w:t>&gt;</w:t>
      </w:r>
    </w:p>
    <w:p>
      <w:pPr>
        <w:pStyle w:val="Normal"/>
        <w:ind w:end="0"/>
        <w:jc w:val="start"/>
        <w:rPr/>
      </w:pPr>
      <w:r>
        <w:rPr>
          <w:b/>
          <w:b/>
          <w:bCs/>
          <w:rtl w:val="true"/>
        </w:rPr>
        <w:t>ניתן והודע היום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טבת תשע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ו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Cs/>
        </w:rPr>
        <w:t>16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בדצמבר </w:t>
      </w:r>
      <w:r>
        <w:rPr>
          <w:b/>
          <w:bCs/>
        </w:rPr>
        <w:t>2015</w:t>
      </w:r>
      <w:r>
        <w:rPr>
          <w:b/>
          <w:bCs/>
          <w:rtl w:val="true"/>
        </w:rPr>
        <w:t xml:space="preserve">), </w:t>
      </w:r>
      <w:r>
        <w:rPr>
          <w:b/>
          <w:b/>
          <w:bCs/>
          <w:rtl w:val="true"/>
        </w:rPr>
        <w:t>במעמד הנוכחים</w:t>
      </w:r>
      <w:r>
        <w:rPr>
          <w:b/>
          <w:bCs/>
          <w:rtl w:val="true"/>
        </w:rPr>
        <w:t xml:space="preserve">. </w:t>
      </w:r>
    </w:p>
    <w:tbl>
      <w:tblPr>
        <w:bidiVisual w:val="true"/>
        <w:tblW w:w="859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18"/>
        <w:gridCol w:w="709"/>
        <w:gridCol w:w="2592"/>
        <w:gridCol w:w="672"/>
        <w:gridCol w:w="2406"/>
      </w:tblGrid>
      <w:tr>
        <w:trPr>
          <w:trHeight w:val="505" w:hRule="atLeast"/>
        </w:trPr>
        <w:tc>
          <w:tcPr>
            <w:tcW w:w="22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9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Courier New" w:hAnsi="Courier New"/>
                <w:b/>
                <w:bCs/>
                <w:sz w:val="20"/>
                <w:szCs w:val="20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  <w:sz w:val="20"/>
                <w:szCs w:val="20"/>
              </w:rPr>
            </w:pPr>
            <w:r>
              <w:rPr>
                <w:rFonts w:eastAsia="Times New Roman"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240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  <w:sz w:val="20"/>
                <w:szCs w:val="20"/>
              </w:rPr>
            </w:pPr>
            <w:r>
              <w:rPr>
                <w:rFonts w:eastAsia="Times New Roman"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</w:tr>
      <w:tr>
        <w:trPr>
          <w:trHeight w:val="580" w:hRule="atLeast"/>
        </w:trPr>
        <w:tc>
          <w:tcPr>
            <w:tcW w:w="221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דבורה ברלינר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נשיאה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אב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9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אסתר נחליאלי</w:t>
            </w:r>
            <w:r>
              <w:rPr>
                <w:rFonts w:eastAsia="Times New Roman" w:cs="Times New Roman" w:ascii="Times New Roman" w:hAnsi="Times New Roman"/>
                <w:b/>
                <w:bCs/>
                <w:position w:val="4"/>
                <w:rtl w:val="true"/>
              </w:rPr>
              <w:t>-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חיאט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שופטת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יהודית שבח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שופטת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</w:tr>
    </w:tbl>
    <w:p>
      <w:pPr>
        <w:pStyle w:val="Normal"/>
        <w:ind w:end="0"/>
        <w:jc w:val="both"/>
        <w:rPr/>
      </w:pPr>
      <w:r>
        <w:rPr>
          <w:rtl w:val="true"/>
        </w:rPr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#12#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center"/>
        <w:rPr>
          <w:rFonts w:ascii="Arial" w:hAnsi="Arial" w:cs="Miriam"/>
          <w:sz w:val="28"/>
          <w:szCs w:val="28"/>
        </w:rPr>
      </w:pPr>
      <w:r>
        <w:rPr>
          <w:rFonts w:ascii="Arial" w:hAnsi="Arial" w:cs="Miriam"/>
          <w:sz w:val="28"/>
          <w:sz w:val="28"/>
          <w:szCs w:val="28"/>
          <w:rtl w:val="true"/>
        </w:rPr>
        <w:t>ה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Miriam"/>
          <w:sz w:val="28"/>
          <w:sz w:val="28"/>
          <w:szCs w:val="28"/>
          <w:rtl w:val="true"/>
        </w:rPr>
        <w:t>ח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Miriam"/>
          <w:sz w:val="28"/>
          <w:sz w:val="28"/>
          <w:szCs w:val="28"/>
          <w:rtl w:val="true"/>
        </w:rPr>
        <w:t>ל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Miriam"/>
          <w:sz w:val="28"/>
          <w:sz w:val="28"/>
          <w:szCs w:val="28"/>
          <w:rtl w:val="true"/>
        </w:rPr>
        <w:t>ט</w:t>
      </w:r>
      <w:r>
        <w:rPr>
          <w:rFonts w:ascii="Arial" w:hAnsi="Arial" w:eastAsia="Arial" w:cs="Arial"/>
          <w:sz w:val="28"/>
          <w:sz w:val="28"/>
          <w:szCs w:val="28"/>
          <w:rtl w:val="true"/>
        </w:rPr>
        <w:t xml:space="preserve"> </w:t>
      </w:r>
      <w:r>
        <w:rPr>
          <w:rFonts w:ascii="Arial" w:hAnsi="Arial" w:cs="Miriam"/>
          <w:sz w:val="28"/>
          <w:sz w:val="28"/>
          <w:szCs w:val="28"/>
          <w:rtl w:val="true"/>
        </w:rPr>
        <w:t>ה</w:t>
      </w:r>
    </w:p>
    <w:p>
      <w:pPr>
        <w:pStyle w:val="Normal"/>
        <w:ind w:end="0"/>
        <w:jc w:val="both"/>
        <w:rPr>
          <w:rFonts w:ascii="Arial" w:hAnsi="Arial" w:cs="Miriam"/>
          <w:sz w:val="28"/>
          <w:szCs w:val="28"/>
        </w:rPr>
      </w:pPr>
      <w:r>
        <w:rPr>
          <w:rFonts w:cs="Miriam" w:ascii="Arial" w:hAnsi="Arial"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המשיב יתייצב לשאת את עונשו בתאריך </w:t>
      </w:r>
      <w:r>
        <w:rPr/>
        <w:t>18.01.16</w:t>
      </w:r>
      <w:r>
        <w:rPr>
          <w:rtl w:val="true"/>
        </w:rPr>
        <w:t xml:space="preserve">. </w:t>
      </w:r>
      <w:r>
        <w:rPr>
          <w:rtl w:val="true"/>
        </w:rPr>
        <w:t>על המשיב להתייצב בכלא ניצן אלא</w:t>
      </w:r>
      <w:r>
        <w:rPr>
          <w:position w:val="4"/>
          <w:rtl w:val="true"/>
        </w:rPr>
        <w:t>-</w:t>
      </w:r>
      <w:r>
        <w:rPr>
          <w:rtl w:val="true"/>
        </w:rPr>
        <w:t>אם</w:t>
      </w:r>
      <w:r>
        <w:rPr>
          <w:position w:val="4"/>
          <w:rtl w:val="true"/>
        </w:rPr>
        <w:t>-</w:t>
      </w:r>
      <w:r>
        <w:rPr>
          <w:rtl w:val="true"/>
        </w:rPr>
        <w:t>כן תהיה הוראה אחרת</w:t>
      </w:r>
      <w:r>
        <w:rPr>
          <w:rtl w:val="true"/>
        </w:rPr>
        <w:t xml:space="preserve">. </w:t>
      </w:r>
      <w:r>
        <w:rPr>
          <w:rtl w:val="true"/>
        </w:rPr>
        <w:t>הסנגור יהיה אחראי לתהליכי המיון והשיבוץ</w:t>
      </w:r>
      <w:r>
        <w:rPr>
          <w:rtl w:val="true"/>
        </w:rPr>
        <w:t xml:space="preserve">. </w:t>
      </w:r>
      <w:r>
        <w:rPr>
          <w:rtl w:val="true"/>
        </w:rPr>
        <w:t>הערבויות תישארנה בעינן ותשמשנה להבטחת ההתייצבות</w:t>
      </w:r>
      <w:r>
        <w:rPr>
          <w:rtl w:val="true"/>
        </w:rPr>
        <w:t xml:space="preserve">. </w:t>
      </w:r>
      <w:r>
        <w:rPr>
          <w:rtl w:val="true"/>
        </w:rPr>
        <w:t>ניתן צו עיכוב יציאה מהארץ</w:t>
      </w:r>
      <w:r>
        <w:rPr>
          <w:rtl w:val="true"/>
        </w:rPr>
        <w:t>.</w:t>
      </w:r>
    </w:p>
    <w:p>
      <w:pPr>
        <w:pStyle w:val="Normal"/>
        <w:ind w:end="0"/>
        <w:jc w:val="both"/>
        <w:rPr/>
      </w:pPr>
      <w:r>
        <w:rPr>
          <w:rtl w:val="true"/>
        </w:rPr>
        <w:t xml:space="preserve"> </w:t>
      </w:r>
    </w:p>
    <w:p>
      <w:pPr>
        <w:pStyle w:val="Normal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#14#</w:t>
      </w:r>
      <w:r>
        <w:rPr>
          <w:sz w:val="6"/>
          <w:szCs w:val="6"/>
          <w:rtl w:val="true"/>
        </w:rPr>
        <w:t>&gt;</w:t>
      </w:r>
    </w:p>
    <w:tbl>
      <w:tblPr>
        <w:bidiVisual w:val="true"/>
        <w:tblW w:w="859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18"/>
        <w:gridCol w:w="709"/>
        <w:gridCol w:w="2592"/>
        <w:gridCol w:w="672"/>
        <w:gridCol w:w="2406"/>
      </w:tblGrid>
      <w:tr>
        <w:trPr>
          <w:trHeight w:val="505" w:hRule="atLeast"/>
        </w:trPr>
        <w:tc>
          <w:tcPr>
            <w:tcW w:w="22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ניתנה והודעה היום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ד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טבת תשע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 xml:space="preserve">ו </w:t>
            </w:r>
            <w:r>
              <w:rPr>
                <w:b/>
                <w:bCs/>
                <w:rtl w:val="true"/>
              </w:rPr>
              <w:t>(</w:t>
            </w:r>
            <w:r>
              <w:rPr>
                <w:b/>
                <w:bCs/>
              </w:rPr>
              <w:t>16</w:t>
            </w:r>
            <w:r>
              <w:rPr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 xml:space="preserve">בדצמבר </w:t>
            </w:r>
            <w:r>
              <w:rPr>
                <w:b/>
                <w:bCs/>
              </w:rPr>
              <w:t>2015</w:t>
            </w:r>
            <w:r>
              <w:rPr>
                <w:b/>
                <w:bCs/>
                <w:rtl w:val="true"/>
              </w:rPr>
              <w:t xml:space="preserve">), </w:t>
            </w:r>
            <w:r>
              <w:rPr>
                <w:b/>
                <w:b/>
                <w:bCs/>
                <w:rtl w:val="true"/>
              </w:rPr>
              <w:t>במעמד הנוכחים</w:t>
            </w:r>
            <w:r>
              <w:rPr>
                <w:b/>
                <w:bCs/>
                <w:rtl w:val="true"/>
              </w:rPr>
              <w:t xml:space="preserve">.  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9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Courier New" w:hAnsi="Courier New"/>
                <w:b/>
                <w:bCs/>
                <w:sz w:val="20"/>
                <w:szCs w:val="20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  <w:sz w:val="20"/>
                <w:szCs w:val="20"/>
              </w:rPr>
            </w:pPr>
            <w:r>
              <w:rPr>
                <w:rFonts w:eastAsia="Times New Roman"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240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  <w:sz w:val="20"/>
                <w:szCs w:val="20"/>
              </w:rPr>
            </w:pPr>
            <w:r>
              <w:rPr>
                <w:rFonts w:eastAsia="Times New Roman"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</w:tr>
      <w:tr>
        <w:trPr>
          <w:trHeight w:val="580" w:hRule="atLeast"/>
        </w:trPr>
        <w:tc>
          <w:tcPr>
            <w:tcW w:w="221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דבורה ברלינר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נשיאה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אב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9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אסתר נחליאלי</w:t>
            </w:r>
            <w:r>
              <w:rPr>
                <w:rFonts w:eastAsia="Times New Roman" w:cs="Times New Roman" w:ascii="Times New Roman" w:hAnsi="Times New Roman"/>
                <w:b/>
                <w:bCs/>
                <w:position w:val="4"/>
                <w:rtl w:val="true"/>
              </w:rPr>
              <w:t>-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חיאט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שופטת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יהודית שבח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שופטת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</w:tr>
    </w:tbl>
    <w:p>
      <w:pPr>
        <w:pStyle w:val="Normal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  <w:r>
        <w:rPr>
          <w:color w:val="FFFFFF"/>
          <w:sz w:val="2"/>
          <w:szCs w:val="2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color w:val="FFFFFF"/>
          <w:sz w:val="2"/>
          <w:szCs w:val="2"/>
        </w:rPr>
        <w:t>512937154678313</w:t>
      </w:r>
      <w:r>
        <w:rPr>
          <w:rtl w:val="true"/>
        </w:rPr>
        <w:t>הוקלד</w:t>
      </w:r>
      <w:r>
        <w:rPr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 xml:space="preserve"> </w:t>
      </w:r>
      <w:r>
        <w:rPr>
          <w:rtl w:val="true"/>
        </w:rPr>
        <w:t>ידי</w:t>
      </w:r>
      <w:r>
        <w:rPr>
          <w:rtl w:val="true"/>
        </w:rPr>
        <w:t xml:space="preserve"> </w:t>
      </w:r>
      <w:r>
        <w:rPr>
          <w:rtl w:val="true"/>
        </w:rPr>
        <w:t>ארנון</w:t>
      </w:r>
      <w:r>
        <w:rPr>
          <w:rtl w:val="true"/>
        </w:rPr>
        <w:t xml:space="preserve"> </w:t>
      </w:r>
      <w:r>
        <w:rPr>
          <w:rtl w:val="true"/>
        </w:rPr>
        <w:t>לביא</w:t>
      </w:r>
    </w:p>
    <w:p>
      <w:pPr>
        <w:pStyle w:val="Normal"/>
        <w:keepNext w:val="true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Normal"/>
        <w:ind w:end="0"/>
        <w:jc w:val="center"/>
        <w:rPr>
          <w:color w:val="0000FF"/>
          <w:sz w:val="2"/>
          <w:szCs w:val="2"/>
          <w:u w:val="single"/>
        </w:rPr>
      </w:pPr>
      <w:r>
        <w:rPr>
          <w:color w:val="0000FF"/>
          <w:sz w:val="2"/>
          <w:szCs w:val="2"/>
          <w:u w:val="single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8">
        <w:r>
          <w:rPr>
            <w:rStyle w:val="Hyperlink"/>
            <w:color w:val="0000FF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 ועוד באתר נבו – הקש כאן</w:t>
        </w:r>
      </w:hyperlink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דבורה ברלינר </w:t>
      </w:r>
      <w:r>
        <w:rPr>
          <w:color w:val="000000"/>
          <w:sz w:val="22"/>
          <w:szCs w:val="22"/>
        </w:rPr>
        <w:t>54678313</w:t>
      </w:r>
      <w:r>
        <w:rPr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>
          <w:color w:val="0000FF"/>
          <w:u w:val="single"/>
        </w:rPr>
      </w:pPr>
      <w:r>
        <w:rPr>
          <w:color w:val="000000"/>
          <w:u w:val="single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9"/>
      <w:footerReference w:type="default" r:id="rId10"/>
      <w:type w:val="nextPage"/>
      <w:pgSz w:w="11906" w:h="16838"/>
      <w:pgMar w:left="1701" w:right="1701" w:gutter="0" w:header="851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7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ת</w:t>
    </w:r>
    <w:r>
      <w:rPr>
        <w:color w:val="000000"/>
        <w:sz w:val="22"/>
        <w:szCs w:val="22"/>
        <w:rtl w:val="true"/>
      </w:rPr>
      <w:t>"</w:t>
    </w:r>
    <w:r>
      <w:rPr>
        <w:color w:val="000000"/>
        <w:sz w:val="22"/>
        <w:sz w:val="22"/>
        <w:szCs w:val="22"/>
        <w:rtl w:val="true"/>
      </w:rPr>
      <w:t>א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12819-11-15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מדינת ישראל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גיא בן־צבי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LineNumber">
    <w:name w:val="line number"/>
    <w:basedOn w:val="DefaultParagraphFont"/>
    <w:rPr/>
  </w:style>
  <w:style w:type="character" w:styleId="PageNumber">
    <w:name w:val="page number"/>
    <w:basedOn w:val="DefaultParagraphFont"/>
    <w:rPr/>
  </w:style>
  <w:style w:type="character" w:styleId="TimesNewRomanTimesNewRoman">
    <w:name w:val="סגנון (לטיני) Times New Roman (עברית ושפות אחרות) Times New Roman..."/>
    <w:qFormat/>
    <w:rPr>
      <w:rFonts w:ascii="Times New Roman" w:hAnsi="Times New Roman" w:cs="David"/>
      <w:b/>
      <w:bCs/>
      <w:sz w:val="26"/>
      <w:szCs w:val="26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4216" TargetMode="External"/><Relationship Id="rId3" Type="http://schemas.openxmlformats.org/officeDocument/2006/relationships/hyperlink" Target="http://www.nevo.co.il/law/4216" TargetMode="External"/><Relationship Id="rId4" Type="http://schemas.openxmlformats.org/officeDocument/2006/relationships/hyperlink" Target="http://www.nevo.co.il/law/4216/6" TargetMode="External"/><Relationship Id="rId5" Type="http://schemas.openxmlformats.org/officeDocument/2006/relationships/hyperlink" Target="http://www.nevo.co.il/law/4216/6" TargetMode="External"/><Relationship Id="rId6" Type="http://schemas.openxmlformats.org/officeDocument/2006/relationships/hyperlink" Target="http://www.nevo.co.il/law/4216" TargetMode="External"/><Relationship Id="rId7" Type="http://schemas.openxmlformats.org/officeDocument/2006/relationships/hyperlink" Target="http://www.nevo.co.il/case/20136722" TargetMode="External"/><Relationship Id="rId8" Type="http://schemas.openxmlformats.org/officeDocument/2006/relationships/hyperlink" Target="http://www.nevo.co.il/advertisements/nevo-100.doc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2016-06-19T08:16:00Z</dcterms:created>
  <dc:creator> </dc:creator>
  <dc:description/>
  <cp:keywords/>
  <dc:language>en-IL</dc:language>
  <cp:lastModifiedBy>run</cp:lastModifiedBy>
  <dcterms:modified xsi:type="dcterms:W3CDTF">2016-06-19T08:16:00Z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גיא בן־צבי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20136722</vt:lpwstr>
  </property>
  <property fmtid="{D5CDD505-2E9C-101B-9397-08002B2CF9AE}" pid="9" name="CITY">
    <vt:lpwstr>ת"א</vt:lpwstr>
  </property>
  <property fmtid="{D5CDD505-2E9C-101B-9397-08002B2CF9AE}" pid="10" name="DATE">
    <vt:lpwstr>20151216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דבורה ברלינר;אסתר נחליאלי חיאט;יהודית שבח</vt:lpwstr>
  </property>
  <property fmtid="{D5CDD505-2E9C-101B-9397-08002B2CF9AE}" pid="14" name="LAWLISTTMP1">
    <vt:lpwstr>4216/006</vt:lpwstr>
  </property>
  <property fmtid="{D5CDD505-2E9C-101B-9397-08002B2CF9AE}" pid="15" name="LAWYER">
    <vt:lpwstr/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>12819</vt:lpwstr>
  </property>
  <property fmtid="{D5CDD505-2E9C-101B-9397-08002B2CF9AE}" pid="22" name="NEWPARTB">
    <vt:lpwstr>11</vt:lpwstr>
  </property>
  <property fmtid="{D5CDD505-2E9C-101B-9397-08002B2CF9AE}" pid="23" name="NEWPARTC">
    <vt:lpwstr>15</vt:lpwstr>
  </property>
  <property fmtid="{D5CDD505-2E9C-101B-9397-08002B2CF9AE}" pid="24" name="NEWPROC">
    <vt:lpwstr>עפג</vt:lpwstr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/>
  </property>
  <property fmtid="{D5CDD505-2E9C-101B-9397-08002B2CF9AE}" pid="29" name="PROCNUM">
    <vt:lpwstr/>
  </property>
  <property fmtid="{D5CDD505-2E9C-101B-9397-08002B2CF9AE}" pid="30" name="PROCYEAR">
    <vt:lpwstr/>
  </property>
  <property fmtid="{D5CDD505-2E9C-101B-9397-08002B2CF9AE}" pid="31" name="PSAKDIN">
    <vt:lpwstr>פסק-דין</vt:lpwstr>
  </property>
  <property fmtid="{D5CDD505-2E9C-101B-9397-08002B2CF9AE}" pid="32" name="TYPE">
    <vt:lpwstr>2</vt:lpwstr>
  </property>
  <property fmtid="{D5CDD505-2E9C-101B-9397-08002B2CF9AE}" pid="33" name="TYPE_ABS_DATE">
    <vt:lpwstr>390020151216</vt:lpwstr>
  </property>
  <property fmtid="{D5CDD505-2E9C-101B-9397-08002B2CF9AE}" pid="34" name="TYPE_N_DATE">
    <vt:lpwstr>39020151216</vt:lpwstr>
  </property>
  <property fmtid="{D5CDD505-2E9C-101B-9397-08002B2CF9AE}" pid="35" name="VOLUME">
    <vt:lpwstr/>
  </property>
  <property fmtid="{D5CDD505-2E9C-101B-9397-08002B2CF9AE}" pid="36" name="WORDNUMPAGES">
    <vt:lpwstr>6</vt:lpwstr>
  </property>
</Properties>
</file>