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bidiVisual w:val="true"/>
        <w:tblW w:w="8505" w:type="dxa"/>
        <w:jc w:val="center"/>
        <w:tblInd w:w="0" w:type="dxa"/>
        <w:tblLayout w:type="fixed"/>
        <w:tblCellMar>
          <w:top w:w="0" w:type="dxa"/>
          <w:start w:w="108" w:type="dxa"/>
          <w:bottom w:w="0" w:type="dxa"/>
          <w:end w:w="108" w:type="dxa"/>
        </w:tblCellMar>
      </w:tblPr>
      <w:tblGrid>
        <w:gridCol w:w="8505"/>
      </w:tblGrid>
      <w:tr>
        <w:trPr>
          <w:trHeight w:val="670" w:hRule="exact"/>
        </w:trPr>
        <w:tc>
          <w:tcPr>
            <w:tcW w:w="8505" w:type="dxa"/>
            <w:tcBorders/>
          </w:tcPr>
          <w:p>
            <w:pPr>
              <w:pStyle w:val="Header"/>
              <w:ind w:end="0"/>
              <w:jc w:val="center"/>
              <w:rPr>
                <w:rFonts w:ascii="Tahoma" w:hAnsi="Tahoma" w:cs="Tahoma"/>
                <w:color w:val="000080"/>
                <w:lang w:val="en-US" w:eastAsia="en-US"/>
              </w:rPr>
            </w:pPr>
            <w:r>
              <w:rPr>
                <w:rFonts w:ascii="Tahoma" w:hAnsi="Tahoma" w:cs="Tahoma"/>
                <w:b/>
                <w:b/>
                <w:bCs/>
                <w:color w:val="000080"/>
                <w:rtl w:val="true"/>
                <w:lang w:val="en-US" w:eastAsia="en-US"/>
              </w:rPr>
              <w:t>בית המשפט המחוזי מרכז</w:t>
            </w:r>
            <w:r>
              <w:rPr>
                <w:rFonts w:cs="Tahoma" w:ascii="Tahoma" w:hAnsi="Tahoma"/>
                <w:b/>
                <w:bCs/>
                <w:color w:val="000080"/>
                <w:rtl w:val="true"/>
                <w:lang w:val="en-US" w:eastAsia="en-US"/>
              </w:rPr>
              <w:t>-</w:t>
            </w:r>
            <w:r>
              <w:rPr>
                <w:rFonts w:ascii="Tahoma" w:hAnsi="Tahoma" w:cs="Tahoma"/>
                <w:b/>
                <w:b/>
                <w:bCs/>
                <w:color w:val="000080"/>
                <w:rtl w:val="true"/>
                <w:lang w:val="en-US" w:eastAsia="en-US"/>
              </w:rPr>
              <w:t>לוד</w:t>
            </w:r>
          </w:p>
        </w:tc>
      </w:tr>
      <w:tr>
        <w:trPr>
          <w:trHeight w:val="337" w:hRule="atLeast"/>
        </w:trPr>
        <w:tc>
          <w:tcPr>
            <w:tcW w:w="8505" w:type="dxa"/>
            <w:tcBorders/>
          </w:tcPr>
          <w:p>
            <w:pPr>
              <w:pStyle w:val="Normal"/>
              <w:ind w:end="0"/>
              <w:jc w:val="start"/>
              <w:rPr>
                <w:b/>
                <w:bCs/>
                <w:sz w:val="26"/>
                <w:szCs w:val="26"/>
                <w:lang w:val="en-US" w:eastAsia="en-US"/>
              </w:rPr>
            </w:pPr>
            <w:r>
              <w:rPr>
                <w:b/>
                <w:b/>
                <w:bCs/>
                <w:sz w:val="26"/>
                <w:sz w:val="26"/>
                <w:szCs w:val="26"/>
                <w:rtl w:val="true"/>
                <w:lang w:val="en-US" w:eastAsia="en-US"/>
              </w:rPr>
              <w:t>עפ</w:t>
            </w:r>
            <w:r>
              <w:rPr>
                <w:b/>
                <w:bCs/>
                <w:sz w:val="26"/>
                <w:szCs w:val="26"/>
                <w:rtl w:val="true"/>
                <w:lang w:val="en-US" w:eastAsia="en-US"/>
              </w:rPr>
              <w:t>"</w:t>
            </w:r>
            <w:r>
              <w:rPr>
                <w:b/>
                <w:b/>
                <w:bCs/>
                <w:sz w:val="26"/>
                <w:sz w:val="26"/>
                <w:szCs w:val="26"/>
                <w:rtl w:val="true"/>
                <w:lang w:val="en-US" w:eastAsia="en-US"/>
              </w:rPr>
              <w:t>ג</w:t>
            </w:r>
            <w:r>
              <w:rPr>
                <w:rFonts w:cs="Times New Roman"/>
                <w:b/>
                <w:b/>
                <w:bCs/>
                <w:sz w:val="26"/>
                <w:sz w:val="26"/>
                <w:szCs w:val="26"/>
                <w:rtl w:val="true"/>
                <w:lang w:val="en-US" w:eastAsia="en-US"/>
              </w:rPr>
              <w:t xml:space="preserve"> </w:t>
            </w:r>
            <w:r>
              <w:rPr>
                <w:b/>
                <w:bCs/>
                <w:sz w:val="26"/>
                <w:szCs w:val="26"/>
                <w:lang w:val="en-US" w:eastAsia="en-US"/>
              </w:rPr>
              <w:t>20755-07-17</w:t>
            </w:r>
            <w:r>
              <w:rPr>
                <w:b/>
                <w:bCs/>
                <w:sz w:val="26"/>
                <w:szCs w:val="26"/>
                <w:rtl w:val="true"/>
                <w:lang w:val="en-US" w:eastAsia="en-US"/>
              </w:rPr>
              <w:t xml:space="preserve"> </w:t>
            </w:r>
            <w:r>
              <w:rPr>
                <w:b/>
                <w:b/>
                <w:bCs/>
                <w:sz w:val="26"/>
                <w:sz w:val="26"/>
                <w:szCs w:val="26"/>
                <w:rtl w:val="true"/>
                <w:lang w:val="en-US" w:eastAsia="en-US"/>
              </w:rPr>
              <w:t>שוקרון</w:t>
            </w:r>
            <w:r>
              <w:rPr>
                <w:rFonts w:cs="Times New Roman"/>
                <w:b/>
                <w:b/>
                <w:bCs/>
                <w:sz w:val="26"/>
                <w:sz w:val="26"/>
                <w:szCs w:val="26"/>
                <w:rtl w:val="true"/>
                <w:lang w:val="en-US" w:eastAsia="en-US"/>
              </w:rPr>
              <w:t xml:space="preserve"> </w:t>
            </w:r>
            <w:r>
              <w:rPr>
                <w:b/>
                <w:b/>
                <w:bCs/>
                <w:sz w:val="26"/>
                <w:sz w:val="26"/>
                <w:szCs w:val="26"/>
                <w:rtl w:val="true"/>
                <w:lang w:val="en-US" w:eastAsia="en-US"/>
              </w:rPr>
              <w:t>נ</w:t>
            </w:r>
            <w:r>
              <w:rPr>
                <w:b/>
                <w:bCs/>
                <w:sz w:val="26"/>
                <w:szCs w:val="26"/>
                <w:rtl w:val="true"/>
                <w:lang w:val="en-US" w:eastAsia="en-US"/>
              </w:rPr>
              <w:t xml:space="preserve">' </w:t>
            </w:r>
            <w:r>
              <w:rPr>
                <w:b/>
                <w:b/>
                <w:bCs/>
                <w:sz w:val="26"/>
                <w:sz w:val="26"/>
                <w:szCs w:val="26"/>
                <w:rtl w:val="true"/>
                <w:lang w:val="en-US" w:eastAsia="en-US"/>
              </w:rPr>
              <w:t>מדינת</w:t>
            </w:r>
            <w:r>
              <w:rPr>
                <w:rFonts w:cs="Times New Roman"/>
                <w:b/>
                <w:b/>
                <w:bCs/>
                <w:sz w:val="26"/>
                <w:sz w:val="26"/>
                <w:szCs w:val="26"/>
                <w:rtl w:val="true"/>
                <w:lang w:val="en-US" w:eastAsia="en-US"/>
              </w:rPr>
              <w:t xml:space="preserve"> </w:t>
            </w:r>
            <w:r>
              <w:rPr>
                <w:b/>
                <w:b/>
                <w:bCs/>
                <w:sz w:val="26"/>
                <w:sz w:val="26"/>
                <w:szCs w:val="26"/>
                <w:rtl w:val="true"/>
                <w:lang w:val="en-US" w:eastAsia="en-US"/>
              </w:rPr>
              <w:t>ישראל</w:t>
            </w:r>
          </w:p>
        </w:tc>
      </w:tr>
    </w:tbl>
    <w:p>
      <w:pPr>
        <w:pStyle w:val="Header"/>
        <w:ind w:end="0"/>
        <w:jc w:val="start"/>
        <w:rPr>
          <w:rFonts w:cs="Times New Roman"/>
          <w:lang w:val="en-US" w:eastAsia="en-US"/>
        </w:rPr>
      </w:pPr>
      <w:r>
        <w:rPr>
          <w:rFonts w:cs="Times New Roman"/>
          <w:rtl w:val="true"/>
          <w:lang w:val="en-US" w:eastAsia="en-US"/>
        </w:rPr>
        <w:t xml:space="preserve"> </w:t>
      </w:r>
    </w:p>
    <w:p>
      <w:pPr>
        <w:pStyle w:val="Normal"/>
        <w:suppressLineNumbers/>
        <w:ind w:end="0"/>
        <w:jc w:val="start"/>
        <w:rPr>
          <w:rFonts w:ascii="Arial (W1);Arial" w:hAnsi="Arial (W1);Arial" w:cs="Arial (W1);Arial"/>
          <w:sz w:val="28"/>
          <w:szCs w:val="28"/>
          <w:lang w:val="en-US" w:eastAsia="en-US"/>
        </w:rPr>
      </w:pPr>
      <w:r>
        <w:rPr>
          <w:rFonts w:cs="Arial (W1);Arial" w:ascii="Arial (W1);Arial" w:hAnsi="Arial (W1);Arial"/>
          <w:sz w:val="28"/>
          <w:szCs w:val="28"/>
          <w:rtl w:val="true"/>
          <w:lang w:val="en-US" w:eastAsia="en-US"/>
        </w:rPr>
      </w:r>
    </w:p>
    <w:tbl>
      <w:tblPr>
        <w:bidiVisual w:val="true"/>
        <w:tblW w:w="8820" w:type="dxa"/>
        <w:jc w:val="center"/>
        <w:tblInd w:w="0" w:type="dxa"/>
        <w:tblLayout w:type="fixed"/>
        <w:tblCellMar>
          <w:top w:w="0" w:type="dxa"/>
          <w:start w:w="108" w:type="dxa"/>
          <w:bottom w:w="0" w:type="dxa"/>
          <w:end w:w="108" w:type="dxa"/>
        </w:tblCellMar>
      </w:tblPr>
      <w:tblGrid>
        <w:gridCol w:w="774"/>
        <w:gridCol w:w="2496"/>
        <w:gridCol w:w="5550"/>
      </w:tblGrid>
      <w:tr>
        <w:trPr/>
        <w:tc>
          <w:tcPr>
            <w:tcW w:w="774" w:type="dxa"/>
            <w:tcBorders/>
          </w:tcPr>
          <w:p>
            <w:pPr>
              <w:pStyle w:val="Normal"/>
              <w:ind w:end="0"/>
              <w:jc w:val="both"/>
              <w:rPr>
                <w:rFonts w:ascii="Arial (W1);Arial" w:hAnsi="Arial (W1);Arial" w:cs="Arial (W1);Arial"/>
                <w:b/>
                <w:bCs/>
                <w:sz w:val="28"/>
                <w:szCs w:val="28"/>
              </w:rPr>
            </w:pPr>
            <w:r>
              <w:rPr>
                <w:b/>
                <w:b/>
                <w:bCs/>
                <w:sz w:val="28"/>
                <w:sz w:val="28"/>
                <w:szCs w:val="28"/>
                <w:rtl w:val="true"/>
              </w:rPr>
              <w:t>לפני</w:t>
            </w:r>
            <w:r>
              <w:rPr>
                <w:b/>
                <w:bCs/>
                <w:sz w:val="28"/>
                <w:szCs w:val="28"/>
                <w:rtl w:val="true"/>
              </w:rPr>
              <w:t xml:space="preserve">:  </w:t>
            </w:r>
          </w:p>
        </w:tc>
        <w:tc>
          <w:tcPr>
            <w:tcW w:w="8046" w:type="dxa"/>
            <w:gridSpan w:val="2"/>
            <w:tcBorders/>
          </w:tcPr>
          <w:p>
            <w:pPr>
              <w:pStyle w:val="Normal"/>
              <w:ind w:end="0"/>
              <w:jc w:val="start"/>
              <w:rPr>
                <w:b/>
                <w:bCs/>
                <w:sz w:val="28"/>
                <w:szCs w:val="28"/>
              </w:rPr>
            </w:pPr>
            <w:r>
              <w:rPr>
                <w:b/>
                <w:b/>
                <w:bCs/>
                <w:sz w:val="28"/>
                <w:sz w:val="28"/>
                <w:szCs w:val="28"/>
                <w:rtl w:val="true"/>
              </w:rPr>
              <w:t>כבוד</w:t>
            </w:r>
            <w:r>
              <w:rPr>
                <w:rFonts w:cs="Times New Roman"/>
                <w:b/>
                <w:b/>
                <w:bCs/>
                <w:sz w:val="28"/>
                <w:sz w:val="28"/>
                <w:szCs w:val="28"/>
                <w:rtl w:val="true"/>
              </w:rPr>
              <w:t xml:space="preserve"> </w:t>
            </w:r>
            <w:r>
              <w:rPr>
                <w:b/>
                <w:b/>
                <w:bCs/>
                <w:sz w:val="28"/>
                <w:sz w:val="28"/>
                <w:szCs w:val="28"/>
                <w:rtl w:val="true"/>
              </w:rPr>
              <w:t>הנשיא</w:t>
            </w:r>
            <w:r>
              <w:rPr>
                <w:rFonts w:cs="Times New Roman"/>
                <w:b/>
                <w:b/>
                <w:bCs/>
                <w:sz w:val="28"/>
                <w:sz w:val="28"/>
                <w:szCs w:val="28"/>
                <w:rtl w:val="true"/>
              </w:rPr>
              <w:t xml:space="preserve"> </w:t>
            </w:r>
            <w:r>
              <w:rPr>
                <w:b/>
                <w:b/>
                <w:bCs/>
                <w:sz w:val="28"/>
                <w:sz w:val="28"/>
                <w:szCs w:val="28"/>
                <w:rtl w:val="true"/>
              </w:rPr>
              <w:t>אברהם</w:t>
            </w:r>
            <w:r>
              <w:rPr>
                <w:rFonts w:cs="Times New Roman"/>
                <w:b/>
                <w:b/>
                <w:bCs/>
                <w:sz w:val="28"/>
                <w:sz w:val="28"/>
                <w:szCs w:val="28"/>
                <w:rtl w:val="true"/>
              </w:rPr>
              <w:t xml:space="preserve"> </w:t>
            </w:r>
            <w:r>
              <w:rPr>
                <w:b/>
                <w:b/>
                <w:bCs/>
                <w:sz w:val="28"/>
                <w:sz w:val="28"/>
                <w:szCs w:val="28"/>
                <w:rtl w:val="true"/>
              </w:rPr>
              <w:t>טל</w:t>
            </w:r>
            <w:r>
              <w:rPr>
                <w:rFonts w:cs="Times New Roman"/>
                <w:b/>
                <w:b/>
                <w:bCs/>
                <w:sz w:val="28"/>
                <w:sz w:val="28"/>
                <w:szCs w:val="28"/>
                <w:rtl w:val="true"/>
              </w:rPr>
              <w:t xml:space="preserve"> </w:t>
            </w:r>
            <w:r>
              <w:rPr>
                <w:b/>
                <w:b/>
                <w:bCs/>
                <w:sz w:val="28"/>
                <w:sz w:val="28"/>
                <w:szCs w:val="28"/>
                <w:rtl w:val="true"/>
              </w:rPr>
              <w:t>–</w:t>
            </w:r>
            <w:r>
              <w:rPr>
                <w:rFonts w:cs="Times New Roman"/>
                <w:b/>
                <w:b/>
                <w:bCs/>
                <w:sz w:val="28"/>
                <w:sz w:val="28"/>
                <w:szCs w:val="28"/>
                <w:rtl w:val="true"/>
              </w:rPr>
              <w:t xml:space="preserve"> </w:t>
            </w:r>
            <w:r>
              <w:rPr>
                <w:b/>
                <w:b/>
                <w:bCs/>
                <w:sz w:val="28"/>
                <w:sz w:val="28"/>
                <w:szCs w:val="28"/>
                <w:rtl w:val="true"/>
              </w:rPr>
              <w:t>אב</w:t>
            </w:r>
            <w:r>
              <w:rPr>
                <w:b/>
                <w:bCs/>
                <w:sz w:val="28"/>
                <w:szCs w:val="28"/>
                <w:rtl w:val="true"/>
              </w:rPr>
              <w:t>"</w:t>
            </w:r>
            <w:r>
              <w:rPr>
                <w:b/>
                <w:b/>
                <w:bCs/>
                <w:sz w:val="28"/>
                <w:sz w:val="28"/>
                <w:szCs w:val="28"/>
                <w:rtl w:val="true"/>
              </w:rPr>
              <w:t>ד</w:t>
            </w:r>
          </w:p>
          <w:p>
            <w:pPr>
              <w:pStyle w:val="Normal"/>
              <w:ind w:end="0"/>
              <w:jc w:val="start"/>
              <w:rPr>
                <w:b/>
                <w:bCs/>
                <w:sz w:val="28"/>
                <w:szCs w:val="28"/>
              </w:rPr>
            </w:pPr>
            <w:r>
              <w:rPr>
                <w:b/>
                <w:b/>
                <w:bCs/>
                <w:sz w:val="28"/>
                <w:sz w:val="28"/>
                <w:szCs w:val="28"/>
                <w:rtl w:val="true"/>
              </w:rPr>
              <w:t>כבוד</w:t>
            </w:r>
            <w:r>
              <w:rPr>
                <w:rFonts w:cs="Times New Roman"/>
                <w:b/>
                <w:b/>
                <w:bCs/>
                <w:sz w:val="28"/>
                <w:sz w:val="28"/>
                <w:szCs w:val="28"/>
                <w:rtl w:val="true"/>
              </w:rPr>
              <w:t xml:space="preserve"> </w:t>
            </w:r>
            <w:r>
              <w:rPr>
                <w:b/>
                <w:b/>
                <w:bCs/>
                <w:sz w:val="28"/>
                <w:sz w:val="28"/>
                <w:szCs w:val="28"/>
                <w:rtl w:val="true"/>
              </w:rPr>
              <w:t>השופט</w:t>
            </w:r>
            <w:r>
              <w:rPr>
                <w:rFonts w:cs="Times New Roman"/>
                <w:b/>
                <w:b/>
                <w:bCs/>
                <w:sz w:val="28"/>
                <w:sz w:val="28"/>
                <w:szCs w:val="28"/>
                <w:rtl w:val="true"/>
              </w:rPr>
              <w:t xml:space="preserve"> </w:t>
            </w:r>
            <w:r>
              <w:rPr>
                <w:b/>
                <w:b/>
                <w:bCs/>
                <w:sz w:val="28"/>
                <w:sz w:val="28"/>
                <w:szCs w:val="28"/>
                <w:rtl w:val="true"/>
              </w:rPr>
              <w:t>שמואל</w:t>
            </w:r>
            <w:r>
              <w:rPr>
                <w:rFonts w:cs="Times New Roman"/>
                <w:b/>
                <w:b/>
                <w:bCs/>
                <w:sz w:val="28"/>
                <w:sz w:val="28"/>
                <w:szCs w:val="28"/>
                <w:rtl w:val="true"/>
              </w:rPr>
              <w:t xml:space="preserve"> </w:t>
            </w:r>
            <w:r>
              <w:rPr>
                <w:b/>
                <w:b/>
                <w:bCs/>
                <w:sz w:val="28"/>
                <w:sz w:val="28"/>
                <w:szCs w:val="28"/>
                <w:rtl w:val="true"/>
              </w:rPr>
              <w:t>בורנשטין</w:t>
            </w:r>
          </w:p>
          <w:p>
            <w:pPr>
              <w:pStyle w:val="Normal"/>
              <w:ind w:end="0"/>
              <w:jc w:val="start"/>
              <w:rPr>
                <w:b/>
                <w:bCs/>
                <w:sz w:val="28"/>
                <w:szCs w:val="28"/>
              </w:rPr>
            </w:pPr>
            <w:r>
              <w:rPr>
                <w:b/>
                <w:b/>
                <w:bCs/>
                <w:sz w:val="28"/>
                <w:sz w:val="28"/>
                <w:szCs w:val="28"/>
                <w:rtl w:val="true"/>
              </w:rPr>
              <w:t>כבוד</w:t>
            </w:r>
            <w:r>
              <w:rPr>
                <w:rFonts w:cs="Times New Roman"/>
                <w:b/>
                <w:b/>
                <w:bCs/>
                <w:sz w:val="28"/>
                <w:sz w:val="28"/>
                <w:szCs w:val="28"/>
                <w:rtl w:val="true"/>
              </w:rPr>
              <w:t xml:space="preserve"> </w:t>
            </w:r>
            <w:r>
              <w:rPr>
                <w:b/>
                <w:b/>
                <w:bCs/>
                <w:sz w:val="28"/>
                <w:sz w:val="28"/>
                <w:szCs w:val="28"/>
                <w:rtl w:val="true"/>
              </w:rPr>
              <w:t>השופטת</w:t>
            </w:r>
            <w:r>
              <w:rPr>
                <w:rFonts w:cs="Times New Roman"/>
                <w:b/>
                <w:b/>
                <w:bCs/>
                <w:sz w:val="28"/>
                <w:sz w:val="28"/>
                <w:szCs w:val="28"/>
                <w:rtl w:val="true"/>
              </w:rPr>
              <w:t xml:space="preserve"> </w:t>
            </w:r>
            <w:r>
              <w:rPr>
                <w:b/>
                <w:b/>
                <w:bCs/>
                <w:sz w:val="28"/>
                <w:sz w:val="28"/>
                <w:szCs w:val="28"/>
                <w:rtl w:val="true"/>
              </w:rPr>
              <w:t>דבורה</w:t>
            </w:r>
            <w:r>
              <w:rPr>
                <w:rFonts w:cs="Times New Roman"/>
                <w:b/>
                <w:b/>
                <w:bCs/>
                <w:sz w:val="28"/>
                <w:sz w:val="28"/>
                <w:szCs w:val="28"/>
                <w:rtl w:val="true"/>
              </w:rPr>
              <w:t xml:space="preserve"> </w:t>
            </w:r>
            <w:r>
              <w:rPr>
                <w:b/>
                <w:b/>
                <w:bCs/>
                <w:sz w:val="28"/>
                <w:sz w:val="28"/>
                <w:szCs w:val="28"/>
                <w:rtl w:val="true"/>
              </w:rPr>
              <w:t>עטר</w:t>
            </w:r>
            <w:r>
              <w:rPr>
                <w:rFonts w:cs="Times New Roman"/>
                <w:b/>
                <w:b/>
                <w:bCs/>
                <w:sz w:val="28"/>
                <w:sz w:val="28"/>
                <w:szCs w:val="28"/>
                <w:rtl w:val="true"/>
              </w:rPr>
              <w:t xml:space="preserve"> </w:t>
            </w:r>
          </w:p>
          <w:p>
            <w:pPr>
              <w:pStyle w:val="Normal"/>
              <w:ind w:end="0"/>
              <w:jc w:val="start"/>
              <w:rPr>
                <w:b/>
                <w:bCs/>
                <w:sz w:val="28"/>
                <w:szCs w:val="28"/>
              </w:rPr>
            </w:pPr>
            <w:r>
              <w:rPr>
                <w:b/>
                <w:bCs/>
                <w:sz w:val="28"/>
                <w:szCs w:val="28"/>
                <w:rtl w:val="true"/>
              </w:rPr>
            </w:r>
          </w:p>
        </w:tc>
      </w:tr>
      <w:tr>
        <w:trPr/>
        <w:tc>
          <w:tcPr>
            <w:tcW w:w="3270" w:type="dxa"/>
            <w:gridSpan w:val="2"/>
            <w:tcBorders/>
          </w:tcPr>
          <w:p>
            <w:pPr>
              <w:pStyle w:val="Normal"/>
              <w:ind w:end="0"/>
              <w:jc w:val="start"/>
              <w:rPr>
                <w:rFonts w:ascii="Arial (W1);Arial" w:hAnsi="Arial (W1);Arial" w:cs="Arial (W1);Arial"/>
                <w:b/>
                <w:bCs/>
                <w:sz w:val="28"/>
                <w:szCs w:val="28"/>
                <w:lang w:val="en-US" w:eastAsia="en-US"/>
              </w:rPr>
            </w:pPr>
            <w:bookmarkStart w:id="0" w:name="LastJudge"/>
            <w:bookmarkStart w:id="1" w:name="FirstAppellant"/>
            <w:bookmarkEnd w:id="0"/>
            <w:bookmarkEnd w:id="1"/>
            <w:r>
              <w:rPr>
                <w:b/>
                <w:b/>
                <w:bCs/>
                <w:sz w:val="28"/>
                <w:sz w:val="28"/>
                <w:szCs w:val="28"/>
                <w:rtl w:val="true"/>
                <w:lang w:val="en-US" w:eastAsia="en-US"/>
              </w:rPr>
              <w:t>המערער</w:t>
            </w:r>
          </w:p>
        </w:tc>
        <w:tc>
          <w:tcPr>
            <w:tcW w:w="5550" w:type="dxa"/>
            <w:tcBorders/>
          </w:tcPr>
          <w:p>
            <w:pPr>
              <w:pStyle w:val="Normal"/>
              <w:ind w:end="0"/>
              <w:jc w:val="start"/>
              <w:rPr>
                <w:rFonts w:ascii="Arial (W1);Arial" w:hAnsi="Arial (W1);Arial" w:cs="Arial (W1);Arial"/>
                <w:b/>
                <w:bCs/>
                <w:sz w:val="28"/>
                <w:szCs w:val="28"/>
                <w:lang w:val="en-US" w:eastAsia="en-US"/>
              </w:rPr>
            </w:pPr>
            <w:r>
              <w:rPr>
                <w:b/>
                <w:b/>
                <w:bCs/>
                <w:sz w:val="28"/>
                <w:sz w:val="28"/>
                <w:szCs w:val="28"/>
                <w:rtl w:val="true"/>
                <w:lang w:val="en-US" w:eastAsia="en-US"/>
              </w:rPr>
              <w:t>ליאור</w:t>
            </w:r>
            <w:r>
              <w:rPr>
                <w:rFonts w:cs="Times New Roman"/>
                <w:b/>
                <w:b/>
                <w:bCs/>
                <w:sz w:val="28"/>
                <w:sz w:val="28"/>
                <w:szCs w:val="28"/>
                <w:rtl w:val="true"/>
                <w:lang w:val="en-US" w:eastAsia="en-US"/>
              </w:rPr>
              <w:t xml:space="preserve"> </w:t>
            </w:r>
            <w:r>
              <w:rPr>
                <w:b/>
                <w:b/>
                <w:bCs/>
                <w:sz w:val="28"/>
                <w:sz w:val="28"/>
                <w:szCs w:val="28"/>
                <w:rtl w:val="true"/>
                <w:lang w:val="en-US" w:eastAsia="en-US"/>
              </w:rPr>
              <w:t>שוקרון</w:t>
            </w:r>
          </w:p>
        </w:tc>
      </w:tr>
      <w:tr>
        <w:trPr/>
        <w:tc>
          <w:tcPr>
            <w:tcW w:w="8820" w:type="dxa"/>
            <w:gridSpan w:val="3"/>
            <w:tcBorders/>
          </w:tcPr>
          <w:p>
            <w:pPr>
              <w:pStyle w:val="Normal"/>
              <w:snapToGrid w:val="false"/>
              <w:ind w:end="0"/>
              <w:jc w:val="start"/>
              <w:rPr>
                <w:rFonts w:ascii="Arial (W1);Arial" w:hAnsi="Arial (W1);Arial" w:cs="Arial (W1);Arial"/>
                <w:b/>
                <w:bCs/>
                <w:sz w:val="28"/>
                <w:szCs w:val="28"/>
                <w:lang w:val="en-US" w:eastAsia="en-US"/>
              </w:rPr>
            </w:pPr>
            <w:r>
              <w:rPr>
                <w:rFonts w:cs="Arial (W1);Arial" w:ascii="Arial (W1);Arial" w:hAnsi="Arial (W1);Arial"/>
                <w:b/>
                <w:bCs/>
                <w:sz w:val="28"/>
                <w:szCs w:val="28"/>
                <w:rtl w:val="true"/>
                <w:lang w:val="en-US" w:eastAsia="en-US"/>
              </w:rPr>
            </w:r>
          </w:p>
          <w:p>
            <w:pPr>
              <w:pStyle w:val="Normal"/>
              <w:ind w:end="0"/>
              <w:jc w:val="center"/>
              <w:rPr>
                <w:b/>
                <w:bCs/>
                <w:sz w:val="28"/>
                <w:szCs w:val="28"/>
                <w:lang w:val="en-US" w:eastAsia="en-US"/>
              </w:rPr>
            </w:pPr>
            <w:r>
              <w:rPr>
                <w:b/>
                <w:b/>
                <w:bCs/>
                <w:sz w:val="28"/>
                <w:sz w:val="28"/>
                <w:szCs w:val="28"/>
                <w:rtl w:val="true"/>
                <w:lang w:val="en-US" w:eastAsia="en-US"/>
              </w:rPr>
              <w:t>נגד</w:t>
            </w:r>
          </w:p>
          <w:p>
            <w:pPr>
              <w:pStyle w:val="Normal"/>
              <w:ind w:end="0"/>
              <w:jc w:val="start"/>
              <w:rPr>
                <w:rFonts w:ascii="Arial (W1);Arial" w:hAnsi="Arial (W1);Arial" w:cs="Arial (W1);Arial"/>
                <w:b/>
                <w:bCs/>
                <w:sz w:val="28"/>
                <w:szCs w:val="28"/>
                <w:lang w:val="en-US" w:eastAsia="en-US"/>
              </w:rPr>
            </w:pPr>
            <w:r>
              <w:rPr>
                <w:rFonts w:cs="Arial (W1);Arial" w:ascii="Arial (W1);Arial" w:hAnsi="Arial (W1);Arial"/>
                <w:b/>
                <w:bCs/>
                <w:sz w:val="28"/>
                <w:szCs w:val="28"/>
                <w:rtl w:val="true"/>
                <w:lang w:val="en-US" w:eastAsia="en-US"/>
              </w:rPr>
            </w:r>
          </w:p>
        </w:tc>
      </w:tr>
      <w:tr>
        <w:trPr/>
        <w:tc>
          <w:tcPr>
            <w:tcW w:w="3270" w:type="dxa"/>
            <w:gridSpan w:val="2"/>
            <w:tcBorders/>
          </w:tcPr>
          <w:p>
            <w:pPr>
              <w:pStyle w:val="Normal"/>
              <w:ind w:end="0"/>
              <w:jc w:val="start"/>
              <w:rPr>
                <w:rFonts w:ascii="Arial (W1);Arial" w:hAnsi="Arial (W1);Arial" w:cs="Arial (W1);Arial"/>
                <w:b/>
                <w:bCs/>
                <w:sz w:val="28"/>
                <w:szCs w:val="28"/>
                <w:lang w:val="en-US" w:eastAsia="en-US"/>
              </w:rPr>
            </w:pPr>
            <w:r>
              <w:rPr>
                <w:b/>
                <w:b/>
                <w:bCs/>
                <w:sz w:val="28"/>
                <w:sz w:val="28"/>
                <w:szCs w:val="28"/>
                <w:rtl w:val="true"/>
                <w:lang w:val="en-US" w:eastAsia="en-US"/>
              </w:rPr>
              <w:t>המשיבה</w:t>
            </w:r>
          </w:p>
        </w:tc>
        <w:tc>
          <w:tcPr>
            <w:tcW w:w="5550" w:type="dxa"/>
            <w:tcBorders/>
          </w:tcPr>
          <w:p>
            <w:pPr>
              <w:pStyle w:val="Normal"/>
              <w:ind w:end="0"/>
              <w:jc w:val="start"/>
              <w:rPr>
                <w:rFonts w:ascii="Arial (W1);Arial" w:hAnsi="Arial (W1);Arial" w:cs="Arial (W1);Arial"/>
                <w:b/>
                <w:bCs/>
                <w:sz w:val="28"/>
                <w:szCs w:val="28"/>
                <w:lang w:val="en-US" w:eastAsia="en-US"/>
              </w:rPr>
            </w:pPr>
            <w:r>
              <w:rPr>
                <w:b/>
                <w:b/>
                <w:bCs/>
                <w:sz w:val="28"/>
                <w:sz w:val="28"/>
                <w:szCs w:val="28"/>
                <w:rtl w:val="true"/>
                <w:lang w:val="en-US" w:eastAsia="en-US"/>
              </w:rPr>
              <w:t>מדינת</w:t>
            </w:r>
            <w:r>
              <w:rPr>
                <w:rFonts w:cs="Times New Roman"/>
                <w:b/>
                <w:b/>
                <w:bCs/>
                <w:sz w:val="28"/>
                <w:sz w:val="28"/>
                <w:szCs w:val="28"/>
                <w:rtl w:val="true"/>
                <w:lang w:val="en-US" w:eastAsia="en-US"/>
              </w:rPr>
              <w:t xml:space="preserve"> </w:t>
            </w:r>
            <w:r>
              <w:rPr>
                <w:b/>
                <w:b/>
                <w:bCs/>
                <w:sz w:val="28"/>
                <w:sz w:val="28"/>
                <w:szCs w:val="28"/>
                <w:rtl w:val="true"/>
                <w:lang w:val="en-US" w:eastAsia="en-US"/>
              </w:rPr>
              <w:t>ישראל</w:t>
            </w:r>
          </w:p>
        </w:tc>
      </w:tr>
    </w:tbl>
    <w:p>
      <w:pPr>
        <w:pStyle w:val="Normal"/>
        <w:suppressLineNumbers/>
        <w:ind w:end="0"/>
        <w:jc w:val="start"/>
        <w:rPr>
          <w:rFonts w:ascii="Arial (W1);Arial" w:hAnsi="Arial (W1);Arial" w:cs="Arial (W1);Arial"/>
          <w:sz w:val="28"/>
          <w:szCs w:val="28"/>
        </w:rPr>
      </w:pPr>
      <w:r>
        <w:rPr>
          <w:rFonts w:cs="Arial (W1);Arial" w:ascii="Arial (W1);Arial" w:hAnsi="Arial (W1);Arial"/>
          <w:sz w:val="28"/>
          <w:szCs w:val="28"/>
          <w:rtl w:val="true"/>
        </w:rPr>
      </w:r>
    </w:p>
    <w:p>
      <w:pPr>
        <w:pStyle w:val="Normal"/>
        <w:suppressLineNumbers/>
        <w:ind w:end="0"/>
        <w:jc w:val="start"/>
        <w:rPr>
          <w:rFonts w:ascii="Arial (W1);Arial" w:hAnsi="Arial (W1);Arial" w:cs="Arial (W1);Arial"/>
          <w:sz w:val="28"/>
          <w:szCs w:val="28"/>
        </w:rPr>
      </w:pPr>
      <w:r>
        <w:rPr>
          <w:rFonts w:cs="Arial (W1);Arial" w:ascii="Arial (W1);Arial" w:hAnsi="Arial (W1);Arial"/>
          <w:sz w:val="28"/>
          <w:szCs w:val="28"/>
          <w:rtl w:val="true"/>
        </w:rPr>
      </w:r>
      <w:bookmarkStart w:id="2" w:name="LawTable"/>
      <w:bookmarkStart w:id="3" w:name="LawTable"/>
      <w:bookmarkEnd w:id="3"/>
    </w:p>
    <w:p>
      <w:pPr>
        <w:pStyle w:val="Normal"/>
        <w:suppressLineNumbers/>
        <w:spacing w:lineRule="exact" w:line="240" w:before="0" w:after="120"/>
        <w:ind w:hanging="283" w:start="283" w:end="0"/>
        <w:jc w:val="both"/>
        <w:rPr>
          <w:rFonts w:ascii="FrankRuehl" w:hAnsi="FrankRuehl" w:cs="FrankRuehl"/>
          <w:sz w:val="28"/>
          <w:szCs w:val="28"/>
        </w:rPr>
      </w:pPr>
      <w:r>
        <w:rPr>
          <w:rFonts w:cs="FrankRuehl" w:ascii="FrankRuehl" w:hAnsi="FrankRuehl"/>
          <w:sz w:val="28"/>
          <w:szCs w:val="28"/>
          <w:rtl w:val="true"/>
        </w:rPr>
      </w:r>
    </w:p>
    <w:p>
      <w:pPr>
        <w:pStyle w:val="Normal"/>
        <w:suppressLineNumbers/>
        <w:spacing w:lineRule="exact" w:line="240" w:before="0" w:after="120"/>
        <w:ind w:hanging="283" w:start="283" w:end="0"/>
        <w:jc w:val="both"/>
        <w:rPr>
          <w:rFonts w:ascii="FrankRuehl" w:hAnsi="FrankRuehl" w:cs="FrankRuehl"/>
        </w:rPr>
      </w:pPr>
      <w:r>
        <w:rPr>
          <w:rFonts w:ascii="FrankRuehl" w:hAnsi="FrankRuehl" w:cs="FrankRuehl"/>
          <w:rtl w:val="true"/>
        </w:rPr>
        <w:t>חקיקה שאוזכרה</w:t>
      </w:r>
      <w:r>
        <w:rPr>
          <w:rFonts w:cs="FrankRuehl" w:ascii="FrankRuehl" w:hAnsi="FrankRuehl"/>
          <w:rtl w:val="true"/>
        </w:rPr>
        <w:t xml:space="preserve">: </w:t>
      </w:r>
    </w:p>
    <w:p>
      <w:pPr>
        <w:pStyle w:val="Normal"/>
        <w:suppressLineNumbers/>
        <w:spacing w:lineRule="exact" w:line="240" w:before="0" w:after="120"/>
        <w:ind w:hanging="283" w:start="283" w:end="0"/>
        <w:jc w:val="both"/>
        <w:rPr>
          <w:rFonts w:ascii="FrankRuehl" w:hAnsi="FrankRuehl" w:cs="FrankRuehl"/>
        </w:rPr>
      </w:pPr>
      <w:hyperlink r:id="rId2">
        <w:r>
          <w:rPr>
            <w:rStyle w:val="Hyperlink"/>
            <w:rFonts w:ascii="FrankRuehl" w:hAnsi="FrankRuehl" w:cs="FrankRuehl"/>
            <w:color w:val="0000FF"/>
            <w:u w:val="single"/>
            <w:rtl w:val="true"/>
          </w:rPr>
          <w:t xml:space="preserve">פקודת הסמים המסוכנים </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נוסח חדש</w:t>
        </w:r>
        <w:r>
          <w:rPr>
            <w:rStyle w:val="Hyperlink"/>
            <w:rFonts w:cs="FrankRuehl" w:ascii="FrankRuehl" w:hAnsi="FrankRuehl"/>
            <w:color w:val="0000FF"/>
            <w:u w:val="single"/>
            <w:rtl w:val="true"/>
          </w:rPr>
          <w:t xml:space="preserve">], </w:t>
        </w:r>
        <w:r>
          <w:rPr>
            <w:rStyle w:val="Hyperlink"/>
            <w:rFonts w:ascii="FrankRuehl" w:hAnsi="FrankRuehl" w:cs="FrankRuehl"/>
            <w:color w:val="0000FF"/>
            <w:u w:val="single"/>
            <w:rtl w:val="true"/>
          </w:rPr>
          <w:t>תשל</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ג</w:t>
        </w:r>
        <w:r>
          <w:rPr>
            <w:rStyle w:val="Hyperlink"/>
            <w:rFonts w:cs="FrankRuehl" w:ascii="FrankRuehl" w:hAnsi="FrankRuehl"/>
            <w:color w:val="0000FF"/>
            <w:u w:val="single"/>
            <w:rtl w:val="true"/>
          </w:rPr>
          <w:t>-</w:t>
        </w:r>
        <w:r>
          <w:rPr>
            <w:rStyle w:val="Hyperlink"/>
            <w:rFonts w:cs="FrankRuehl" w:ascii="FrankRuehl" w:hAnsi="FrankRuehl"/>
            <w:color w:val="0000FF"/>
            <w:u w:val="single"/>
          </w:rPr>
          <w:t>1973</w:t>
        </w:r>
      </w:hyperlink>
    </w:p>
    <w:p>
      <w:pPr>
        <w:pStyle w:val="Normal"/>
        <w:suppressLineNumbers/>
        <w:spacing w:lineRule="exact" w:line="240" w:before="0" w:after="120"/>
        <w:ind w:hanging="283" w:start="283" w:end="0"/>
        <w:jc w:val="both"/>
        <w:rPr>
          <w:rFonts w:ascii="FrankRuehl" w:hAnsi="FrankRuehl" w:cs="FrankRuehl"/>
        </w:rPr>
      </w:pPr>
      <w:r>
        <w:rPr>
          <w:rFonts w:cs="FrankRuehl" w:ascii="FrankRuehl" w:hAnsi="FrankRuehl"/>
          <w:rtl w:val="true"/>
        </w:rPr>
      </w:r>
    </w:p>
    <w:p>
      <w:pPr>
        <w:pStyle w:val="Normal"/>
        <w:suppressLineNumbers/>
        <w:ind w:end="0"/>
        <w:jc w:val="start"/>
        <w:rPr>
          <w:rFonts w:ascii="FrankRuehl" w:hAnsi="FrankRuehl" w:cs="FrankRuehl"/>
          <w:sz w:val="28"/>
          <w:szCs w:val="28"/>
        </w:rPr>
      </w:pPr>
      <w:r>
        <w:rPr>
          <w:rFonts w:cs="FrankRuehl" w:ascii="FrankRuehl" w:hAnsi="FrankRuehl"/>
          <w:sz w:val="28"/>
          <w:szCs w:val="28"/>
          <w:rtl w:val="true"/>
        </w:rPr>
      </w:r>
      <w:bookmarkStart w:id="4" w:name="LawTable_End"/>
      <w:bookmarkStart w:id="5" w:name="LawTable_End"/>
      <w:bookmarkEnd w:id="5"/>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tbl>
      <w:tblPr>
        <w:bidiVisual w:val="true"/>
        <w:tblW w:w="8820" w:type="dxa"/>
        <w:jc w:val="center"/>
        <w:tblInd w:w="0" w:type="dxa"/>
        <w:tblLayout w:type="fixed"/>
        <w:tblCellMar>
          <w:top w:w="0" w:type="dxa"/>
          <w:start w:w="108" w:type="dxa"/>
          <w:bottom w:w="0" w:type="dxa"/>
          <w:end w:w="108" w:type="dxa"/>
        </w:tblCellMar>
      </w:tblPr>
      <w:tblGrid>
        <w:gridCol w:w="8820"/>
      </w:tblGrid>
      <w:tr>
        <w:trPr/>
        <w:tc>
          <w:tcPr>
            <w:tcW w:w="8820" w:type="dxa"/>
            <w:tcBorders/>
          </w:tcPr>
          <w:p>
            <w:pPr>
              <w:pStyle w:val="Normal"/>
              <w:bidi w:val="0"/>
              <w:jc w:val="center"/>
              <w:rPr>
                <w:rFonts w:ascii="Arial" w:hAnsi="Arial" w:cs="Arial"/>
                <w:b/>
                <w:bCs/>
                <w:sz w:val="28"/>
                <w:szCs w:val="28"/>
                <w:u w:val="single"/>
                <w:lang w:val="en-US" w:eastAsia="en-US"/>
              </w:rPr>
            </w:pPr>
            <w:bookmarkStart w:id="6" w:name="PsakDin"/>
            <w:bookmarkEnd w:id="6"/>
            <w:r>
              <w:rPr>
                <w:rFonts w:ascii="Arial" w:hAnsi="Arial" w:cs="Arial"/>
                <w:b/>
                <w:b/>
                <w:bCs/>
                <w:sz w:val="28"/>
                <w:sz w:val="28"/>
                <w:szCs w:val="28"/>
                <w:u w:val="single"/>
                <w:rtl w:val="true"/>
                <w:lang w:val="en-US" w:eastAsia="en-US"/>
              </w:rPr>
              <w:t>פסק דין</w:t>
            </w:r>
          </w:p>
          <w:p>
            <w:pPr>
              <w:pStyle w:val="Normal"/>
              <w:bidi w:val="0"/>
              <w:jc w:val="center"/>
              <w:rPr>
                <w:rFonts w:ascii="Arial" w:hAnsi="Arial" w:cs="Arial"/>
                <w:b/>
                <w:bCs/>
                <w:sz w:val="28"/>
                <w:szCs w:val="28"/>
                <w:u w:val="single"/>
                <w:lang w:val="en-US" w:eastAsia="en-US"/>
              </w:rPr>
            </w:pPr>
            <w:r>
              <w:rPr>
                <w:rFonts w:cs="Arial" w:ascii="Arial" w:hAnsi="Arial"/>
                <w:b/>
                <w:bCs/>
                <w:sz w:val="28"/>
                <w:szCs w:val="28"/>
                <w:u w:val="single"/>
                <w:lang w:val="en-US" w:eastAsia="en-US"/>
              </w:rPr>
            </w:r>
          </w:p>
        </w:tc>
      </w:tr>
    </w:tbl>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1</w:t>
      </w:r>
      <w:r>
        <w:rPr>
          <w:rFonts w:cs="Arial" w:ascii="Arial" w:hAnsi="Arial"/>
          <w:sz w:val="28"/>
          <w:szCs w:val="28"/>
          <w:rtl w:val="true"/>
          <w:lang w:val="en-US" w:eastAsia="en-US"/>
        </w:rPr>
        <w:t>.</w:t>
        <w:tab/>
      </w:r>
      <w:bookmarkStart w:id="7" w:name="ABSTRACT_START"/>
      <w:bookmarkEnd w:id="7"/>
      <w:r>
        <w:rPr>
          <w:rFonts w:ascii="Arial" w:hAnsi="Arial" w:cs="Arial"/>
          <w:sz w:val="28"/>
          <w:sz w:val="28"/>
          <w:szCs w:val="28"/>
          <w:rtl w:val="true"/>
          <w:lang w:val="en-US" w:eastAsia="en-US"/>
        </w:rPr>
        <w:t>לפנינו ערעור על גזר דינו של בית משפט השלום בכפר סבא ב</w:t>
      </w:r>
      <w:hyperlink r:id="rId3">
        <w:r>
          <w:rPr>
            <w:rStyle w:val="Hyperlink"/>
            <w:rFonts w:ascii="Arial" w:hAnsi="Arial" w:cs="Arial"/>
            <w:color w:val="0000FF"/>
            <w:sz w:val="28"/>
            <w:sz w:val="28"/>
            <w:szCs w:val="28"/>
            <w:u w:val="single"/>
            <w:rtl w:val="true"/>
            <w:lang w:val="en-US" w:eastAsia="en-US"/>
          </w:rPr>
          <w:t>ת</w:t>
        </w:r>
        <w:r>
          <w:rPr>
            <w:rStyle w:val="Hyperlink"/>
            <w:rFonts w:cs="Arial" w:ascii="Arial" w:hAnsi="Arial"/>
            <w:color w:val="0000FF"/>
            <w:sz w:val="28"/>
            <w:szCs w:val="28"/>
            <w:u w:val="single"/>
            <w:rtl w:val="true"/>
            <w:lang w:val="en-US" w:eastAsia="en-US"/>
          </w:rPr>
          <w:t>"</w:t>
        </w:r>
        <w:r>
          <w:rPr>
            <w:rStyle w:val="Hyperlink"/>
            <w:rFonts w:ascii="Arial" w:hAnsi="Arial" w:cs="Arial"/>
            <w:color w:val="0000FF"/>
            <w:sz w:val="28"/>
            <w:sz w:val="28"/>
            <w:szCs w:val="28"/>
            <w:u w:val="single"/>
            <w:rtl w:val="true"/>
            <w:lang w:val="en-US" w:eastAsia="en-US"/>
          </w:rPr>
          <w:t xml:space="preserve">פ </w:t>
        </w:r>
        <w:r>
          <w:rPr>
            <w:rStyle w:val="Hyperlink"/>
            <w:rFonts w:cs="Arial" w:ascii="Arial" w:hAnsi="Arial"/>
            <w:color w:val="0000FF"/>
            <w:sz w:val="28"/>
            <w:szCs w:val="28"/>
            <w:u w:val="single"/>
            <w:lang w:val="en-US" w:eastAsia="en-US"/>
          </w:rPr>
          <w:t>14838-02-16</w:t>
        </w:r>
      </w:hyperlink>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וכן בת</w:t>
      </w:r>
      <w:r>
        <w:rPr>
          <w:rFonts w:cs="Arial" w:ascii="Arial" w:hAnsi="Arial"/>
          <w:sz w:val="28"/>
          <w:szCs w:val="28"/>
          <w:rtl w:val="true"/>
          <w:lang w:val="en-US" w:eastAsia="en-US"/>
        </w:rPr>
        <w:t>"</w:t>
      </w:r>
      <w:r>
        <w:rPr>
          <w:rFonts w:ascii="Arial" w:hAnsi="Arial" w:cs="Arial"/>
          <w:sz w:val="28"/>
          <w:sz w:val="28"/>
          <w:szCs w:val="28"/>
          <w:rtl w:val="true"/>
          <w:lang w:val="en-US" w:eastAsia="en-US"/>
        </w:rPr>
        <w:t xml:space="preserve">פ </w:t>
      </w:r>
      <w:r>
        <w:rPr>
          <w:rFonts w:cs="Arial" w:ascii="Arial" w:hAnsi="Arial"/>
          <w:sz w:val="28"/>
          <w:szCs w:val="28"/>
          <w:lang w:val="en-US" w:eastAsia="en-US"/>
        </w:rPr>
        <w:t>16110-08-15</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מיום </w:t>
      </w:r>
      <w:r>
        <w:rPr>
          <w:rFonts w:cs="Arial" w:ascii="Arial" w:hAnsi="Arial"/>
          <w:sz w:val="28"/>
          <w:szCs w:val="28"/>
          <w:lang w:val="en-US" w:eastAsia="en-US"/>
        </w:rPr>
        <w:t>12.6.2017</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שניתן לאחר שהמערער הורשע על יסוד הודאתו בעובדות כתב האישום ובכתב אישום מתוקן בתיק שצורף</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במסגרת הסדר דיוני</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בהפרעה לשוטר במילוי תפקידו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בהפרת הוראה חוקית ובסחר בסם בארבעה מקרים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ונגזרו עליו העונשים הבאים</w:t>
      </w:r>
      <w:bookmarkStart w:id="8" w:name="ABSTRACT_END"/>
      <w:bookmarkEnd w:id="8"/>
      <w:r>
        <w:rPr>
          <w:rFonts w:cs="Arial" w:ascii="Arial" w:hAnsi="Arial"/>
          <w:sz w:val="28"/>
          <w:szCs w:val="28"/>
          <w:rtl w:val="true"/>
          <w:lang w:val="en-US" w:eastAsia="en-US"/>
        </w:rPr>
        <w:t>:</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א</w:t>
      </w:r>
      <w:r>
        <w:rPr>
          <w:rFonts w:cs="Arial" w:ascii="Arial" w:hAnsi="Arial"/>
          <w:sz w:val="28"/>
          <w:szCs w:val="28"/>
          <w:rtl w:val="true"/>
          <w:lang w:val="en-US" w:eastAsia="en-US"/>
        </w:rPr>
        <w:t>.</w:t>
        <w:tab/>
      </w:r>
      <w:r>
        <w:rPr>
          <w:rFonts w:cs="Arial" w:ascii="Arial" w:hAnsi="Arial"/>
          <w:sz w:val="28"/>
          <w:szCs w:val="28"/>
          <w:lang w:val="en-US" w:eastAsia="en-US"/>
        </w:rPr>
        <w:t>10</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חודשי מאסר בפועל</w:t>
      </w:r>
      <w:r>
        <w:rPr>
          <w:rFonts w:cs="Arial" w:ascii="Arial" w:hAnsi="Arial"/>
          <w:sz w:val="28"/>
          <w:szCs w:val="28"/>
          <w:rtl w:val="true"/>
          <w:lang w:val="en-US" w:eastAsia="en-US"/>
        </w:rPr>
        <w:t>.</w:t>
      </w:r>
    </w:p>
    <w:p>
      <w:pPr>
        <w:pStyle w:val="Normal"/>
        <w:spacing w:lineRule="auto" w:line="360"/>
        <w:ind w:hanging="720" w:start="1440" w:end="0"/>
        <w:jc w:val="both"/>
        <w:rPr>
          <w:rFonts w:ascii="Arial" w:hAnsi="Arial" w:cs="Arial"/>
          <w:sz w:val="28"/>
          <w:szCs w:val="28"/>
          <w:lang w:val="en-US" w:eastAsia="en-US"/>
        </w:rPr>
      </w:pPr>
      <w:r>
        <w:rPr>
          <w:rFonts w:ascii="Arial" w:hAnsi="Arial" w:cs="Arial"/>
          <w:sz w:val="28"/>
          <w:sz w:val="28"/>
          <w:szCs w:val="28"/>
          <w:rtl w:val="true"/>
          <w:lang w:val="en-US" w:eastAsia="en-US"/>
        </w:rPr>
        <w:t>ב</w:t>
      </w:r>
      <w:r>
        <w:rPr>
          <w:rFonts w:cs="Arial" w:ascii="Arial" w:hAnsi="Arial"/>
          <w:sz w:val="28"/>
          <w:szCs w:val="28"/>
          <w:rtl w:val="true"/>
          <w:lang w:val="en-US" w:eastAsia="en-US"/>
        </w:rPr>
        <w:t>.</w:t>
        <w:tab/>
      </w:r>
      <w:r>
        <w:rPr>
          <w:rFonts w:cs="Arial" w:ascii="Arial" w:hAnsi="Arial"/>
          <w:sz w:val="28"/>
          <w:szCs w:val="28"/>
          <w:lang w:val="en-US" w:eastAsia="en-US"/>
        </w:rPr>
        <w:t>6</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חודשי מאסר על תנאי לבל יבצע עבירה מ</w:t>
      </w:r>
      <w:hyperlink r:id="rId4">
        <w:r>
          <w:rPr>
            <w:rStyle w:val="Hyperlink"/>
            <w:rFonts w:ascii="Arial" w:hAnsi="Arial" w:cs="Arial"/>
            <w:color w:val="0000FF"/>
            <w:sz w:val="28"/>
            <w:sz w:val="28"/>
            <w:szCs w:val="28"/>
            <w:u w:val="single"/>
            <w:rtl w:val="true"/>
            <w:lang w:val="en-US" w:eastAsia="en-US"/>
          </w:rPr>
          <w:t>פקודת הסמים המסוכנים</w:t>
        </w:r>
      </w:hyperlink>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תוך </w:t>
      </w:r>
      <w:r>
        <w:rPr>
          <w:rFonts w:cs="Arial" w:ascii="Arial" w:hAnsi="Arial"/>
          <w:sz w:val="28"/>
          <w:szCs w:val="28"/>
          <w:lang w:val="en-US" w:eastAsia="en-US"/>
        </w:rPr>
        <w:t>3</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שנים מיום שחרורו</w:t>
      </w:r>
      <w:r>
        <w:rPr>
          <w:rFonts w:cs="Arial" w:ascii="Arial" w:hAnsi="Arial"/>
          <w:sz w:val="28"/>
          <w:szCs w:val="28"/>
          <w:rtl w:val="true"/>
          <w:lang w:val="en-US" w:eastAsia="en-US"/>
        </w:rPr>
        <w:t xml:space="preserve">. </w:t>
      </w:r>
    </w:p>
    <w:p>
      <w:pPr>
        <w:pStyle w:val="Normal"/>
        <w:spacing w:lineRule="auto" w:line="360"/>
        <w:ind w:hanging="720" w:start="1440" w:end="0"/>
        <w:jc w:val="both"/>
        <w:rPr>
          <w:rFonts w:ascii="Arial" w:hAnsi="Arial" w:cs="Arial"/>
          <w:sz w:val="28"/>
          <w:szCs w:val="28"/>
          <w:lang w:val="en-US" w:eastAsia="en-US"/>
        </w:rPr>
      </w:pPr>
      <w:r>
        <w:rPr>
          <w:rFonts w:ascii="Arial" w:hAnsi="Arial" w:cs="Arial"/>
          <w:sz w:val="28"/>
          <w:sz w:val="28"/>
          <w:szCs w:val="28"/>
          <w:rtl w:val="true"/>
          <w:lang w:val="en-US" w:eastAsia="en-US"/>
        </w:rPr>
        <w:t>ג</w:t>
      </w:r>
      <w:r>
        <w:rPr>
          <w:rFonts w:cs="Arial" w:ascii="Arial" w:hAnsi="Arial"/>
          <w:sz w:val="28"/>
          <w:szCs w:val="28"/>
          <w:rtl w:val="true"/>
          <w:lang w:val="en-US" w:eastAsia="en-US"/>
        </w:rPr>
        <w:t>.</w:t>
        <w:tab/>
      </w:r>
      <w:r>
        <w:rPr>
          <w:rFonts w:ascii="Arial" w:hAnsi="Arial" w:cs="Arial"/>
          <w:sz w:val="28"/>
          <w:sz w:val="28"/>
          <w:szCs w:val="28"/>
          <w:rtl w:val="true"/>
          <w:lang w:val="en-US" w:eastAsia="en-US"/>
        </w:rPr>
        <w:t xml:space="preserve">קנס בסך </w:t>
      </w:r>
      <w:r>
        <w:rPr>
          <w:rFonts w:cs="Arial" w:ascii="Arial" w:hAnsi="Arial"/>
          <w:sz w:val="28"/>
          <w:szCs w:val="28"/>
          <w:lang w:val="en-US" w:eastAsia="en-US"/>
        </w:rPr>
        <w:t>1,500</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w:t>
      </w:r>
      <w:r>
        <w:rPr>
          <w:rFonts w:cs="Arial" w:ascii="Arial" w:hAnsi="Arial"/>
          <w:sz w:val="28"/>
          <w:szCs w:val="28"/>
          <w:rtl w:val="true"/>
          <w:lang w:val="en-US" w:eastAsia="en-US"/>
        </w:rPr>
        <w:t>"</w:t>
      </w:r>
      <w:r>
        <w:rPr>
          <w:rFonts w:ascii="Arial" w:hAnsi="Arial" w:cs="Arial"/>
          <w:sz w:val="28"/>
          <w:sz w:val="28"/>
          <w:szCs w:val="28"/>
          <w:rtl w:val="true"/>
          <w:lang w:val="en-US" w:eastAsia="en-US"/>
        </w:rPr>
        <w:t xml:space="preserve">ח או </w:t>
      </w:r>
      <w:r>
        <w:rPr>
          <w:rFonts w:cs="Arial" w:ascii="Arial" w:hAnsi="Arial"/>
          <w:sz w:val="28"/>
          <w:szCs w:val="28"/>
          <w:lang w:val="en-US" w:eastAsia="en-US"/>
        </w:rPr>
        <w:t>30</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ימי מאסר תמורתו</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2</w:t>
      </w:r>
      <w:r>
        <w:rPr>
          <w:rFonts w:cs="Arial" w:ascii="Arial" w:hAnsi="Arial"/>
          <w:sz w:val="28"/>
          <w:szCs w:val="28"/>
          <w:rtl w:val="true"/>
          <w:lang w:val="en-US" w:eastAsia="en-US"/>
        </w:rPr>
        <w:t>.</w:t>
        <w:tab/>
      </w:r>
      <w:r>
        <w:rPr>
          <w:rFonts w:ascii="Arial" w:hAnsi="Arial" w:cs="Arial"/>
          <w:sz w:val="28"/>
          <w:sz w:val="28"/>
          <w:szCs w:val="28"/>
          <w:rtl w:val="true"/>
          <w:lang w:val="en-US" w:eastAsia="en-US"/>
        </w:rPr>
        <w:t>כמפורט בכתב האישום המתוקן ב</w:t>
      </w:r>
      <w:hyperlink r:id="rId5">
        <w:r>
          <w:rPr>
            <w:rStyle w:val="Hyperlink"/>
            <w:rFonts w:ascii="Arial" w:hAnsi="Arial" w:cs="Arial"/>
            <w:color w:val="0000FF"/>
            <w:sz w:val="28"/>
            <w:sz w:val="28"/>
            <w:szCs w:val="28"/>
            <w:u w:val="single"/>
            <w:rtl w:val="true"/>
            <w:lang w:val="en-US" w:eastAsia="en-US"/>
          </w:rPr>
          <w:t>ת</w:t>
        </w:r>
        <w:r>
          <w:rPr>
            <w:rStyle w:val="Hyperlink"/>
            <w:rFonts w:cs="Arial" w:ascii="Arial" w:hAnsi="Arial"/>
            <w:color w:val="0000FF"/>
            <w:sz w:val="28"/>
            <w:szCs w:val="28"/>
            <w:u w:val="single"/>
            <w:rtl w:val="true"/>
            <w:lang w:val="en-US" w:eastAsia="en-US"/>
          </w:rPr>
          <w:t>"</w:t>
        </w:r>
        <w:r>
          <w:rPr>
            <w:rStyle w:val="Hyperlink"/>
            <w:rFonts w:ascii="Arial" w:hAnsi="Arial" w:cs="Arial"/>
            <w:color w:val="0000FF"/>
            <w:sz w:val="28"/>
            <w:sz w:val="28"/>
            <w:szCs w:val="28"/>
            <w:u w:val="single"/>
            <w:rtl w:val="true"/>
            <w:lang w:val="en-US" w:eastAsia="en-US"/>
          </w:rPr>
          <w:t xml:space="preserve">פ </w:t>
        </w:r>
        <w:r>
          <w:rPr>
            <w:rStyle w:val="Hyperlink"/>
            <w:rFonts w:cs="Arial" w:ascii="Arial" w:hAnsi="Arial"/>
            <w:color w:val="0000FF"/>
            <w:sz w:val="28"/>
            <w:szCs w:val="28"/>
            <w:u w:val="single"/>
            <w:lang w:val="en-US" w:eastAsia="en-US"/>
          </w:rPr>
          <w:t>16089-08-15</w:t>
        </w:r>
      </w:hyperlink>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בחודשים יוני</w:t>
      </w:r>
      <w:r>
        <w:rPr>
          <w:rFonts w:cs="Arial" w:ascii="Arial" w:hAnsi="Arial"/>
          <w:sz w:val="28"/>
          <w:szCs w:val="28"/>
          <w:rtl w:val="true"/>
          <w:lang w:val="en-US" w:eastAsia="en-US"/>
        </w:rPr>
        <w:t>-</w:t>
      </w:r>
      <w:r>
        <w:rPr>
          <w:rFonts w:ascii="Arial" w:hAnsi="Arial" w:cs="Arial"/>
          <w:sz w:val="28"/>
          <w:sz w:val="28"/>
          <w:szCs w:val="28"/>
          <w:rtl w:val="true"/>
          <w:lang w:val="en-US" w:eastAsia="en-US"/>
        </w:rPr>
        <w:t xml:space="preserve">יולי </w:t>
      </w:r>
      <w:r>
        <w:rPr>
          <w:rFonts w:cs="Arial" w:ascii="Arial" w:hAnsi="Arial"/>
          <w:sz w:val="28"/>
          <w:szCs w:val="28"/>
          <w:lang w:val="en-US" w:eastAsia="en-US"/>
        </w:rPr>
        <w:t>2015</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עסק המערער בהפצת ומכירת קאנבוס לקונים שונים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חלקם קטינים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כשעבד בחנות לממכר טבק</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 xml:space="preserve">באישום הראשון נטען כי בשתי הזדמנויות מכר קאנבוס במשקל </w:t>
      </w:r>
      <w:r>
        <w:rPr>
          <w:rFonts w:cs="Arial" w:ascii="Arial" w:hAnsi="Arial"/>
          <w:sz w:val="28"/>
          <w:szCs w:val="28"/>
          <w:lang w:val="en-US" w:eastAsia="en-US"/>
        </w:rPr>
        <w:t>2.86</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גרם ובכמות לא ידועה עבור </w:t>
      </w:r>
      <w:r>
        <w:rPr>
          <w:rFonts w:cs="Arial" w:ascii="Arial" w:hAnsi="Arial"/>
          <w:sz w:val="28"/>
          <w:szCs w:val="28"/>
          <w:lang w:val="en-US" w:eastAsia="en-US"/>
        </w:rPr>
        <w:t>100</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 xml:space="preserve">באישום השני נטען שמכר לקטין קאנבוס עבור </w:t>
      </w:r>
      <w:r>
        <w:rPr>
          <w:rFonts w:cs="Arial" w:ascii="Arial" w:hAnsi="Arial"/>
          <w:sz w:val="28"/>
          <w:szCs w:val="28"/>
          <w:lang w:val="en-US" w:eastAsia="en-US"/>
        </w:rPr>
        <w:t>100</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באישום השלישי מיוחס למערער ריבוי מכירות קאנבוס לקטין</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באישום הרביעי מיוחסת למערער מכירת קאנבוס במשקל כ</w:t>
      </w:r>
      <w:r>
        <w:rPr>
          <w:rFonts w:cs="Arial" w:ascii="Arial" w:hAnsi="Arial"/>
          <w:sz w:val="28"/>
          <w:szCs w:val="28"/>
          <w:rtl w:val="true"/>
          <w:lang w:val="en-US" w:eastAsia="en-US"/>
        </w:rPr>
        <w:t>-</w:t>
      </w:r>
      <w:r>
        <w:rPr>
          <w:rFonts w:cs="Arial" w:ascii="Arial" w:hAnsi="Arial"/>
          <w:sz w:val="28"/>
          <w:szCs w:val="28"/>
          <w:lang w:val="en-US" w:eastAsia="en-US"/>
        </w:rPr>
        <w:t>19</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גרם עבור </w:t>
      </w:r>
      <w:r>
        <w:rPr>
          <w:rFonts w:cs="Arial" w:ascii="Arial" w:hAnsi="Arial"/>
          <w:sz w:val="28"/>
          <w:szCs w:val="28"/>
          <w:lang w:val="en-US" w:eastAsia="en-US"/>
        </w:rPr>
        <w:t>2,000</w:t>
      </w:r>
      <w:r>
        <w:rPr>
          <w:rFonts w:cs="Arial" w:ascii="Arial" w:hAnsi="Arial"/>
          <w:sz w:val="28"/>
          <w:szCs w:val="28"/>
          <w:rtl w:val="true"/>
          <w:lang w:val="en-US" w:eastAsia="en-US"/>
        </w:rPr>
        <w:t xml:space="preserve"> ₪.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עוד הורשע המערער בהפרת תנאים מגבילים בהם היה מצוי בהליך המעצר הנלווה לתיק הסחר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בכך שיצא מחוץ לביתו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נמלט משוטר ובכך הפריע לעבודתו</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3</w:t>
      </w:r>
      <w:r>
        <w:rPr>
          <w:rFonts w:cs="Arial" w:ascii="Arial" w:hAnsi="Arial"/>
          <w:sz w:val="28"/>
          <w:szCs w:val="28"/>
          <w:rtl w:val="true"/>
          <w:lang w:val="en-US" w:eastAsia="en-US"/>
        </w:rPr>
        <w:t>.</w:t>
        <w:tab/>
      </w:r>
      <w:r>
        <w:rPr>
          <w:rFonts w:ascii="Arial" w:hAnsi="Arial" w:cs="Arial"/>
          <w:sz w:val="28"/>
          <w:sz w:val="28"/>
          <w:szCs w:val="28"/>
          <w:rtl w:val="true"/>
          <w:lang w:val="en-US" w:eastAsia="en-US"/>
        </w:rPr>
        <w:t xml:space="preserve">מתסקיר שירות המבחן עלה כי המערער הוא בן </w:t>
      </w:r>
      <w:r>
        <w:rPr>
          <w:rFonts w:cs="Arial" w:ascii="Arial" w:hAnsi="Arial"/>
          <w:sz w:val="28"/>
          <w:szCs w:val="28"/>
          <w:lang w:val="en-US" w:eastAsia="en-US"/>
        </w:rPr>
        <w:t>23</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רווק ועובד בקיוסק</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בגיל </w:t>
      </w:r>
      <w:r>
        <w:rPr>
          <w:rFonts w:cs="Arial" w:ascii="Arial" w:hAnsi="Arial"/>
          <w:sz w:val="28"/>
          <w:szCs w:val="28"/>
          <w:lang w:val="en-US" w:eastAsia="en-US"/>
        </w:rPr>
        <w:t>14</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הוא החל להסתובב בחברה שולית ולא גויס לצה</w:t>
      </w:r>
      <w:r>
        <w:rPr>
          <w:rFonts w:cs="Arial" w:ascii="Arial" w:hAnsi="Arial"/>
          <w:sz w:val="28"/>
          <w:szCs w:val="28"/>
          <w:rtl w:val="true"/>
          <w:lang w:val="en-US" w:eastAsia="en-US"/>
        </w:rPr>
        <w:t>"</w:t>
      </w:r>
      <w:r>
        <w:rPr>
          <w:rFonts w:ascii="Arial" w:hAnsi="Arial" w:cs="Arial"/>
          <w:sz w:val="28"/>
          <w:sz w:val="28"/>
          <w:szCs w:val="28"/>
          <w:rtl w:val="true"/>
          <w:lang w:val="en-US" w:eastAsia="en-US"/>
        </w:rPr>
        <w:t>ל עקב עברו הפלילי</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לחובתו </w:t>
      </w:r>
      <w:r>
        <w:rPr>
          <w:rFonts w:cs="Arial" w:ascii="Arial" w:hAnsi="Arial"/>
          <w:sz w:val="28"/>
          <w:szCs w:val="28"/>
          <w:lang w:val="en-US" w:eastAsia="en-US"/>
        </w:rPr>
        <w:t>3</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הרשעות קודמות בביצוע עבירות אלימות ורכוש</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הוא סובל מהפרעות קשב וריכוז ומהיפראקטיביות וטופל תרופתית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הוא מטופל בביה</w:t>
      </w:r>
      <w:r>
        <w:rPr>
          <w:rFonts w:cs="Arial" w:ascii="Arial" w:hAnsi="Arial"/>
          <w:sz w:val="28"/>
          <w:szCs w:val="28"/>
          <w:rtl w:val="true"/>
          <w:lang w:val="en-US" w:eastAsia="en-US"/>
        </w:rPr>
        <w:t>"</w:t>
      </w:r>
      <w:r>
        <w:rPr>
          <w:rFonts w:ascii="Arial" w:hAnsi="Arial" w:cs="Arial"/>
          <w:sz w:val="28"/>
          <w:sz w:val="28"/>
          <w:szCs w:val="28"/>
          <w:rtl w:val="true"/>
          <w:lang w:val="en-US" w:eastAsia="en-US"/>
        </w:rPr>
        <w:t xml:space="preserve">ח </w:t>
      </w:r>
      <w:r>
        <w:rPr>
          <w:rFonts w:cs="Arial" w:ascii="Arial" w:hAnsi="Arial"/>
          <w:sz w:val="28"/>
          <w:szCs w:val="28"/>
          <w:rtl w:val="true"/>
          <w:lang w:val="en-US" w:eastAsia="en-US"/>
        </w:rPr>
        <w:t>"</w:t>
      </w:r>
      <w:r>
        <w:rPr>
          <w:rFonts w:ascii="Arial" w:hAnsi="Arial" w:cs="Arial"/>
          <w:sz w:val="28"/>
          <w:sz w:val="28"/>
          <w:szCs w:val="28"/>
          <w:rtl w:val="true"/>
          <w:lang w:val="en-US" w:eastAsia="en-US"/>
        </w:rPr>
        <w:t>שלוותה</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בגין פוסט טראומה שעבר בגיל </w:t>
      </w:r>
      <w:r>
        <w:rPr>
          <w:rFonts w:cs="Arial" w:ascii="Arial" w:hAnsi="Arial"/>
          <w:sz w:val="28"/>
          <w:szCs w:val="28"/>
          <w:lang w:val="en-US" w:eastAsia="en-US"/>
        </w:rPr>
        <w:t>13</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המערער בן למשפחה תומכת וחיובית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אך חלק מאחיו מעורבים בפעילות פלילית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וכשאחיו הגדול נרצח בחו</w:t>
      </w:r>
      <w:r>
        <w:rPr>
          <w:rFonts w:cs="Arial" w:ascii="Arial" w:hAnsi="Arial"/>
          <w:sz w:val="28"/>
          <w:szCs w:val="28"/>
          <w:rtl w:val="true"/>
          <w:lang w:val="en-US" w:eastAsia="en-US"/>
        </w:rPr>
        <w:t>"</w:t>
      </w:r>
      <w:r>
        <w:rPr>
          <w:rFonts w:ascii="Arial" w:hAnsi="Arial" w:cs="Arial"/>
          <w:sz w:val="28"/>
          <w:sz w:val="28"/>
          <w:szCs w:val="28"/>
          <w:rtl w:val="true"/>
          <w:lang w:val="en-US" w:eastAsia="en-US"/>
        </w:rPr>
        <w:t>ל לפני שנתיים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חווה המערער משבר נוסף</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שירות המבחן התרשם שהמערער דל כוחות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בעל דימוי עצמי נמוך</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שנחשף להתנהגויות ונורמות שוליות בסביבתו המשפחתית והחברתית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במסגרת הליך המעצר הועמד המערער בפיקוח מעצר ושולב בקבוצה טיפולית המיועדת לעצורי בית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הוא השתתף כמיטב יכולתו בקבוצה</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הביע מוטיבציה ורבלית לערוך שינוי בחייו ומסר בדיקות שתן נקיות מסמים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יחד עם זאת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חלה התדרדרות במצבו הנפשי והוא נזקק לטיפול  תרופתי</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קיים פער בין רצונו של המערער לערוך שינוי של ממש בחייו לחולשת כוחותיו וחשיפתו לחברה שולית</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המערער הודה במיוחס לו בכתב האישום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כשלדבריו מכר סמים במטרה להרוויח רווח קל ומהיר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הוא התנסה לראשונה בגיל </w:t>
      </w:r>
      <w:r>
        <w:rPr>
          <w:rFonts w:cs="Arial" w:ascii="Arial" w:hAnsi="Arial"/>
          <w:sz w:val="28"/>
          <w:szCs w:val="28"/>
          <w:lang w:val="en-US" w:eastAsia="en-US"/>
        </w:rPr>
        <w:t>16</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בצריכת גראס במסגרת קשריו החברתיים אך כיום הוא לא משתמש בסם</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4</w:t>
      </w:r>
      <w:r>
        <w:rPr>
          <w:rFonts w:cs="Arial" w:ascii="Arial" w:hAnsi="Arial"/>
          <w:sz w:val="28"/>
          <w:szCs w:val="28"/>
          <w:rtl w:val="true"/>
          <w:lang w:val="en-US" w:eastAsia="en-US"/>
        </w:rPr>
        <w:t>.</w:t>
        <w:tab/>
      </w:r>
      <w:r>
        <w:rPr>
          <w:rFonts w:ascii="Arial" w:hAnsi="Arial" w:cs="Arial"/>
          <w:sz w:val="28"/>
          <w:sz w:val="28"/>
          <w:szCs w:val="28"/>
          <w:rtl w:val="true"/>
          <w:lang w:val="en-US" w:eastAsia="en-US"/>
        </w:rPr>
        <w:t>מהתסקיר המשלים עולה שהמערער התקשה לשתף פעולה עם שירות המבחן</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ולא הגיע לחלק מהפגישות שנקבעו לו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מאידך מסר בדיקות נקיות מסם ועשה מאמצים לנהל אורח חיים תקין</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שירות המבחן מנה מספר גורמי סיכון וביניהם קשיי המערער בתפקוד והסתגלות למסגרות לגיטימיות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קושי בוויסות דחפים והתמודדות עם משברים שחווה בילדותו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לצד זאת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גורמי סיכוי בעלי משקל מצא שירות המבחן בגילו הצעיר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קבלת אחריות מלאה על המיוחס לו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העדר מעורבות נוספת בפלילים וניקיון מסם</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נוכח העדר בשלות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לא מתאים המערער להליך טיפולי והומלץ להטיל עליו מאסר בדרך של עבודות שירות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תוך ציון חששו מריצוי מאסר בפועל</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b/>
          <w:bCs/>
          <w:sz w:val="28"/>
          <w:szCs w:val="28"/>
          <w:u w:val="single"/>
          <w:lang w:val="en-US" w:eastAsia="en-US"/>
        </w:rPr>
      </w:pPr>
      <w:r>
        <w:rPr>
          <w:rFonts w:ascii="Arial" w:hAnsi="Arial" w:cs="Arial"/>
          <w:b/>
          <w:b/>
          <w:bCs/>
          <w:sz w:val="28"/>
          <w:sz w:val="28"/>
          <w:szCs w:val="28"/>
          <w:u w:val="single"/>
          <w:rtl w:val="true"/>
          <w:lang w:val="en-US" w:eastAsia="en-US"/>
        </w:rPr>
        <w:t>גזר דינו של בית משפט קמא</w:t>
      </w:r>
    </w:p>
    <w:p>
      <w:pPr>
        <w:pStyle w:val="Normal"/>
        <w:spacing w:lineRule="auto" w:line="360"/>
        <w:ind w:hanging="720" w:start="720" w:end="0"/>
        <w:jc w:val="both"/>
        <w:rPr>
          <w:rFonts w:ascii="Arial" w:hAnsi="Arial" w:cs="Arial"/>
          <w:b/>
          <w:bCs/>
          <w:sz w:val="28"/>
          <w:szCs w:val="28"/>
          <w:u w:val="single"/>
          <w:lang w:val="en-US" w:eastAsia="en-US"/>
        </w:rPr>
      </w:pPr>
      <w:r>
        <w:rPr>
          <w:rFonts w:cs="Arial" w:ascii="Arial" w:hAnsi="Arial"/>
          <w:b/>
          <w:bCs/>
          <w:sz w:val="28"/>
          <w:szCs w:val="28"/>
          <w:u w:val="single"/>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1</w:t>
      </w:r>
      <w:r>
        <w:rPr>
          <w:rFonts w:cs="Arial" w:ascii="Arial" w:hAnsi="Arial"/>
          <w:sz w:val="28"/>
          <w:szCs w:val="28"/>
          <w:rtl w:val="true"/>
          <w:lang w:val="en-US" w:eastAsia="en-US"/>
        </w:rPr>
        <w:t>.</w:t>
        <w:tab/>
      </w:r>
      <w:r>
        <w:rPr>
          <w:rFonts w:ascii="Arial" w:hAnsi="Arial" w:cs="Arial"/>
          <w:sz w:val="28"/>
          <w:sz w:val="28"/>
          <w:szCs w:val="28"/>
          <w:rtl w:val="true"/>
          <w:lang w:val="en-US" w:eastAsia="en-US"/>
        </w:rPr>
        <w:t>מעורבות המערער בביצוע עבירות של סחר בסם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חלקם לקטינים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מגבירה את חומרת מעשיו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על רקע כלכלי ונגישות לעולם הסמים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עשה לו המערער מנהג למכור סמים לאחרים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גם קטינים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אמנם מדובר בסם המוגדר כקל ובכמויות שאינן גדולות אלא ששיטתיות המעשים מלמדת על חומרתם ופגיעה מוחשית בערכים חברתיים וביניהם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הגנה על שלום הציבור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על בריאותם של הצורכים את הסמים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בדגש על ציבור הקטינים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המערער הפר הפרה בוטה את תנאיו המגבילים ובכך מעל באמון בית המשפט</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2</w:t>
      </w:r>
      <w:r>
        <w:rPr>
          <w:rFonts w:cs="Arial" w:ascii="Arial" w:hAnsi="Arial"/>
          <w:sz w:val="28"/>
          <w:szCs w:val="28"/>
          <w:rtl w:val="true"/>
          <w:lang w:val="en-US" w:eastAsia="en-US"/>
        </w:rPr>
        <w:t>.</w:t>
        <w:tab/>
      </w:r>
      <w:r>
        <w:rPr>
          <w:rFonts w:ascii="Arial" w:hAnsi="Arial" w:cs="Arial"/>
          <w:sz w:val="28"/>
          <w:sz w:val="28"/>
          <w:szCs w:val="28"/>
          <w:rtl w:val="true"/>
          <w:lang w:val="en-US" w:eastAsia="en-US"/>
        </w:rPr>
        <w:t>מדובר במכירות במועדים סמוכים ובקונים חוזרים ולכן מדובר במסכת אירועים אחת ונקבע מתחם ענישה כולל לכלל המעשים בהם הורשע המערער</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3</w:t>
      </w:r>
      <w:r>
        <w:rPr>
          <w:rFonts w:cs="Arial" w:ascii="Arial" w:hAnsi="Arial"/>
          <w:sz w:val="28"/>
          <w:szCs w:val="28"/>
          <w:rtl w:val="true"/>
          <w:lang w:val="en-US" w:eastAsia="en-US"/>
        </w:rPr>
        <w:t>.</w:t>
        <w:tab/>
      </w:r>
      <w:r>
        <w:rPr>
          <w:rFonts w:ascii="Arial" w:hAnsi="Arial" w:cs="Arial"/>
          <w:sz w:val="28"/>
          <w:sz w:val="28"/>
          <w:szCs w:val="28"/>
          <w:rtl w:val="true"/>
          <w:lang w:val="en-US" w:eastAsia="en-US"/>
        </w:rPr>
        <w:t>על פי מדיניות הענישה בעבירות סחר בסם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יש להחמיר עם סוחרי סמים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בעיקר עם מוכרי סם לקטינים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בחינת מדיניות הענישה המקובלת בעבירות סחר בסם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מעלה כי מתחם הענישה מגוון ורחב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במקרים דומים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ואף בסוגי סם קשים יותר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הושתו על נאשמים עונשים הנעים בין </w:t>
      </w:r>
      <w:r>
        <w:rPr>
          <w:rFonts w:cs="Arial" w:ascii="Arial" w:hAnsi="Arial"/>
          <w:sz w:val="28"/>
          <w:szCs w:val="28"/>
          <w:lang w:val="en-US" w:eastAsia="en-US"/>
        </w:rPr>
        <w:t>5</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חודשי מאסר בעבודות שירות לבין </w:t>
      </w:r>
      <w:r>
        <w:rPr>
          <w:rFonts w:cs="Arial" w:ascii="Arial" w:hAnsi="Arial"/>
          <w:sz w:val="28"/>
          <w:szCs w:val="28"/>
          <w:lang w:val="en-US" w:eastAsia="en-US"/>
        </w:rPr>
        <w:t>24</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חודשים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כשניתן משקל מסוים לנסיבות הסחר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לנסיבות הנאשם ולהליכי שיקום</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 xml:space="preserve">מתחם הענישה ההולם את מעשי המערער נע בין </w:t>
      </w:r>
      <w:r>
        <w:rPr>
          <w:rFonts w:cs="Arial" w:ascii="Arial" w:hAnsi="Arial"/>
          <w:sz w:val="28"/>
          <w:szCs w:val="28"/>
          <w:lang w:val="en-US" w:eastAsia="en-US"/>
        </w:rPr>
        <w:t>8</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חודשי מאסר בפועל ל</w:t>
      </w:r>
      <w:r>
        <w:rPr>
          <w:rFonts w:cs="Arial" w:ascii="Arial" w:hAnsi="Arial"/>
          <w:sz w:val="28"/>
          <w:szCs w:val="28"/>
          <w:rtl w:val="true"/>
          <w:lang w:val="en-US" w:eastAsia="en-US"/>
        </w:rPr>
        <w:t>-</w:t>
      </w:r>
      <w:r>
        <w:rPr>
          <w:rFonts w:cs="Arial" w:ascii="Arial" w:hAnsi="Arial"/>
          <w:sz w:val="28"/>
          <w:szCs w:val="28"/>
          <w:lang w:val="en-US" w:eastAsia="en-US"/>
        </w:rPr>
        <w:t>20</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חודשים</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4</w:t>
      </w:r>
      <w:r>
        <w:rPr>
          <w:rFonts w:cs="Arial" w:ascii="Arial" w:hAnsi="Arial"/>
          <w:sz w:val="28"/>
          <w:szCs w:val="28"/>
          <w:rtl w:val="true"/>
          <w:lang w:val="en-US" w:eastAsia="en-US"/>
        </w:rPr>
        <w:t>.</w:t>
        <w:tab/>
      </w:r>
      <w:r>
        <w:rPr>
          <w:rFonts w:ascii="Arial" w:hAnsi="Arial" w:cs="Arial"/>
          <w:sz w:val="28"/>
          <w:sz w:val="28"/>
          <w:szCs w:val="28"/>
          <w:rtl w:val="true"/>
          <w:lang w:val="en-US" w:eastAsia="en-US"/>
        </w:rPr>
        <w:t xml:space="preserve">המערער צעיר בן </w:t>
      </w:r>
      <w:r>
        <w:rPr>
          <w:rFonts w:cs="Arial" w:ascii="Arial" w:hAnsi="Arial"/>
          <w:sz w:val="28"/>
          <w:szCs w:val="28"/>
          <w:lang w:val="en-US" w:eastAsia="en-US"/>
        </w:rPr>
        <w:t>24</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בן למשפחה תומכת שחווה בחייו משברים קשים וטראומתיים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שהותירו בו צלקות קשות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הוא מתנהל בסביבה החשופה להתנהלות שולית ועבריינית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כשאופיו החלש</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בצירוף רצונו לגרוף רווחים קלים ומעורבותו בעולם הסמים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עומדים ברקע ביצוע עבירות הסחר בהן הורשע</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התמונה שעולה מהתסקירים מורכבת משום שמחד מביע המערער רצון מילולי לערוך שינויים בחייו ומאידך הוא לא משתף פעולה עם שירות המבחן ולא משקיע כוחות בהליך שיקום נחוץ</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בשנתיים האחרונות עושה המערער מאמצים להימנע ממעורבות פלילית נוספת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ואף נמנע משימוש בסם</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5</w:t>
      </w:r>
      <w:r>
        <w:rPr>
          <w:rFonts w:cs="Arial" w:ascii="Arial" w:hAnsi="Arial"/>
          <w:sz w:val="28"/>
          <w:szCs w:val="28"/>
          <w:rtl w:val="true"/>
          <w:lang w:val="en-US" w:eastAsia="en-US"/>
        </w:rPr>
        <w:t>.</w:t>
        <w:tab/>
      </w:r>
      <w:r>
        <w:rPr>
          <w:rFonts w:ascii="Arial" w:hAnsi="Arial" w:cs="Arial"/>
          <w:sz w:val="28"/>
          <w:sz w:val="28"/>
          <w:szCs w:val="28"/>
          <w:rtl w:val="true"/>
          <w:lang w:val="en-US" w:eastAsia="en-US"/>
        </w:rPr>
        <w:t>עניינו של המערער לא נופל בגדרי מקרי שיקום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הוא מצוי בחברה שולית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לא ניהל אורח חיים יציב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שלל נזקקות טיפולית ומובן חששו מפני מאסר ורגרסיה במצבו</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6</w:t>
      </w:r>
      <w:r>
        <w:rPr>
          <w:rFonts w:cs="Arial" w:ascii="Arial" w:hAnsi="Arial"/>
          <w:sz w:val="28"/>
          <w:szCs w:val="28"/>
          <w:rtl w:val="true"/>
          <w:lang w:val="en-US" w:eastAsia="en-US"/>
        </w:rPr>
        <w:t>.</w:t>
        <w:tab/>
      </w:r>
      <w:r>
        <w:rPr>
          <w:rFonts w:ascii="Arial" w:hAnsi="Arial" w:cs="Arial"/>
          <w:sz w:val="28"/>
          <w:sz w:val="28"/>
          <w:szCs w:val="28"/>
          <w:rtl w:val="true"/>
          <w:lang w:val="en-US" w:eastAsia="en-US"/>
        </w:rPr>
        <w:t>בית משפט קמא התחשב מחד בחומרת מעשי המערער וריבויים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בעברו הפלילי וברקע לביצוע עבירות הסם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ומאידך התחשב בנטילת אחריות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בהבנתו שהוא מצוי בחברה שולית וברצונו לשנות אורח חייו</w:t>
      </w:r>
      <w:r>
        <w:rPr>
          <w:rFonts w:cs="Arial" w:ascii="Arial" w:hAnsi="Arial"/>
          <w:sz w:val="28"/>
          <w:szCs w:val="28"/>
          <w:rtl w:val="true"/>
          <w:lang w:val="en-US" w:eastAsia="en-US"/>
        </w:rPr>
        <w:t xml:space="preserve">. </w:t>
      </w:r>
    </w:p>
    <w:p>
      <w:pPr>
        <w:pStyle w:val="Normal"/>
        <w:spacing w:lineRule="auto" w:line="360"/>
        <w:ind w:start="720" w:end="0"/>
        <w:jc w:val="both"/>
        <w:rPr>
          <w:rFonts w:ascii="Arial" w:hAnsi="Arial" w:cs="Arial"/>
          <w:sz w:val="28"/>
          <w:szCs w:val="28"/>
          <w:lang w:val="en-US" w:eastAsia="en-US"/>
        </w:rPr>
      </w:pPr>
      <w:r>
        <w:rPr>
          <w:rFonts w:ascii="Arial" w:hAnsi="Arial" w:cs="Arial"/>
          <w:sz w:val="28"/>
          <w:sz w:val="28"/>
          <w:szCs w:val="28"/>
          <w:rtl w:val="true"/>
          <w:lang w:val="en-US" w:eastAsia="en-US"/>
        </w:rPr>
        <w:t>אין מנוס משליחת המערער למאסר בפועל אך יש בנסיבותיו כדי להביא להקלה מסוימת בתקופת המאסר שתיגזר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מתוך מטרה שלא להביא להתדרדרות משמעותית במצבו ולדרבנו להמשיך בדרכו</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b/>
          <w:bCs/>
          <w:sz w:val="28"/>
          <w:szCs w:val="28"/>
          <w:u w:val="single"/>
          <w:lang w:val="en-US" w:eastAsia="en-US"/>
        </w:rPr>
      </w:pPr>
      <w:r>
        <w:rPr>
          <w:rFonts w:ascii="Arial" w:hAnsi="Arial" w:cs="Arial"/>
          <w:b/>
          <w:b/>
          <w:bCs/>
          <w:sz w:val="28"/>
          <w:sz w:val="28"/>
          <w:szCs w:val="28"/>
          <w:u w:val="single"/>
          <w:rtl w:val="true"/>
          <w:lang w:val="en-US" w:eastAsia="en-US"/>
        </w:rPr>
        <w:t>נימוקי הערעור</w:t>
      </w:r>
    </w:p>
    <w:p>
      <w:pPr>
        <w:pStyle w:val="Normal"/>
        <w:spacing w:lineRule="auto" w:line="360"/>
        <w:ind w:end="0"/>
        <w:jc w:val="both"/>
        <w:rPr>
          <w:rFonts w:ascii="Arial" w:hAnsi="Arial" w:cs="Arial"/>
          <w:b/>
          <w:bCs/>
          <w:sz w:val="28"/>
          <w:szCs w:val="28"/>
          <w:u w:val="single"/>
          <w:lang w:val="en-US" w:eastAsia="en-US"/>
        </w:rPr>
      </w:pPr>
      <w:r>
        <w:rPr>
          <w:rFonts w:cs="Arial" w:ascii="Arial" w:hAnsi="Arial"/>
          <w:b/>
          <w:bCs/>
          <w:sz w:val="28"/>
          <w:szCs w:val="28"/>
          <w:u w:val="single"/>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1</w:t>
      </w:r>
      <w:r>
        <w:rPr>
          <w:rFonts w:cs="Arial" w:ascii="Arial" w:hAnsi="Arial"/>
          <w:sz w:val="28"/>
          <w:szCs w:val="28"/>
          <w:rtl w:val="true"/>
          <w:lang w:val="en-US" w:eastAsia="en-US"/>
        </w:rPr>
        <w:t>.</w:t>
        <w:tab/>
      </w:r>
      <w:r>
        <w:rPr>
          <w:rFonts w:ascii="Arial" w:hAnsi="Arial" w:cs="Arial"/>
          <w:sz w:val="28"/>
          <w:sz w:val="28"/>
          <w:szCs w:val="28"/>
          <w:rtl w:val="true"/>
          <w:lang w:val="en-US" w:eastAsia="en-US"/>
        </w:rPr>
        <w:t>בית משפט קמא לא נתן משקל להודאתו של המערער בפני מותב אחר</w:t>
      </w:r>
      <w:r>
        <w:rPr>
          <w:rFonts w:cs="Arial" w:ascii="Arial" w:hAnsi="Arial"/>
          <w:sz w:val="28"/>
          <w:szCs w:val="28"/>
          <w:rtl w:val="true"/>
          <w:lang w:val="en-US" w:eastAsia="en-US"/>
        </w:rPr>
        <w:t xml:space="preserve">. </w:t>
      </w:r>
    </w:p>
    <w:p>
      <w:pPr>
        <w:pStyle w:val="Normal"/>
        <w:spacing w:lineRule="auto" w:line="360"/>
        <w:ind w:start="720" w:end="0"/>
        <w:jc w:val="both"/>
        <w:rPr>
          <w:rFonts w:ascii="Arial" w:hAnsi="Arial" w:cs="Arial"/>
          <w:sz w:val="28"/>
          <w:szCs w:val="28"/>
          <w:lang w:val="en-US" w:eastAsia="en-US"/>
        </w:rPr>
      </w:pPr>
      <w:r>
        <w:rPr>
          <w:rFonts w:ascii="Arial" w:hAnsi="Arial" w:cs="Arial"/>
          <w:sz w:val="28"/>
          <w:sz w:val="28"/>
          <w:szCs w:val="28"/>
          <w:rtl w:val="true"/>
          <w:lang w:val="en-US" w:eastAsia="en-US"/>
        </w:rPr>
        <w:t>ההליך נפרס על פני תקופה ארוכה</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 דן ברוב ההליך ובשלב הטיעונים לעונש עבר התיק למותב אחר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שגזר את דינו ולא נתן כלל משקל להליך שהתנהל עד שלב הטיעונים לעונש</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2</w:t>
      </w:r>
      <w:r>
        <w:rPr>
          <w:rFonts w:cs="Arial" w:ascii="Arial" w:hAnsi="Arial"/>
          <w:sz w:val="28"/>
          <w:szCs w:val="28"/>
          <w:rtl w:val="true"/>
          <w:lang w:val="en-US" w:eastAsia="en-US"/>
        </w:rPr>
        <w:t>.</w:t>
        <w:tab/>
      </w:r>
      <w:r>
        <w:rPr>
          <w:rFonts w:ascii="Arial" w:hAnsi="Arial" w:cs="Arial"/>
          <w:sz w:val="28"/>
          <w:sz w:val="28"/>
          <w:szCs w:val="28"/>
          <w:rtl w:val="true"/>
          <w:lang w:val="en-US" w:eastAsia="en-US"/>
        </w:rPr>
        <w:t>בית משפט קמא לא התייחס לעובדה שהמערער נשלח לקבלת חוות דעת ממונה על עבודות שירות שחזרה חיובית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שליחת המערער לממונה על ידי השופט קרשן יצרה אצלו הסתמכות כלשהי</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שבית משפט קמא התעלם ממנה לחלוטין</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3</w:t>
      </w:r>
      <w:r>
        <w:rPr>
          <w:rFonts w:cs="Arial" w:ascii="Arial" w:hAnsi="Arial"/>
          <w:sz w:val="28"/>
          <w:szCs w:val="28"/>
          <w:rtl w:val="true"/>
          <w:lang w:val="en-US" w:eastAsia="en-US"/>
        </w:rPr>
        <w:t>.</w:t>
        <w:tab/>
      </w:r>
      <w:r>
        <w:rPr>
          <w:rFonts w:ascii="Arial" w:hAnsi="Arial" w:cs="Arial"/>
          <w:sz w:val="28"/>
          <w:sz w:val="28"/>
          <w:szCs w:val="28"/>
          <w:rtl w:val="true"/>
          <w:lang w:val="en-US" w:eastAsia="en-US"/>
        </w:rPr>
        <w:t>בית משפט קמא לא נתן משקל מספיק לנסיבותיו האישיות של המערער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לעובדה כי אחיו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אליו היה קרוב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נרצח לפני מספר שנים בחו</w:t>
      </w:r>
      <w:r>
        <w:rPr>
          <w:rFonts w:cs="Arial" w:ascii="Arial" w:hAnsi="Arial"/>
          <w:sz w:val="28"/>
          <w:szCs w:val="28"/>
          <w:rtl w:val="true"/>
          <w:lang w:val="en-US" w:eastAsia="en-US"/>
        </w:rPr>
        <w:t>"</w:t>
      </w:r>
      <w:r>
        <w:rPr>
          <w:rFonts w:ascii="Arial" w:hAnsi="Arial" w:cs="Arial"/>
          <w:sz w:val="28"/>
          <w:sz w:val="28"/>
          <w:szCs w:val="28"/>
          <w:rtl w:val="true"/>
          <w:lang w:val="en-US" w:eastAsia="en-US"/>
        </w:rPr>
        <w:t>ל ועד כה לא נתפסו רוצחיו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בית משפט קמא לא נתן משקל לפגיעות שעבר המערער כילד וכנער ולבדיקה הפסיכולוגית שעבר בעבר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שלימדה כי מדובר במי שיכולותיו הקוגנטיביות נמוכות והוא סובל מטראומה קשה</w:t>
      </w:r>
      <w:r>
        <w:rPr>
          <w:rFonts w:cs="Arial" w:ascii="Arial" w:hAnsi="Arial"/>
          <w:sz w:val="28"/>
          <w:szCs w:val="28"/>
          <w:rtl w:val="true"/>
          <w:lang w:val="en-US" w:eastAsia="en-US"/>
        </w:rPr>
        <w:t>.</w:t>
      </w:r>
    </w:p>
    <w:p>
      <w:pPr>
        <w:pStyle w:val="Normal"/>
        <w:spacing w:lineRule="auto" w:line="360"/>
        <w:ind w:start="720" w:end="0"/>
        <w:jc w:val="both"/>
        <w:rPr/>
      </w:pPr>
      <w:r>
        <w:rPr>
          <w:rFonts w:ascii="Arial" w:hAnsi="Arial" w:cs="Arial"/>
          <w:sz w:val="28"/>
          <w:sz w:val="28"/>
          <w:szCs w:val="28"/>
          <w:rtl w:val="true"/>
          <w:lang w:val="en-US" w:eastAsia="en-US"/>
        </w:rPr>
        <w:t>היה מקום להתחשב גם בעובדה שהמערער עושה תהליך של יציאה מהעולם העברייני שסבב אותו</w:t>
      </w:r>
      <w:r>
        <w:rPr>
          <w:rFonts w:cs="Arial" w:ascii="Arial" w:hAnsi="Arial"/>
          <w:sz w:val="28"/>
          <w:szCs w:val="28"/>
          <w:rtl w:val="true"/>
          <w:lang w:val="en-US" w:eastAsia="en-US"/>
        </w:rPr>
        <w:t xml:space="preserve">. </w:t>
      </w:r>
      <w:r>
        <w:rPr>
          <w:rFonts w:cs="Arial" w:ascii="Arial" w:hAnsi="Arial"/>
          <w:sz w:val="28"/>
          <w:szCs w:val="28"/>
          <w:rtl w:val="true"/>
          <w:lang w:val="en-US" w:eastAsia="en-US"/>
        </w:rPr>
        <w:tab/>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4</w:t>
      </w:r>
      <w:r>
        <w:rPr>
          <w:rFonts w:cs="Arial" w:ascii="Arial" w:hAnsi="Arial"/>
          <w:sz w:val="28"/>
          <w:szCs w:val="28"/>
          <w:rtl w:val="true"/>
          <w:lang w:val="en-US" w:eastAsia="en-US"/>
        </w:rPr>
        <w:t>.</w:t>
        <w:tab/>
      </w:r>
      <w:r>
        <w:rPr>
          <w:rFonts w:ascii="Arial" w:hAnsi="Arial" w:cs="Arial"/>
          <w:sz w:val="28"/>
          <w:sz w:val="28"/>
          <w:szCs w:val="28"/>
          <w:rtl w:val="true"/>
          <w:lang w:val="en-US" w:eastAsia="en-US"/>
        </w:rPr>
        <w:t>בית משפט קמא לא נתן די משקל להליך שיקומו של המערער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לא חרג מהמתחם שקבע ולא מיקם את המערער בתחתית המתחם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היה מקום ליתן משקל לדרך הארוכה שעבר המערער מאז הגשת כתב האישום נגדו ולעובדה שלא נפתחו נגדו תיקים פליליים</w:t>
      </w:r>
      <w:r>
        <w:rPr>
          <w:rFonts w:cs="Arial" w:ascii="Arial" w:hAnsi="Arial"/>
          <w:sz w:val="28"/>
          <w:szCs w:val="28"/>
          <w:rtl w:val="true"/>
          <w:lang w:val="en-US" w:eastAsia="en-US"/>
        </w:rPr>
        <w:t>.</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lang w:val="en-US" w:eastAsia="en-US"/>
        </w:rPr>
        <w:t>5</w:t>
      </w:r>
      <w:r>
        <w:rPr>
          <w:rFonts w:cs="Arial" w:ascii="Arial" w:hAnsi="Arial"/>
          <w:sz w:val="28"/>
          <w:szCs w:val="28"/>
          <w:rtl w:val="true"/>
          <w:lang w:val="en-US" w:eastAsia="en-US"/>
        </w:rPr>
        <w:t>.</w:t>
        <w:tab/>
      </w:r>
      <w:r>
        <w:rPr>
          <w:rFonts w:ascii="Arial" w:hAnsi="Arial" w:cs="Arial"/>
          <w:sz w:val="28"/>
          <w:sz w:val="28"/>
          <w:szCs w:val="28"/>
          <w:rtl w:val="true"/>
          <w:lang w:val="en-US" w:eastAsia="en-US"/>
        </w:rPr>
        <w:t>בית משפט קמא לא נתן משקל מספיק להודאת המערער</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6</w:t>
      </w:r>
      <w:r>
        <w:rPr>
          <w:rFonts w:cs="Arial" w:ascii="Arial" w:hAnsi="Arial"/>
          <w:sz w:val="28"/>
          <w:szCs w:val="28"/>
          <w:rtl w:val="true"/>
          <w:lang w:val="en-US" w:eastAsia="en-US"/>
        </w:rPr>
        <w:t>.</w:t>
        <w:tab/>
      </w:r>
      <w:r>
        <w:rPr>
          <w:rFonts w:ascii="Arial" w:hAnsi="Arial" w:cs="Arial"/>
          <w:sz w:val="28"/>
          <w:sz w:val="28"/>
          <w:szCs w:val="28"/>
          <w:rtl w:val="true"/>
          <w:lang w:val="en-US" w:eastAsia="en-US"/>
        </w:rPr>
        <w:t>בית משפט קמא קבע מתחם ענישה תוך הסתמכות על פסקי דין שעניינם שונה לחלוטין מעניינו של המערער</w:t>
      </w:r>
      <w:r>
        <w:rPr>
          <w:rFonts w:cs="Arial" w:ascii="Arial" w:hAnsi="Arial"/>
          <w:sz w:val="28"/>
          <w:szCs w:val="28"/>
          <w:rtl w:val="true"/>
          <w:lang w:val="en-US" w:eastAsia="en-US"/>
        </w:rPr>
        <w:t>.</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7</w:t>
      </w:r>
      <w:r>
        <w:rPr>
          <w:rFonts w:cs="Arial" w:ascii="Arial" w:hAnsi="Arial"/>
          <w:sz w:val="28"/>
          <w:szCs w:val="28"/>
          <w:rtl w:val="true"/>
          <w:lang w:val="en-US" w:eastAsia="en-US"/>
        </w:rPr>
        <w:t>.</w:t>
        <w:tab/>
      </w:r>
      <w:r>
        <w:rPr>
          <w:rFonts w:ascii="Arial" w:hAnsi="Arial" w:cs="Arial"/>
          <w:sz w:val="28"/>
          <w:sz w:val="28"/>
          <w:szCs w:val="28"/>
          <w:rtl w:val="true"/>
          <w:lang w:val="en-US" w:eastAsia="en-US"/>
        </w:rPr>
        <w:t>במהלך הדיון בפנינו טען ב</w:t>
      </w:r>
      <w:r>
        <w:rPr>
          <w:rFonts w:cs="Arial" w:ascii="Arial" w:hAnsi="Arial"/>
          <w:sz w:val="28"/>
          <w:szCs w:val="28"/>
          <w:rtl w:val="true"/>
          <w:lang w:val="en-US" w:eastAsia="en-US"/>
        </w:rPr>
        <w:t>"</w:t>
      </w:r>
      <w:r>
        <w:rPr>
          <w:rFonts w:ascii="Arial" w:hAnsi="Arial" w:cs="Arial"/>
          <w:sz w:val="28"/>
          <w:sz w:val="28"/>
          <w:szCs w:val="28"/>
          <w:rtl w:val="true"/>
          <w:lang w:val="en-US" w:eastAsia="en-US"/>
        </w:rPr>
        <w:t>כ המערער שלא מן הראוי היה להעביר את הדיון בשלב הטיעונים לעונש לכב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השופטת גרינברג</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לאחר שכב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 קיבל שני תסקירי מבחן וחוו</w:t>
      </w:r>
      <w:r>
        <w:rPr>
          <w:rFonts w:cs="Arial" w:ascii="Arial" w:hAnsi="Arial"/>
          <w:sz w:val="28"/>
          <w:szCs w:val="28"/>
          <w:rtl w:val="true"/>
          <w:lang w:val="en-US" w:eastAsia="en-US"/>
        </w:rPr>
        <w:t>"</w:t>
      </w:r>
      <w:r>
        <w:rPr>
          <w:rFonts w:ascii="Arial" w:hAnsi="Arial" w:cs="Arial"/>
          <w:sz w:val="28"/>
          <w:sz w:val="28"/>
          <w:szCs w:val="28"/>
          <w:rtl w:val="true"/>
          <w:lang w:val="en-US" w:eastAsia="en-US"/>
        </w:rPr>
        <w:t xml:space="preserve">ד חיובית של הממונה על עבודות שירות </w:t>
      </w:r>
      <w:r>
        <w:rPr>
          <w:rFonts w:cs="Arial" w:ascii="Arial" w:hAnsi="Arial"/>
          <w:sz w:val="28"/>
          <w:szCs w:val="28"/>
          <w:rtl w:val="true"/>
          <w:lang w:val="en-US" w:eastAsia="en-US"/>
        </w:rPr>
        <w:t>(</w:t>
      </w:r>
      <w:r>
        <w:rPr>
          <w:rFonts w:ascii="Arial" w:hAnsi="Arial" w:cs="Arial"/>
          <w:sz w:val="28"/>
          <w:sz w:val="28"/>
          <w:szCs w:val="28"/>
          <w:rtl w:val="true"/>
          <w:lang w:val="en-US" w:eastAsia="en-US"/>
        </w:rPr>
        <w:t>להלן</w:t>
      </w:r>
      <w:r>
        <w:rPr>
          <w:rFonts w:cs="Arial" w:ascii="Arial" w:hAnsi="Arial"/>
          <w:sz w:val="28"/>
          <w:szCs w:val="28"/>
          <w:rtl w:val="true"/>
          <w:lang w:val="en-US" w:eastAsia="en-US"/>
        </w:rPr>
        <w:t>: "</w:t>
      </w:r>
      <w:r>
        <w:rPr>
          <w:rFonts w:ascii="Arial" w:hAnsi="Arial" w:cs="Arial"/>
          <w:sz w:val="28"/>
          <w:sz w:val="28"/>
          <w:szCs w:val="28"/>
          <w:rtl w:val="true"/>
          <w:lang w:val="en-US" w:eastAsia="en-US"/>
        </w:rPr>
        <w:t>הממונה</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אליו שלח אותו השופט קרשן לאחר קבלת התסקיר</w:t>
      </w:r>
      <w:r>
        <w:rPr>
          <w:rFonts w:cs="Arial" w:ascii="Arial" w:hAnsi="Arial"/>
          <w:sz w:val="28"/>
          <w:szCs w:val="28"/>
          <w:rtl w:val="true"/>
          <w:lang w:val="en-US" w:eastAsia="en-US"/>
        </w:rPr>
        <w:t xml:space="preserve">. </w:t>
      </w:r>
    </w:p>
    <w:p>
      <w:pPr>
        <w:pStyle w:val="Normal"/>
        <w:spacing w:lineRule="auto" w:line="360"/>
        <w:ind w:start="720" w:end="0"/>
        <w:jc w:val="both"/>
        <w:rPr>
          <w:rFonts w:ascii="Arial" w:hAnsi="Arial" w:cs="Arial"/>
          <w:sz w:val="28"/>
          <w:szCs w:val="28"/>
          <w:lang w:val="en-US" w:eastAsia="en-US"/>
        </w:rPr>
      </w:pPr>
      <w:r>
        <w:rPr>
          <w:rFonts w:ascii="Arial" w:hAnsi="Arial" w:cs="Arial"/>
          <w:sz w:val="28"/>
          <w:sz w:val="28"/>
          <w:szCs w:val="28"/>
          <w:rtl w:val="true"/>
          <w:lang w:val="en-US" w:eastAsia="en-US"/>
        </w:rPr>
        <w:t>מגזר הדין עולה שכב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השופטת גרינברג לא התייחסה להליכים אלה</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שהתנהלו בפני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w:t>
      </w:r>
      <w:r>
        <w:rPr>
          <w:rFonts w:cs="Arial" w:ascii="Arial" w:hAnsi="Arial"/>
          <w:sz w:val="28"/>
          <w:szCs w:val="28"/>
          <w:rtl w:val="true"/>
          <w:lang w:val="en-US" w:eastAsia="en-US"/>
        </w:rPr>
        <w:t xml:space="preserve">. </w:t>
      </w:r>
    </w:p>
    <w:p>
      <w:pPr>
        <w:pStyle w:val="Normal"/>
        <w:spacing w:lineRule="auto" w:line="360"/>
        <w:ind w:start="720" w:end="0"/>
        <w:jc w:val="both"/>
        <w:rPr>
          <w:rFonts w:ascii="Arial" w:hAnsi="Arial" w:cs="Arial"/>
          <w:sz w:val="28"/>
          <w:szCs w:val="28"/>
          <w:lang w:val="en-US" w:eastAsia="en-US"/>
        </w:rPr>
      </w:pPr>
      <w:r>
        <w:rPr>
          <w:rFonts w:ascii="Arial" w:hAnsi="Arial" w:cs="Arial"/>
          <w:sz w:val="28"/>
          <w:sz w:val="28"/>
          <w:szCs w:val="28"/>
          <w:rtl w:val="true"/>
          <w:lang w:val="en-US" w:eastAsia="en-US"/>
        </w:rPr>
        <w:t>לטענתו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השופטת גרינברג לא לקחה בחשבון את העובדה שמאז מעצרו בגין תיק הסחר בסמים ועד היום לא נפתחו נגד המערער תיקים נוספים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בניגוד למצב בהיותו נער כשביצע עבירות רכוש</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b/>
          <w:bCs/>
          <w:sz w:val="28"/>
          <w:szCs w:val="28"/>
          <w:u w:val="single"/>
          <w:lang w:val="en-US" w:eastAsia="en-US"/>
        </w:rPr>
      </w:pPr>
      <w:r>
        <w:rPr>
          <w:rFonts w:ascii="Arial" w:hAnsi="Arial" w:cs="Arial"/>
          <w:b/>
          <w:b/>
          <w:bCs/>
          <w:sz w:val="28"/>
          <w:sz w:val="28"/>
          <w:szCs w:val="28"/>
          <w:u w:val="single"/>
          <w:rtl w:val="true"/>
          <w:lang w:val="en-US" w:eastAsia="en-US"/>
        </w:rPr>
        <w:t>תגובת ב</w:t>
      </w:r>
      <w:r>
        <w:rPr>
          <w:rFonts w:cs="Arial" w:ascii="Arial" w:hAnsi="Arial"/>
          <w:b/>
          <w:bCs/>
          <w:sz w:val="28"/>
          <w:szCs w:val="28"/>
          <w:u w:val="single"/>
          <w:rtl w:val="true"/>
          <w:lang w:val="en-US" w:eastAsia="en-US"/>
        </w:rPr>
        <w:t>"</w:t>
      </w:r>
      <w:r>
        <w:rPr>
          <w:rFonts w:ascii="Arial" w:hAnsi="Arial" w:cs="Arial"/>
          <w:b/>
          <w:b/>
          <w:bCs/>
          <w:sz w:val="28"/>
          <w:sz w:val="28"/>
          <w:szCs w:val="28"/>
          <w:u w:val="single"/>
          <w:rtl w:val="true"/>
          <w:lang w:val="en-US" w:eastAsia="en-US"/>
        </w:rPr>
        <w:t>כ המשיבה</w:t>
      </w:r>
    </w:p>
    <w:p>
      <w:pPr>
        <w:pStyle w:val="Normal"/>
        <w:spacing w:lineRule="auto" w:line="360"/>
        <w:ind w:end="0"/>
        <w:jc w:val="both"/>
        <w:rPr>
          <w:rFonts w:ascii="Arial" w:hAnsi="Arial" w:cs="Arial"/>
          <w:b/>
          <w:bCs/>
          <w:sz w:val="28"/>
          <w:szCs w:val="28"/>
          <w:u w:val="single"/>
          <w:lang w:val="en-US" w:eastAsia="en-US"/>
        </w:rPr>
      </w:pPr>
      <w:r>
        <w:rPr>
          <w:rFonts w:cs="Arial" w:ascii="Arial" w:hAnsi="Arial"/>
          <w:b/>
          <w:bCs/>
          <w:sz w:val="28"/>
          <w:szCs w:val="28"/>
          <w:u w:val="single"/>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1</w:t>
      </w:r>
      <w:r>
        <w:rPr>
          <w:rFonts w:cs="Arial" w:ascii="Arial" w:hAnsi="Arial"/>
          <w:sz w:val="28"/>
          <w:szCs w:val="28"/>
          <w:rtl w:val="true"/>
          <w:lang w:val="en-US" w:eastAsia="en-US"/>
        </w:rPr>
        <w:t>.</w:t>
        <w:tab/>
      </w:r>
      <w:r>
        <w:rPr>
          <w:rFonts w:ascii="Arial" w:hAnsi="Arial" w:cs="Arial"/>
          <w:sz w:val="28"/>
          <w:sz w:val="28"/>
          <w:szCs w:val="28"/>
          <w:rtl w:val="true"/>
          <w:lang w:val="en-US" w:eastAsia="en-US"/>
        </w:rPr>
        <w:t>המערער לא הופנה לממונה לאחר שמיעת טיעונים לעונש</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אמנם הוא לא הופנה בשלב התחלתי של ההליך ובימ</w:t>
      </w:r>
      <w:r>
        <w:rPr>
          <w:rFonts w:cs="Arial" w:ascii="Arial" w:hAnsi="Arial"/>
          <w:sz w:val="28"/>
          <w:szCs w:val="28"/>
          <w:rtl w:val="true"/>
          <w:lang w:val="en-US" w:eastAsia="en-US"/>
        </w:rPr>
        <w:t>"</w:t>
      </w:r>
      <w:r>
        <w:rPr>
          <w:rFonts w:ascii="Arial" w:hAnsi="Arial" w:cs="Arial"/>
          <w:sz w:val="28"/>
          <w:sz w:val="28"/>
          <w:szCs w:val="28"/>
          <w:rtl w:val="true"/>
          <w:lang w:val="en-US" w:eastAsia="en-US"/>
        </w:rPr>
        <w:t>ש קמא לא קבע בהחלטתו שאל למערער לפתח ציפיות אך המאשימה טענה לכל אורך ההליך שהיא תעתור להטלת מאסר בפועל</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2</w:t>
      </w:r>
      <w:r>
        <w:rPr>
          <w:rFonts w:cs="Arial" w:ascii="Arial" w:hAnsi="Arial"/>
          <w:sz w:val="28"/>
          <w:szCs w:val="28"/>
          <w:rtl w:val="true"/>
          <w:lang w:val="en-US" w:eastAsia="en-US"/>
        </w:rPr>
        <w:t>.</w:t>
        <w:tab/>
      </w:r>
      <w:r>
        <w:rPr>
          <w:rFonts w:ascii="Arial" w:hAnsi="Arial" w:cs="Arial"/>
          <w:sz w:val="28"/>
          <w:sz w:val="28"/>
          <w:szCs w:val="28"/>
          <w:rtl w:val="true"/>
          <w:lang w:val="en-US" w:eastAsia="en-US"/>
        </w:rPr>
        <w:t>המערער לא טען בבימ</w:t>
      </w:r>
      <w:r>
        <w:rPr>
          <w:rFonts w:cs="Arial" w:ascii="Arial" w:hAnsi="Arial"/>
          <w:sz w:val="28"/>
          <w:szCs w:val="28"/>
          <w:rtl w:val="true"/>
          <w:lang w:val="en-US" w:eastAsia="en-US"/>
        </w:rPr>
        <w:t>"</w:t>
      </w:r>
      <w:r>
        <w:rPr>
          <w:rFonts w:ascii="Arial" w:hAnsi="Arial" w:cs="Arial"/>
          <w:sz w:val="28"/>
          <w:sz w:val="28"/>
          <w:szCs w:val="28"/>
          <w:rtl w:val="true"/>
          <w:lang w:val="en-US" w:eastAsia="en-US"/>
        </w:rPr>
        <w:t>ש קמא כנגד החלפת המותב וטען לראשונה בעניין זה רק לאחר שהתוצאה הסופית של גזה</w:t>
      </w:r>
      <w:r>
        <w:rPr>
          <w:rFonts w:cs="Arial" w:ascii="Arial" w:hAnsi="Arial"/>
          <w:sz w:val="28"/>
          <w:szCs w:val="28"/>
          <w:rtl w:val="true"/>
          <w:lang w:val="en-US" w:eastAsia="en-US"/>
        </w:rPr>
        <w:t>"</w:t>
      </w:r>
      <w:r>
        <w:rPr>
          <w:rFonts w:ascii="Arial" w:hAnsi="Arial" w:cs="Arial"/>
          <w:sz w:val="28"/>
          <w:sz w:val="28"/>
          <w:szCs w:val="28"/>
          <w:rtl w:val="true"/>
          <w:lang w:val="en-US" w:eastAsia="en-US"/>
        </w:rPr>
        <w:t>ד שונה ממה שחשב</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3</w:t>
      </w:r>
      <w:r>
        <w:rPr>
          <w:rFonts w:cs="Arial" w:ascii="Arial" w:hAnsi="Arial"/>
          <w:sz w:val="28"/>
          <w:szCs w:val="28"/>
          <w:rtl w:val="true"/>
          <w:lang w:val="en-US" w:eastAsia="en-US"/>
        </w:rPr>
        <w:t>.</w:t>
        <w:tab/>
      </w:r>
      <w:r>
        <w:rPr>
          <w:rFonts w:ascii="Arial" w:hAnsi="Arial" w:cs="Arial"/>
          <w:sz w:val="28"/>
          <w:sz w:val="28"/>
          <w:szCs w:val="28"/>
          <w:rtl w:val="true"/>
          <w:lang w:val="en-US" w:eastAsia="en-US"/>
        </w:rPr>
        <w:t>המתחם שקבע בימ</w:t>
      </w:r>
      <w:r>
        <w:rPr>
          <w:rFonts w:cs="Arial" w:ascii="Arial" w:hAnsi="Arial"/>
          <w:sz w:val="28"/>
          <w:szCs w:val="28"/>
          <w:rtl w:val="true"/>
          <w:lang w:val="en-US" w:eastAsia="en-US"/>
        </w:rPr>
        <w:t>"</w:t>
      </w:r>
      <w:r>
        <w:rPr>
          <w:rFonts w:ascii="Arial" w:hAnsi="Arial" w:cs="Arial"/>
          <w:sz w:val="28"/>
          <w:sz w:val="28"/>
          <w:szCs w:val="28"/>
          <w:rtl w:val="true"/>
          <w:lang w:val="en-US" w:eastAsia="en-US"/>
        </w:rPr>
        <w:t xml:space="preserve">ש קמא בין </w:t>
      </w:r>
      <w:r>
        <w:rPr>
          <w:rFonts w:cs="Arial" w:ascii="Arial" w:hAnsi="Arial"/>
          <w:sz w:val="28"/>
          <w:szCs w:val="28"/>
          <w:lang w:val="en-US" w:eastAsia="en-US"/>
        </w:rPr>
        <w:t>21-8</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חודשי מאסר הוא מתחם מבוסס</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עונשו של המערער מוקם בתחתית המתחם למרות עברו הפלילי</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4</w:t>
      </w:r>
      <w:r>
        <w:rPr>
          <w:rFonts w:cs="Arial" w:ascii="Arial" w:hAnsi="Arial"/>
          <w:sz w:val="28"/>
          <w:szCs w:val="28"/>
          <w:rtl w:val="true"/>
          <w:lang w:val="en-US" w:eastAsia="en-US"/>
        </w:rPr>
        <w:t>.</w:t>
        <w:tab/>
      </w:r>
      <w:r>
        <w:rPr>
          <w:rFonts w:ascii="Arial" w:hAnsi="Arial" w:cs="Arial"/>
          <w:sz w:val="28"/>
          <w:sz w:val="28"/>
          <w:szCs w:val="28"/>
          <w:rtl w:val="true"/>
          <w:lang w:val="en-US" w:eastAsia="en-US"/>
        </w:rPr>
        <w:t>התסקירים שהתקבלו בעניינו של המערער אינם חיוביים וגם שירות המבחן לא ממליץ על עבודות שירות על מנת לא לקטוע תהליך שיקומי אלא בגלל חששו של המערער לרצות מאסר</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b/>
          <w:bCs/>
          <w:sz w:val="28"/>
          <w:szCs w:val="28"/>
          <w:u w:val="single"/>
          <w:lang w:val="en-US" w:eastAsia="en-US"/>
        </w:rPr>
      </w:pPr>
      <w:r>
        <w:rPr>
          <w:rFonts w:ascii="Arial" w:hAnsi="Arial" w:cs="Arial"/>
          <w:b/>
          <w:b/>
          <w:bCs/>
          <w:sz w:val="28"/>
          <w:sz w:val="28"/>
          <w:szCs w:val="28"/>
          <w:u w:val="single"/>
          <w:rtl w:val="true"/>
          <w:lang w:val="en-US" w:eastAsia="en-US"/>
        </w:rPr>
        <w:t>דיון והכרעה</w:t>
      </w:r>
    </w:p>
    <w:p>
      <w:pPr>
        <w:pStyle w:val="Normal"/>
        <w:spacing w:lineRule="auto" w:line="360"/>
        <w:ind w:end="0"/>
        <w:jc w:val="both"/>
        <w:rPr>
          <w:rFonts w:ascii="Arial" w:hAnsi="Arial" w:cs="Arial"/>
          <w:b/>
          <w:bCs/>
          <w:sz w:val="28"/>
          <w:szCs w:val="28"/>
          <w:u w:val="single"/>
          <w:lang w:val="en-US" w:eastAsia="en-US"/>
        </w:rPr>
      </w:pPr>
      <w:r>
        <w:rPr>
          <w:rFonts w:cs="Arial" w:ascii="Arial" w:hAnsi="Arial"/>
          <w:b/>
          <w:bCs/>
          <w:sz w:val="28"/>
          <w:szCs w:val="28"/>
          <w:u w:val="single"/>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1</w:t>
      </w:r>
      <w:r>
        <w:rPr>
          <w:rFonts w:cs="Arial" w:ascii="Arial" w:hAnsi="Arial"/>
          <w:sz w:val="28"/>
          <w:szCs w:val="28"/>
          <w:rtl w:val="true"/>
          <w:lang w:val="en-US" w:eastAsia="en-US"/>
        </w:rPr>
        <w:t>.</w:t>
        <w:tab/>
      </w:r>
      <w:r>
        <w:rPr>
          <w:rFonts w:ascii="Arial" w:hAnsi="Arial" w:cs="Arial"/>
          <w:sz w:val="28"/>
          <w:sz w:val="28"/>
          <w:szCs w:val="28"/>
          <w:rtl w:val="true"/>
          <w:lang w:val="en-US" w:eastAsia="en-US"/>
        </w:rPr>
        <w:t>לאחר שעיינו בפרוטוקול הדיונים בפני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בטיעונים לעונש שנטענו בפני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השופטת גרינברג ובשני תסקירי המבחן שהתקבלו במהלך הדיונים בפני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 אך היו בפניה עובר למתן גזר הדין</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הגענו למסקנה כי חילופי המותב לא גרמו לעיוות דינו של המערער ולעונש נושא הערעור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שלטענת ב</w:t>
      </w:r>
      <w:r>
        <w:rPr>
          <w:rFonts w:cs="Arial" w:ascii="Arial" w:hAnsi="Arial"/>
          <w:sz w:val="28"/>
          <w:szCs w:val="28"/>
          <w:rtl w:val="true"/>
          <w:lang w:val="en-US" w:eastAsia="en-US"/>
        </w:rPr>
        <w:t>"</w:t>
      </w:r>
      <w:r>
        <w:rPr>
          <w:rFonts w:ascii="Arial" w:hAnsi="Arial" w:cs="Arial"/>
          <w:sz w:val="28"/>
          <w:sz w:val="28"/>
          <w:szCs w:val="28"/>
          <w:rtl w:val="true"/>
          <w:lang w:val="en-US" w:eastAsia="en-US"/>
        </w:rPr>
        <w:t>כ המערער היה חמור מעונש המאסר בעבודות שירות לו היה צפוי לו היה נידון עד תום ההליך בפני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w:t>
      </w:r>
      <w:r>
        <w:rPr>
          <w:rFonts w:cs="Arial" w:ascii="Arial" w:hAnsi="Arial"/>
          <w:sz w:val="28"/>
          <w:szCs w:val="28"/>
          <w:rtl w:val="true"/>
          <w:lang w:val="en-US" w:eastAsia="en-US"/>
        </w:rPr>
        <w:t>.</w:t>
      </w:r>
    </w:p>
    <w:p>
      <w:pPr>
        <w:pStyle w:val="Normal"/>
        <w:spacing w:lineRule="auto" w:line="360"/>
        <w:ind w:start="720" w:end="0"/>
        <w:jc w:val="both"/>
        <w:rPr>
          <w:rFonts w:ascii="Arial" w:hAnsi="Arial" w:cs="Arial"/>
          <w:sz w:val="28"/>
          <w:szCs w:val="28"/>
          <w:lang w:val="en-US" w:eastAsia="en-US"/>
        </w:rPr>
      </w:pPr>
      <w:r>
        <w:rPr>
          <w:rFonts w:ascii="Arial" w:hAnsi="Arial" w:cs="Arial"/>
          <w:sz w:val="28"/>
          <w:sz w:val="28"/>
          <w:szCs w:val="28"/>
          <w:rtl w:val="true"/>
          <w:lang w:val="en-US" w:eastAsia="en-US"/>
        </w:rPr>
        <w:t>לא בכדי לא טען ב</w:t>
      </w:r>
      <w:r>
        <w:rPr>
          <w:rFonts w:cs="Arial" w:ascii="Arial" w:hAnsi="Arial"/>
          <w:sz w:val="28"/>
          <w:szCs w:val="28"/>
          <w:rtl w:val="true"/>
          <w:lang w:val="en-US" w:eastAsia="en-US"/>
        </w:rPr>
        <w:t>"</w:t>
      </w:r>
      <w:r>
        <w:rPr>
          <w:rFonts w:ascii="Arial" w:hAnsi="Arial" w:cs="Arial"/>
          <w:sz w:val="28"/>
          <w:sz w:val="28"/>
          <w:szCs w:val="28"/>
          <w:rtl w:val="true"/>
          <w:lang w:val="en-US" w:eastAsia="en-US"/>
        </w:rPr>
        <w:t>כ המערער כלפי חילופי המותב בטרם נשמעו הטיעונים לעונש בפני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השופטת גרינברג אלא רק בהודעת הערעור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לאחר שלא הוטל עליו עונש מאסר בעבודות שירות שחשב שיוטל עליו</w:t>
      </w:r>
      <w:r>
        <w:rPr>
          <w:rFonts w:cs="Arial" w:ascii="Arial" w:hAnsi="Arial"/>
          <w:sz w:val="28"/>
          <w:szCs w:val="28"/>
          <w:rtl w:val="true"/>
          <w:lang w:val="en-US" w:eastAsia="en-US"/>
        </w:rPr>
        <w:t xml:space="preserve">. </w:t>
      </w:r>
    </w:p>
    <w:p>
      <w:pPr>
        <w:pStyle w:val="Normal"/>
        <w:spacing w:lineRule="auto" w:line="360"/>
        <w:ind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2</w:t>
      </w:r>
      <w:r>
        <w:rPr>
          <w:rFonts w:cs="Arial" w:ascii="Arial" w:hAnsi="Arial"/>
          <w:sz w:val="28"/>
          <w:szCs w:val="28"/>
          <w:rtl w:val="true"/>
          <w:lang w:val="en-US" w:eastAsia="en-US"/>
        </w:rPr>
        <w:t>.</w:t>
        <w:tab/>
      </w:r>
      <w:r>
        <w:rPr>
          <w:rFonts w:ascii="Arial" w:hAnsi="Arial" w:cs="Arial"/>
          <w:sz w:val="28"/>
          <w:sz w:val="28"/>
          <w:szCs w:val="28"/>
          <w:rtl w:val="true"/>
          <w:lang w:val="en-US" w:eastAsia="en-US"/>
        </w:rPr>
        <w:t>איננו מתעלמים כלל ועיקר משליחתו של המערער לממונה</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שמצא אותו מתאים לביצוע עבודות שירות ומדעת הרוב של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רובינשטיין</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כתוארו אז</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w:t>
      </w:r>
      <w:hyperlink r:id="rId6">
        <w:r>
          <w:rPr>
            <w:rStyle w:val="Hyperlink"/>
            <w:rFonts w:ascii="Arial" w:hAnsi="Arial" w:cs="Arial"/>
            <w:color w:val="0000FF"/>
            <w:sz w:val="28"/>
            <w:sz w:val="28"/>
            <w:szCs w:val="28"/>
            <w:u w:val="single"/>
            <w:rtl w:val="true"/>
            <w:lang w:val="en-US" w:eastAsia="en-US"/>
          </w:rPr>
          <w:t>ע</w:t>
        </w:r>
        <w:r>
          <w:rPr>
            <w:rStyle w:val="Hyperlink"/>
            <w:rFonts w:cs="Arial" w:ascii="Arial" w:hAnsi="Arial"/>
            <w:color w:val="0000FF"/>
            <w:sz w:val="28"/>
            <w:szCs w:val="28"/>
            <w:u w:val="single"/>
            <w:rtl w:val="true"/>
            <w:lang w:val="en-US" w:eastAsia="en-US"/>
          </w:rPr>
          <w:t>"</w:t>
        </w:r>
        <w:r>
          <w:rPr>
            <w:rStyle w:val="Hyperlink"/>
            <w:rFonts w:ascii="Arial" w:hAnsi="Arial" w:cs="Arial"/>
            <w:color w:val="0000FF"/>
            <w:sz w:val="28"/>
            <w:sz w:val="28"/>
            <w:szCs w:val="28"/>
            <w:u w:val="single"/>
            <w:rtl w:val="true"/>
            <w:lang w:val="en-US" w:eastAsia="en-US"/>
          </w:rPr>
          <w:t xml:space="preserve">פ </w:t>
        </w:r>
        <w:r>
          <w:rPr>
            <w:rStyle w:val="Hyperlink"/>
            <w:rFonts w:cs="Arial" w:ascii="Arial" w:hAnsi="Arial"/>
            <w:color w:val="0000FF"/>
            <w:sz w:val="28"/>
            <w:szCs w:val="28"/>
            <w:u w:val="single"/>
            <w:lang w:val="en-US" w:eastAsia="en-US"/>
          </w:rPr>
          <w:t>5952/13</w:t>
        </w:r>
      </w:hyperlink>
      <w:r>
        <w:rPr>
          <w:rFonts w:cs="Arial" w:ascii="Arial" w:hAnsi="Arial"/>
          <w:sz w:val="28"/>
          <w:szCs w:val="28"/>
          <w:rtl w:val="true"/>
          <w:lang w:val="en-US" w:eastAsia="en-US"/>
        </w:rPr>
        <w:t xml:space="preserve"> </w:t>
      </w:r>
      <w:r>
        <w:rPr>
          <w:rFonts w:ascii="Arial" w:hAnsi="Arial" w:cs="Arial"/>
          <w:b/>
          <w:b/>
          <w:bCs/>
          <w:sz w:val="28"/>
          <w:sz w:val="28"/>
          <w:szCs w:val="28"/>
          <w:rtl w:val="true"/>
          <w:lang w:val="en-US" w:eastAsia="en-US"/>
        </w:rPr>
        <w:t>זאהדה ואח</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נ</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מדינת ישראל</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עליו  מסתמך ב</w:t>
      </w:r>
      <w:r>
        <w:rPr>
          <w:rFonts w:cs="Arial" w:ascii="Arial" w:hAnsi="Arial"/>
          <w:sz w:val="28"/>
          <w:szCs w:val="28"/>
          <w:rtl w:val="true"/>
          <w:lang w:val="en-US" w:eastAsia="en-US"/>
        </w:rPr>
        <w:t>"</w:t>
      </w:r>
      <w:r>
        <w:rPr>
          <w:rFonts w:ascii="Arial" w:hAnsi="Arial" w:cs="Arial"/>
          <w:sz w:val="28"/>
          <w:sz w:val="28"/>
          <w:szCs w:val="28"/>
          <w:rtl w:val="true"/>
          <w:lang w:val="en-US" w:eastAsia="en-US"/>
        </w:rPr>
        <w:t>כ המערער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אך באותו המקרה הופנו המערערים לממונה לאחר שנשמעו הטיעונים לעונש</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עם זאת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איננו  מתעלמים מדעת המיעוט של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המשנה לנשיאה נאור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כתוארה אז</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לפיה אין בשליחת המערערים לממונה כדי ליצור אצלם ציפייה להטלת מאסר שניתן לרצותו בעבודות שירות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אשר מבוססת על פסיקה קודמת שצוטטה בחוות דעתה</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3</w:t>
      </w:r>
      <w:r>
        <w:rPr>
          <w:rFonts w:cs="Arial" w:ascii="Arial" w:hAnsi="Arial"/>
          <w:sz w:val="28"/>
          <w:szCs w:val="28"/>
          <w:rtl w:val="true"/>
          <w:lang w:val="en-US" w:eastAsia="en-US"/>
        </w:rPr>
        <w:t>.</w:t>
        <w:tab/>
      </w:r>
      <w:r>
        <w:rPr>
          <w:rFonts w:ascii="Arial" w:hAnsi="Arial" w:cs="Arial"/>
          <w:sz w:val="28"/>
          <w:sz w:val="28"/>
          <w:szCs w:val="28"/>
          <w:rtl w:val="true"/>
          <w:lang w:val="en-US" w:eastAsia="en-US"/>
        </w:rPr>
        <w:t>בפסה</w:t>
      </w:r>
      <w:r>
        <w:rPr>
          <w:rFonts w:cs="Arial" w:ascii="Arial" w:hAnsi="Arial"/>
          <w:sz w:val="28"/>
          <w:szCs w:val="28"/>
          <w:rtl w:val="true"/>
          <w:lang w:val="en-US" w:eastAsia="en-US"/>
        </w:rPr>
        <w:t>"</w:t>
      </w:r>
      <w:r>
        <w:rPr>
          <w:rFonts w:ascii="Arial" w:hAnsi="Arial" w:cs="Arial"/>
          <w:sz w:val="28"/>
          <w:sz w:val="28"/>
          <w:szCs w:val="28"/>
          <w:rtl w:val="true"/>
          <w:lang w:val="en-US" w:eastAsia="en-US"/>
        </w:rPr>
        <w:t>ד ב</w:t>
      </w:r>
      <w:hyperlink r:id="rId7">
        <w:r>
          <w:rPr>
            <w:rStyle w:val="Hyperlink"/>
            <w:rFonts w:ascii="Arial" w:hAnsi="Arial" w:cs="Arial"/>
            <w:color w:val="0000FF"/>
            <w:sz w:val="28"/>
            <w:sz w:val="28"/>
            <w:szCs w:val="28"/>
            <w:u w:val="single"/>
            <w:rtl w:val="true"/>
            <w:lang w:val="en-US" w:eastAsia="en-US"/>
          </w:rPr>
          <w:t>ע</w:t>
        </w:r>
        <w:r>
          <w:rPr>
            <w:rStyle w:val="Hyperlink"/>
            <w:rFonts w:cs="Arial" w:ascii="Arial" w:hAnsi="Arial"/>
            <w:color w:val="0000FF"/>
            <w:sz w:val="28"/>
            <w:szCs w:val="28"/>
            <w:u w:val="single"/>
            <w:rtl w:val="true"/>
            <w:lang w:val="en-US" w:eastAsia="en-US"/>
          </w:rPr>
          <w:t>"</w:t>
        </w:r>
        <w:r>
          <w:rPr>
            <w:rStyle w:val="Hyperlink"/>
            <w:rFonts w:ascii="Arial" w:hAnsi="Arial" w:cs="Arial"/>
            <w:color w:val="0000FF"/>
            <w:sz w:val="28"/>
            <w:sz w:val="28"/>
            <w:szCs w:val="28"/>
            <w:u w:val="single"/>
            <w:rtl w:val="true"/>
            <w:lang w:val="en-US" w:eastAsia="en-US"/>
          </w:rPr>
          <w:t xml:space="preserve">פ </w:t>
        </w:r>
        <w:r>
          <w:rPr>
            <w:rStyle w:val="Hyperlink"/>
            <w:rFonts w:cs="Arial" w:ascii="Arial" w:hAnsi="Arial"/>
            <w:color w:val="0000FF"/>
            <w:sz w:val="28"/>
            <w:szCs w:val="28"/>
            <w:u w:val="single"/>
            <w:lang w:val="en-US" w:eastAsia="en-US"/>
          </w:rPr>
          <w:t>1438/14</w:t>
        </w:r>
      </w:hyperlink>
      <w:r>
        <w:rPr>
          <w:rFonts w:cs="Arial" w:ascii="Arial" w:hAnsi="Arial"/>
          <w:sz w:val="28"/>
          <w:szCs w:val="28"/>
          <w:rtl w:val="true"/>
          <w:lang w:val="en-US" w:eastAsia="en-US"/>
        </w:rPr>
        <w:t xml:space="preserve"> </w:t>
      </w:r>
      <w:r>
        <w:rPr>
          <w:rFonts w:ascii="Arial" w:hAnsi="Arial" w:cs="Arial"/>
          <w:b/>
          <w:b/>
          <w:bCs/>
          <w:sz w:val="28"/>
          <w:sz w:val="28"/>
          <w:szCs w:val="28"/>
          <w:rtl w:val="true"/>
          <w:lang w:val="en-US" w:eastAsia="en-US"/>
        </w:rPr>
        <w:t>בראזי נ</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מדינת ישראל</w:t>
      </w:r>
      <w:r>
        <w:rPr>
          <w:rFonts w:ascii="Arial" w:hAnsi="Arial" w:cs="Arial"/>
          <w:sz w:val="28"/>
          <w:sz w:val="28"/>
          <w:szCs w:val="28"/>
          <w:rtl w:val="true"/>
          <w:lang w:val="en-US" w:eastAsia="en-US"/>
        </w:rPr>
        <w:t xml:space="preserve"> קבע ביהמ</w:t>
      </w:r>
      <w:r>
        <w:rPr>
          <w:rFonts w:cs="Arial" w:ascii="Arial" w:hAnsi="Arial"/>
          <w:sz w:val="28"/>
          <w:szCs w:val="28"/>
          <w:rtl w:val="true"/>
          <w:lang w:val="en-US" w:eastAsia="en-US"/>
        </w:rPr>
        <w:t>"</w:t>
      </w:r>
      <w:r>
        <w:rPr>
          <w:rFonts w:ascii="Arial" w:hAnsi="Arial" w:cs="Arial"/>
          <w:sz w:val="28"/>
          <w:sz w:val="28"/>
          <w:szCs w:val="28"/>
          <w:rtl w:val="true"/>
          <w:lang w:val="en-US" w:eastAsia="en-US"/>
        </w:rPr>
        <w:t>ש</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פה אחד</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מפי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השופט פוגלמן בסעיף </w:t>
      </w:r>
      <w:r>
        <w:rPr>
          <w:rFonts w:cs="Arial" w:ascii="Arial" w:hAnsi="Arial"/>
          <w:sz w:val="28"/>
          <w:szCs w:val="28"/>
          <w:lang w:val="en-US" w:eastAsia="en-US"/>
        </w:rPr>
        <w:t>9</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לפסה</w:t>
      </w:r>
      <w:r>
        <w:rPr>
          <w:rFonts w:cs="Arial" w:ascii="Arial" w:hAnsi="Arial"/>
          <w:sz w:val="28"/>
          <w:szCs w:val="28"/>
          <w:rtl w:val="true"/>
          <w:lang w:val="en-US" w:eastAsia="en-US"/>
        </w:rPr>
        <w:t>"</w:t>
      </w:r>
      <w:r>
        <w:rPr>
          <w:rFonts w:ascii="Arial" w:hAnsi="Arial" w:cs="Arial"/>
          <w:sz w:val="28"/>
          <w:sz w:val="28"/>
          <w:szCs w:val="28"/>
          <w:rtl w:val="true"/>
          <w:lang w:val="en-US" w:eastAsia="en-US"/>
        </w:rPr>
        <w:t>ד כדלקמן</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start="1440" w:end="0"/>
        <w:jc w:val="both"/>
        <w:rPr>
          <w:rFonts w:ascii="Arial" w:hAnsi="Arial" w:cs="Arial"/>
          <w:sz w:val="28"/>
          <w:szCs w:val="28"/>
          <w:lang w:val="en-US" w:eastAsia="en-US"/>
        </w:rPr>
      </w:pP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 xml:space="preserve">אשר לטענת המערער בעניין חוות הדעת של הממונה על עבודות השירות </w:t>
      </w:r>
      <w:r>
        <w:rPr>
          <w:rFonts w:ascii="Arial" w:hAnsi="Arial" w:cs="Arial"/>
          <w:b/>
          <w:b/>
          <w:bCs/>
          <w:sz w:val="28"/>
          <w:sz w:val="28"/>
          <w:szCs w:val="28"/>
          <w:rtl w:val="true"/>
          <w:lang w:val="en-US" w:eastAsia="en-US"/>
        </w:rPr>
        <w:t>–</w:t>
      </w:r>
      <w:r>
        <w:rPr>
          <w:rFonts w:ascii="Arial" w:hAnsi="Arial" w:cs="Arial"/>
          <w:b/>
          <w:b/>
          <w:bCs/>
          <w:sz w:val="28"/>
          <w:sz w:val="28"/>
          <w:szCs w:val="28"/>
          <w:rtl w:val="true"/>
          <w:lang w:val="en-US" w:eastAsia="en-US"/>
        </w:rPr>
        <w:t xml:space="preserve"> אף שבמקרים בהם האפשרות לריצוי העונש בדרך של עבודות שירות אינה עומדת על הפרק עדיף להימנע מפנייה אל הממונה על עבודות  שירות</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 xml:space="preserve">שכן פנייה שזו עשויה לעורר </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רף מסוים של ציפיות</w:t>
      </w:r>
      <w:r>
        <w:rPr>
          <w:rFonts w:cs="Arial" w:ascii="Arial" w:hAnsi="Arial"/>
          <w:b/>
          <w:bCs/>
          <w:sz w:val="28"/>
          <w:szCs w:val="28"/>
          <w:rtl w:val="true"/>
          <w:lang w:val="en-US" w:eastAsia="en-US"/>
        </w:rPr>
        <w:t xml:space="preserve">" </w:t>
      </w:r>
      <w:r>
        <w:rPr>
          <w:rFonts w:cs="Arial" w:ascii="Arial" w:hAnsi="Arial"/>
          <w:sz w:val="28"/>
          <w:szCs w:val="28"/>
          <w:rtl w:val="true"/>
          <w:lang w:val="en-US" w:eastAsia="en-US"/>
        </w:rPr>
        <w:t>(</w:t>
      </w:r>
      <w:hyperlink r:id="rId8">
        <w:r>
          <w:rPr>
            <w:rStyle w:val="Hyperlink"/>
            <w:rFonts w:ascii="Arial" w:hAnsi="Arial" w:cs="Arial"/>
            <w:color w:val="0000FF"/>
            <w:sz w:val="28"/>
            <w:sz w:val="28"/>
            <w:szCs w:val="28"/>
            <w:u w:val="single"/>
            <w:rtl w:val="true"/>
            <w:lang w:val="en-US" w:eastAsia="en-US"/>
          </w:rPr>
          <w:t>ע</w:t>
        </w:r>
        <w:r>
          <w:rPr>
            <w:rStyle w:val="Hyperlink"/>
            <w:rFonts w:cs="Arial" w:ascii="Arial" w:hAnsi="Arial"/>
            <w:color w:val="0000FF"/>
            <w:sz w:val="28"/>
            <w:szCs w:val="28"/>
            <w:u w:val="single"/>
            <w:rtl w:val="true"/>
            <w:lang w:val="en-US" w:eastAsia="en-US"/>
          </w:rPr>
          <w:t>"</w:t>
        </w:r>
        <w:r>
          <w:rPr>
            <w:rStyle w:val="Hyperlink"/>
            <w:rFonts w:ascii="Arial" w:hAnsi="Arial" w:cs="Arial"/>
            <w:color w:val="0000FF"/>
            <w:sz w:val="28"/>
            <w:sz w:val="28"/>
            <w:szCs w:val="28"/>
            <w:u w:val="single"/>
            <w:rtl w:val="true"/>
            <w:lang w:val="en-US" w:eastAsia="en-US"/>
          </w:rPr>
          <w:t xml:space="preserve">פ </w:t>
        </w:r>
        <w:r>
          <w:rPr>
            <w:rStyle w:val="Hyperlink"/>
            <w:rFonts w:cs="Arial" w:ascii="Arial" w:hAnsi="Arial"/>
            <w:color w:val="0000FF"/>
            <w:sz w:val="28"/>
            <w:szCs w:val="28"/>
            <w:u w:val="single"/>
            <w:lang w:val="en-US" w:eastAsia="en-US"/>
          </w:rPr>
          <w:t>6294/05</w:t>
        </w:r>
      </w:hyperlink>
      <w:r>
        <w:rPr>
          <w:rFonts w:cs="Arial" w:ascii="Arial" w:hAnsi="Arial"/>
          <w:sz w:val="28"/>
          <w:szCs w:val="28"/>
          <w:u w:val="single"/>
          <w:rtl w:val="true"/>
          <w:lang w:val="en-US" w:eastAsia="en-US"/>
        </w:rPr>
        <w:t xml:space="preserve"> </w:t>
      </w:r>
      <w:r>
        <w:rPr>
          <w:rFonts w:ascii="Arial" w:hAnsi="Arial" w:cs="Arial"/>
          <w:sz w:val="28"/>
          <w:sz w:val="28"/>
          <w:szCs w:val="28"/>
          <w:rtl w:val="true"/>
          <w:lang w:val="en-US" w:eastAsia="en-US"/>
        </w:rPr>
        <w:t>חובב נ</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מדינת ישראל </w:t>
      </w:r>
      <w:r>
        <w:rPr>
          <w:rFonts w:cs="Arial" w:ascii="Arial" w:hAnsi="Arial"/>
          <w:sz w:val="28"/>
          <w:szCs w:val="28"/>
          <w:rtl w:val="true"/>
          <w:lang w:val="en-US" w:eastAsia="en-US"/>
        </w:rPr>
        <w:t>[</w:t>
      </w:r>
      <w:r>
        <w:rPr>
          <w:rFonts w:ascii="Arial" w:hAnsi="Arial" w:cs="Arial"/>
          <w:sz w:val="28"/>
          <w:sz w:val="28"/>
          <w:szCs w:val="28"/>
          <w:rtl w:val="true"/>
          <w:lang w:val="en-US" w:eastAsia="en-US"/>
        </w:rPr>
        <w:t>פורסם בנבו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פסקה </w:t>
      </w:r>
      <w:r>
        <w:rPr>
          <w:rFonts w:cs="Arial" w:ascii="Arial" w:hAnsi="Arial"/>
          <w:sz w:val="28"/>
          <w:szCs w:val="28"/>
          <w:lang w:val="en-US" w:eastAsia="en-US"/>
        </w:rPr>
        <w:t>24</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פסקה 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לחוות דעתו של השופט א</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רובינשטיין </w:t>
      </w:r>
      <w:r>
        <w:rPr>
          <w:rFonts w:cs="Arial" w:ascii="Arial" w:hAnsi="Arial"/>
          <w:sz w:val="28"/>
          <w:szCs w:val="28"/>
          <w:rtl w:val="true"/>
          <w:lang w:val="en-US" w:eastAsia="en-US"/>
        </w:rPr>
        <w:t>(</w:t>
      </w:r>
      <w:r>
        <w:rPr>
          <w:rFonts w:cs="Arial" w:ascii="Arial" w:hAnsi="Arial"/>
          <w:sz w:val="28"/>
          <w:szCs w:val="28"/>
          <w:lang w:val="en-US" w:eastAsia="en-US"/>
        </w:rPr>
        <w:t>13.7</w:t>
      </w:r>
      <w:r>
        <w:rPr>
          <w:rFonts w:ascii="Arial" w:hAnsi="Arial" w:cs="Arial"/>
          <w:sz w:val="28"/>
          <w:sz w:val="28"/>
          <w:szCs w:val="28"/>
          <w:rtl w:val="true"/>
          <w:lang w:val="en-US" w:eastAsia="en-US"/>
        </w:rPr>
        <w:t>ץ</w:t>
      </w:r>
      <w:r>
        <w:rPr>
          <w:rFonts w:cs="Arial" w:ascii="Arial" w:hAnsi="Arial"/>
          <w:sz w:val="28"/>
          <w:szCs w:val="28"/>
          <w:lang w:val="en-US" w:eastAsia="en-US"/>
        </w:rPr>
        <w:t>2006</w:t>
      </w:r>
      <w:r>
        <w:rPr>
          <w:rFonts w:cs="Arial" w:ascii="Arial" w:hAnsi="Arial"/>
          <w:sz w:val="28"/>
          <w:szCs w:val="28"/>
          <w:rtl w:val="true"/>
          <w:lang w:val="en-US" w:eastAsia="en-US"/>
        </w:rPr>
        <w:t xml:space="preserve">)). </w:t>
      </w:r>
    </w:p>
    <w:p>
      <w:pPr>
        <w:pStyle w:val="Normal"/>
        <w:spacing w:lineRule="auto" w:line="360"/>
        <w:ind w:start="1440" w:end="0"/>
        <w:jc w:val="both"/>
        <w:rPr>
          <w:rFonts w:ascii="Arial" w:hAnsi="Arial" w:cs="Arial"/>
          <w:b/>
          <w:bCs/>
          <w:sz w:val="28"/>
          <w:szCs w:val="28"/>
          <w:lang w:val="en-US" w:eastAsia="en-US"/>
        </w:rPr>
      </w:pPr>
      <w:r>
        <w:rPr>
          <w:rFonts w:ascii="Arial" w:hAnsi="Arial" w:cs="Arial"/>
          <w:b/>
          <w:b/>
          <w:bCs/>
          <w:sz w:val="28"/>
          <w:sz w:val="28"/>
          <w:szCs w:val="28"/>
          <w:rtl w:val="true"/>
          <w:lang w:val="en-US" w:eastAsia="en-US"/>
        </w:rPr>
        <w:t>בפסיקתנו כבר נקבע כי החלטת בית המשפט להורות על קבלת חוות דעת מטעם הממונה על עבודות שירות אינה מקימה אינטרס ציפייה בר הגנה</w:t>
      </w:r>
      <w:r>
        <w:rPr>
          <w:rFonts w:cs="Arial" w:ascii="Arial" w:hAnsi="Arial"/>
          <w:b/>
          <w:bCs/>
          <w:sz w:val="28"/>
          <w:szCs w:val="28"/>
          <w:rtl w:val="true"/>
          <w:lang w:val="en-US" w:eastAsia="en-US"/>
        </w:rPr>
        <w:t xml:space="preserve">. </w:t>
      </w:r>
    </w:p>
    <w:p>
      <w:pPr>
        <w:pStyle w:val="Normal"/>
        <w:spacing w:lineRule="auto" w:line="360"/>
        <w:ind w:start="1440" w:end="0"/>
        <w:jc w:val="both"/>
        <w:rPr>
          <w:rFonts w:ascii="Arial" w:hAnsi="Arial" w:cs="Arial"/>
          <w:sz w:val="28"/>
          <w:szCs w:val="28"/>
          <w:lang w:val="en-US" w:eastAsia="en-US"/>
        </w:rPr>
      </w:pPr>
      <w:r>
        <w:rPr>
          <w:rFonts w:ascii="Arial" w:hAnsi="Arial" w:cs="Arial"/>
          <w:b/>
          <w:b/>
          <w:bCs/>
          <w:sz w:val="28"/>
          <w:sz w:val="28"/>
          <w:szCs w:val="28"/>
          <w:rtl w:val="true"/>
          <w:lang w:val="en-US" w:eastAsia="en-US"/>
        </w:rPr>
        <w:t>יפים לעניין זה דבריו של כב</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השופט י</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דנציגר ב</w:t>
      </w:r>
      <w:hyperlink r:id="rId9">
        <w:r>
          <w:rPr>
            <w:rStyle w:val="Hyperlink"/>
            <w:rFonts w:ascii="Arial" w:hAnsi="Arial" w:cs="Arial"/>
            <w:b/>
            <w:b/>
            <w:bCs/>
            <w:color w:val="0000FF"/>
            <w:sz w:val="28"/>
            <w:sz w:val="28"/>
            <w:szCs w:val="28"/>
            <w:u w:val="single"/>
            <w:rtl w:val="true"/>
            <w:lang w:val="en-US" w:eastAsia="en-US"/>
          </w:rPr>
          <w:t>ע</w:t>
        </w:r>
        <w:r>
          <w:rPr>
            <w:rStyle w:val="Hyperlink"/>
            <w:rFonts w:cs="Arial" w:ascii="Arial" w:hAnsi="Arial"/>
            <w:b/>
            <w:bCs/>
            <w:color w:val="0000FF"/>
            <w:sz w:val="28"/>
            <w:szCs w:val="28"/>
            <w:u w:val="single"/>
            <w:rtl w:val="true"/>
            <w:lang w:val="en-US" w:eastAsia="en-US"/>
          </w:rPr>
          <w:t>"</w:t>
        </w:r>
        <w:r>
          <w:rPr>
            <w:rStyle w:val="Hyperlink"/>
            <w:rFonts w:ascii="Arial" w:hAnsi="Arial" w:cs="Arial"/>
            <w:b/>
            <w:b/>
            <w:bCs/>
            <w:color w:val="0000FF"/>
            <w:sz w:val="28"/>
            <w:sz w:val="28"/>
            <w:szCs w:val="28"/>
            <w:u w:val="single"/>
            <w:rtl w:val="true"/>
            <w:lang w:val="en-US" w:eastAsia="en-US"/>
          </w:rPr>
          <w:t xml:space="preserve">פ </w:t>
        </w:r>
        <w:r>
          <w:rPr>
            <w:rStyle w:val="Hyperlink"/>
            <w:rFonts w:cs="Arial" w:ascii="Arial" w:hAnsi="Arial"/>
            <w:b/>
            <w:bCs/>
            <w:color w:val="0000FF"/>
            <w:sz w:val="28"/>
            <w:szCs w:val="28"/>
            <w:u w:val="single"/>
            <w:lang w:val="en-US" w:eastAsia="en-US"/>
          </w:rPr>
          <w:t>8704/08</w:t>
        </w:r>
      </w:hyperlink>
      <w:r>
        <w:rPr>
          <w:rFonts w:cs="Arial" w:ascii="Arial" w:hAnsi="Arial"/>
          <w:b/>
          <w:bCs/>
          <w:sz w:val="28"/>
          <w:szCs w:val="28"/>
          <w:u w:val="single"/>
          <w:rtl w:val="true"/>
          <w:lang w:val="en-US" w:eastAsia="en-US"/>
        </w:rPr>
        <w:t xml:space="preserve"> </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הייב נ</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מדינת ישראל </w:t>
      </w:r>
      <w:r>
        <w:rPr>
          <w:rFonts w:cs="Arial" w:ascii="Arial" w:hAnsi="Arial"/>
          <w:sz w:val="28"/>
          <w:szCs w:val="28"/>
          <w:rtl w:val="true"/>
          <w:lang w:val="en-US" w:eastAsia="en-US"/>
        </w:rPr>
        <w:t>[</w:t>
      </w:r>
      <w:r>
        <w:rPr>
          <w:rFonts w:ascii="Arial" w:hAnsi="Arial" w:cs="Arial"/>
          <w:sz w:val="28"/>
          <w:sz w:val="28"/>
          <w:szCs w:val="28"/>
          <w:rtl w:val="true"/>
          <w:lang w:val="en-US" w:eastAsia="en-US"/>
        </w:rPr>
        <w:t>פורסם בנבו</w:t>
      </w:r>
      <w:r>
        <w:rPr>
          <w:rFonts w:cs="Arial" w:ascii="Arial" w:hAnsi="Arial"/>
          <w:sz w:val="28"/>
          <w:szCs w:val="28"/>
          <w:rtl w:val="true"/>
          <w:lang w:val="en-US" w:eastAsia="en-US"/>
        </w:rPr>
        <w:t>] (</w:t>
      </w:r>
      <w:r>
        <w:rPr>
          <w:rFonts w:cs="Arial" w:ascii="Arial" w:hAnsi="Arial"/>
          <w:sz w:val="28"/>
          <w:szCs w:val="28"/>
          <w:lang w:val="en-US" w:eastAsia="en-US"/>
        </w:rPr>
        <w:t>23.4.2009</w:t>
      </w:r>
      <w:r>
        <w:rPr>
          <w:rFonts w:cs="Arial" w:ascii="Arial" w:hAnsi="Arial"/>
          <w:sz w:val="28"/>
          <w:szCs w:val="28"/>
          <w:rtl w:val="true"/>
          <w:lang w:val="en-US" w:eastAsia="en-US"/>
        </w:rPr>
        <w:t xml:space="preserve">): </w:t>
      </w:r>
    </w:p>
    <w:p>
      <w:pPr>
        <w:pStyle w:val="Normal"/>
        <w:spacing w:lineRule="auto" w:line="360"/>
        <w:ind w:start="1440" w:end="0"/>
        <w:jc w:val="both"/>
        <w:rPr>
          <w:rFonts w:ascii="Arial" w:hAnsi="Arial" w:cs="Arial"/>
          <w:b/>
          <w:bCs/>
          <w:sz w:val="28"/>
          <w:szCs w:val="28"/>
          <w:lang w:val="en-US" w:eastAsia="en-US"/>
        </w:rPr>
      </w:pPr>
      <w:r>
        <w:rPr>
          <w:rFonts w:cs="Arial" w:ascii="Arial" w:hAnsi="Arial"/>
          <w:b/>
          <w:bCs/>
          <w:sz w:val="28"/>
          <w:szCs w:val="28"/>
          <w:rtl w:val="true"/>
          <w:lang w:val="en-US" w:eastAsia="en-US"/>
        </w:rPr>
        <w:tab/>
      </w:r>
    </w:p>
    <w:p>
      <w:pPr>
        <w:pStyle w:val="Normal"/>
        <w:spacing w:lineRule="auto" w:line="360"/>
        <w:ind w:start="2160" w:end="0"/>
        <w:jc w:val="both"/>
        <w:rPr>
          <w:rFonts w:ascii="Arial" w:hAnsi="Arial" w:cs="Arial"/>
          <w:sz w:val="28"/>
          <w:szCs w:val="28"/>
          <w:lang w:val="en-US" w:eastAsia="en-US"/>
        </w:rPr>
      </w:pP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כל עוד בית המשפט לא גזר את עונשו של הנאשם אין ההפנייה לממונה</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כשלעצמה</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 xml:space="preserve">מצדיקה את היווצרותה של ציפייה או הסתמכות כלשהי לעניין טיב או היקף העונש </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חוות דעתו של הממונה על עבודות השירות מתבקשת על ידי בית המשפט בדרך כלל בטרם נגזר דינו של נאשם שהורשע</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וזאת על מנת שבפני בית המשפט יהיה כל המידע הצריך לעניין בבואו לגזור את דינו של נאשם  ועל מנת שבשלב השתת העונש יוכל בית המשפט  לשוות לנגד עיניו את כל החלפות העונשיות האפשריות ולבחור מביניהן את הראויה ביותר על בסיס האיזון ההולם בין האינטרסים המתנגשים</w:t>
      </w:r>
      <w:r>
        <w:rPr>
          <w:rFonts w:cs="Arial" w:ascii="Arial" w:hAnsi="Arial"/>
          <w:b/>
          <w:bCs/>
          <w:sz w:val="28"/>
          <w:szCs w:val="28"/>
          <w:rtl w:val="true"/>
          <w:lang w:val="en-US" w:eastAsia="en-US"/>
        </w:rPr>
        <w:t xml:space="preserve">" </w:t>
      </w:r>
      <w:r>
        <w:rPr>
          <w:rFonts w:cs="Arial" w:ascii="Arial" w:hAnsi="Arial"/>
          <w:sz w:val="28"/>
          <w:szCs w:val="28"/>
          <w:rtl w:val="true"/>
          <w:lang w:val="en-US" w:eastAsia="en-US"/>
        </w:rPr>
        <w:t>(</w:t>
      </w:r>
      <w:r>
        <w:rPr>
          <w:rFonts w:ascii="Arial" w:hAnsi="Arial" w:cs="Arial"/>
          <w:sz w:val="28"/>
          <w:sz w:val="28"/>
          <w:szCs w:val="28"/>
          <w:rtl w:val="true"/>
          <w:lang w:val="en-US" w:eastAsia="en-US"/>
        </w:rPr>
        <w:t xml:space="preserve">שם בפסקה </w:t>
      </w:r>
      <w:r>
        <w:rPr>
          <w:rFonts w:cs="Arial" w:ascii="Arial" w:hAnsi="Arial"/>
          <w:sz w:val="28"/>
          <w:szCs w:val="28"/>
          <w:lang w:val="en-US" w:eastAsia="en-US"/>
        </w:rPr>
        <w:t>10</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ראו גם</w:t>
      </w:r>
      <w:r>
        <w:rPr>
          <w:rFonts w:cs="Arial" w:ascii="Arial" w:hAnsi="Arial"/>
          <w:sz w:val="28"/>
          <w:szCs w:val="28"/>
          <w:rtl w:val="true"/>
          <w:lang w:val="en-US" w:eastAsia="en-US"/>
        </w:rPr>
        <w:t xml:space="preserve">: </w:t>
      </w:r>
      <w:hyperlink r:id="rId10">
        <w:r>
          <w:rPr>
            <w:rStyle w:val="Hyperlink"/>
            <w:rFonts w:ascii="Arial" w:hAnsi="Arial" w:cs="Arial"/>
            <w:color w:val="0000FF"/>
            <w:sz w:val="28"/>
            <w:sz w:val="28"/>
            <w:szCs w:val="28"/>
            <w:u w:val="single"/>
            <w:rtl w:val="true"/>
            <w:lang w:val="en-US" w:eastAsia="en-US"/>
          </w:rPr>
          <w:t>ע</w:t>
        </w:r>
        <w:r>
          <w:rPr>
            <w:rStyle w:val="Hyperlink"/>
            <w:rFonts w:cs="Arial" w:ascii="Arial" w:hAnsi="Arial"/>
            <w:color w:val="0000FF"/>
            <w:sz w:val="28"/>
            <w:szCs w:val="28"/>
            <w:u w:val="single"/>
            <w:rtl w:val="true"/>
            <w:lang w:val="en-US" w:eastAsia="en-US"/>
          </w:rPr>
          <w:t>"</w:t>
        </w:r>
        <w:r>
          <w:rPr>
            <w:rStyle w:val="Hyperlink"/>
            <w:rFonts w:ascii="Arial" w:hAnsi="Arial" w:cs="Arial"/>
            <w:color w:val="0000FF"/>
            <w:sz w:val="28"/>
            <w:sz w:val="28"/>
            <w:szCs w:val="28"/>
            <w:u w:val="single"/>
            <w:rtl w:val="true"/>
            <w:lang w:val="en-US" w:eastAsia="en-US"/>
          </w:rPr>
          <w:t xml:space="preserve">פ </w:t>
        </w:r>
        <w:r>
          <w:rPr>
            <w:rStyle w:val="Hyperlink"/>
            <w:rFonts w:cs="Arial" w:ascii="Arial" w:hAnsi="Arial"/>
            <w:color w:val="0000FF"/>
            <w:sz w:val="28"/>
            <w:szCs w:val="28"/>
            <w:u w:val="single"/>
            <w:lang w:val="en-US" w:eastAsia="en-US"/>
          </w:rPr>
          <w:t>4894/13</w:t>
        </w:r>
      </w:hyperlink>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סלע נ</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 xml:space="preserve">מדינת ישראל </w:t>
      </w:r>
      <w:r>
        <w:rPr>
          <w:rFonts w:cs="Arial" w:ascii="Arial" w:hAnsi="Arial"/>
          <w:sz w:val="28"/>
          <w:szCs w:val="28"/>
          <w:rtl w:val="true"/>
          <w:lang w:val="en-US" w:eastAsia="en-US"/>
        </w:rPr>
        <w:t>[</w:t>
      </w:r>
      <w:r>
        <w:rPr>
          <w:rFonts w:ascii="Arial" w:hAnsi="Arial" w:cs="Arial"/>
          <w:sz w:val="28"/>
          <w:sz w:val="28"/>
          <w:szCs w:val="28"/>
          <w:rtl w:val="true"/>
          <w:lang w:val="en-US" w:eastAsia="en-US"/>
        </w:rPr>
        <w:t>פורסם בנבו</w:t>
      </w:r>
      <w:r>
        <w:rPr>
          <w:rFonts w:cs="Arial" w:ascii="Arial" w:hAnsi="Arial"/>
          <w:sz w:val="28"/>
          <w:szCs w:val="28"/>
          <w:rtl w:val="true"/>
          <w:lang w:val="en-US" w:eastAsia="en-US"/>
        </w:rPr>
        <w:t>] (</w:t>
      </w:r>
      <w:r>
        <w:rPr>
          <w:rFonts w:cs="Arial" w:ascii="Arial" w:hAnsi="Arial"/>
          <w:sz w:val="28"/>
          <w:szCs w:val="28"/>
          <w:lang w:val="en-US" w:eastAsia="en-US"/>
        </w:rPr>
        <w:t>23.1.2014</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b/>
          <w:bCs/>
          <w:sz w:val="28"/>
          <w:szCs w:val="28"/>
          <w:lang w:val="en-US" w:eastAsia="en-US"/>
        </w:rPr>
      </w:pPr>
      <w:r>
        <w:rPr>
          <w:rFonts w:cs="Arial" w:ascii="Arial" w:hAnsi="Arial"/>
          <w:b/>
          <w:bCs/>
          <w:sz w:val="28"/>
          <w:szCs w:val="28"/>
          <w:rtl w:val="true"/>
          <w:lang w:val="en-US" w:eastAsia="en-US"/>
        </w:rPr>
        <w:tab/>
        <w:tab/>
      </w:r>
    </w:p>
    <w:p>
      <w:pPr>
        <w:pStyle w:val="Normal"/>
        <w:spacing w:lineRule="auto" w:line="360"/>
        <w:ind w:hanging="720" w:start="720" w:end="0"/>
        <w:jc w:val="both"/>
        <w:rPr>
          <w:rFonts w:ascii="Arial" w:hAnsi="Arial" w:cs="Arial"/>
          <w:sz w:val="28"/>
          <w:szCs w:val="28"/>
          <w:u w:val="single"/>
          <w:lang w:val="en-US" w:eastAsia="en-US"/>
        </w:rPr>
      </w:pPr>
      <w:r>
        <w:rPr>
          <w:rFonts w:cs="Arial" w:ascii="Arial" w:hAnsi="Arial"/>
          <w:sz w:val="28"/>
          <w:szCs w:val="28"/>
          <w:lang w:val="en-US" w:eastAsia="en-US"/>
        </w:rPr>
        <w:t>4</w:t>
      </w:r>
      <w:r>
        <w:rPr>
          <w:rFonts w:cs="Arial" w:ascii="Arial" w:hAnsi="Arial"/>
          <w:sz w:val="28"/>
          <w:szCs w:val="28"/>
          <w:rtl w:val="true"/>
          <w:lang w:val="en-US" w:eastAsia="en-US"/>
        </w:rPr>
        <w:t>.</w:t>
        <w:tab/>
      </w:r>
      <w:r>
        <w:rPr>
          <w:rFonts w:ascii="Arial" w:hAnsi="Arial" w:cs="Arial"/>
          <w:sz w:val="28"/>
          <w:sz w:val="28"/>
          <w:szCs w:val="28"/>
          <w:rtl w:val="true"/>
          <w:lang w:val="en-US" w:eastAsia="en-US"/>
        </w:rPr>
        <w:t>כך הם פני הדברים גם אם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 לא כתב בהחלטתו שאין בהפניית המערער לממונה משום הבעת דעה באשר לעונש שיוטל עליו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שכן לא נעלמה מעיני המערער ובא כוחו התנגדות המאשימה להפניית המערער לממונה והעמדה העקבית והנחרצת שהביעה לאורך כל ההליך בפני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 שתעתור להטיל על המערער מאסר לריצוי מאחורי סורג ובריח</w:t>
      </w:r>
      <w:r>
        <w:rPr>
          <w:rFonts w:cs="Arial" w:ascii="Arial" w:hAnsi="Arial"/>
          <w:sz w:val="28"/>
          <w:szCs w:val="28"/>
          <w:rtl w:val="true"/>
          <w:lang w:val="en-US" w:eastAsia="en-US"/>
        </w:rPr>
        <w:t xml:space="preserve">. </w:t>
      </w:r>
    </w:p>
    <w:p>
      <w:pPr>
        <w:pStyle w:val="Normal"/>
        <w:spacing w:lineRule="auto" w:line="360"/>
        <w:ind w:end="0"/>
        <w:jc w:val="both"/>
        <w:rPr>
          <w:rFonts w:ascii="Arial" w:hAnsi="Arial" w:cs="Arial"/>
          <w:sz w:val="28"/>
          <w:szCs w:val="28"/>
          <w:u w:val="single"/>
          <w:lang w:val="en-US" w:eastAsia="en-US"/>
        </w:rPr>
      </w:pPr>
      <w:r>
        <w:rPr>
          <w:rFonts w:cs="Arial" w:ascii="Arial" w:hAnsi="Arial"/>
          <w:sz w:val="28"/>
          <w:szCs w:val="28"/>
          <w:u w:val="single"/>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5</w:t>
      </w:r>
      <w:r>
        <w:rPr>
          <w:rFonts w:cs="Arial" w:ascii="Arial" w:hAnsi="Arial"/>
          <w:sz w:val="28"/>
          <w:szCs w:val="28"/>
          <w:rtl w:val="true"/>
          <w:lang w:val="en-US" w:eastAsia="en-US"/>
        </w:rPr>
        <w:t>.</w:t>
        <w:tab/>
      </w:r>
      <w:r>
        <w:rPr>
          <w:rFonts w:ascii="Arial" w:hAnsi="Arial" w:cs="Arial"/>
          <w:sz w:val="28"/>
          <w:sz w:val="28"/>
          <w:szCs w:val="28"/>
          <w:rtl w:val="true"/>
          <w:lang w:val="en-US" w:eastAsia="en-US"/>
        </w:rPr>
        <w:t>מתחם הענישה שקבע בימ</w:t>
      </w:r>
      <w:r>
        <w:rPr>
          <w:rFonts w:cs="Arial" w:ascii="Arial" w:hAnsi="Arial"/>
          <w:sz w:val="28"/>
          <w:szCs w:val="28"/>
          <w:rtl w:val="true"/>
          <w:lang w:val="en-US" w:eastAsia="en-US"/>
        </w:rPr>
        <w:t>"</w:t>
      </w:r>
      <w:r>
        <w:rPr>
          <w:rFonts w:ascii="Arial" w:hAnsi="Arial" w:cs="Arial"/>
          <w:sz w:val="28"/>
          <w:sz w:val="28"/>
          <w:szCs w:val="28"/>
          <w:rtl w:val="true"/>
          <w:lang w:val="en-US" w:eastAsia="en-US"/>
        </w:rPr>
        <w:t>ש קמא מקובל עלינו בהיותו משקף כראוי את הפגיעה המשמעותית שפגע המערער בבריאות הקטינים שקנו ממנו את הסם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גם אם מדובר בסם שנחשב כ</w:t>
      </w:r>
      <w:r>
        <w:rPr>
          <w:rFonts w:cs="Arial" w:ascii="Arial" w:hAnsi="Arial"/>
          <w:sz w:val="28"/>
          <w:szCs w:val="28"/>
          <w:rtl w:val="true"/>
          <w:lang w:val="en-US" w:eastAsia="en-US"/>
        </w:rPr>
        <w:t>"</w:t>
      </w:r>
      <w:r>
        <w:rPr>
          <w:rFonts w:ascii="Arial" w:hAnsi="Arial" w:cs="Arial"/>
          <w:sz w:val="28"/>
          <w:sz w:val="28"/>
          <w:szCs w:val="28"/>
          <w:rtl w:val="true"/>
          <w:lang w:val="en-US" w:eastAsia="en-US"/>
        </w:rPr>
        <w:t>סם קל</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ובכמויות לא גדולות</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tab/>
      </w:r>
      <w:r>
        <w:rPr>
          <w:rFonts w:ascii="Arial" w:hAnsi="Arial" w:cs="Arial"/>
          <w:sz w:val="28"/>
          <w:sz w:val="28"/>
          <w:szCs w:val="28"/>
          <w:rtl w:val="true"/>
          <w:lang w:val="en-US" w:eastAsia="en-US"/>
        </w:rPr>
        <w:t>גם אם המכירות נעשו בשל מניע כלכלי</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אין בכך להקל עם המערער בכל הקשור לקביעת המתחם</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6</w:t>
      </w:r>
      <w:r>
        <w:rPr>
          <w:rFonts w:cs="Arial" w:ascii="Arial" w:hAnsi="Arial"/>
          <w:sz w:val="28"/>
          <w:szCs w:val="28"/>
          <w:rtl w:val="true"/>
          <w:lang w:val="en-US" w:eastAsia="en-US"/>
        </w:rPr>
        <w:t>.</w:t>
        <w:tab/>
      </w:r>
      <w:r>
        <w:rPr>
          <w:rFonts w:ascii="Arial" w:hAnsi="Arial" w:cs="Arial"/>
          <w:sz w:val="28"/>
          <w:sz w:val="28"/>
          <w:szCs w:val="28"/>
          <w:rtl w:val="true"/>
          <w:lang w:val="en-US" w:eastAsia="en-US"/>
        </w:rPr>
        <w:t>מיקומו של המערער בתחתית המתחם הוא מיקום ראוי ואף מקל</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שכן תסקירי המבחן עליהם מסתמך ב</w:t>
      </w:r>
      <w:r>
        <w:rPr>
          <w:rFonts w:cs="Arial" w:ascii="Arial" w:hAnsi="Arial"/>
          <w:sz w:val="28"/>
          <w:szCs w:val="28"/>
          <w:rtl w:val="true"/>
          <w:lang w:val="en-US" w:eastAsia="en-US"/>
        </w:rPr>
        <w:t>"</w:t>
      </w:r>
      <w:r>
        <w:rPr>
          <w:rFonts w:ascii="Arial" w:hAnsi="Arial" w:cs="Arial"/>
          <w:sz w:val="28"/>
          <w:sz w:val="28"/>
          <w:szCs w:val="28"/>
          <w:rtl w:val="true"/>
          <w:lang w:val="en-US" w:eastAsia="en-US"/>
        </w:rPr>
        <w:t>כ המערער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שלטענתו הסתמך עליהם גם כב</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השופט קרשן</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אינם חיוביים</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בלשון המעטה</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שכן המערער התקשה לשתף פעולה עם שירות המבחן ובשל העדר בשלותו לא נמצא מתאים להליך טיפולי</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לכך יש להוסיף את גורמי הסיכון שמנה שירות המבחן וגם גורמי הסיכוי לא מצדיקים הטלת מאסר בעבודות שירות רק בשל חששו של המערער לרצות לראשונה בחייו מאסר מאחורי סורג ובריח</w:t>
      </w:r>
      <w:r>
        <w:rPr>
          <w:rFonts w:cs="Arial" w:ascii="Arial" w:hAnsi="Arial"/>
          <w:sz w:val="28"/>
          <w:szCs w:val="28"/>
          <w:rtl w:val="true"/>
          <w:lang w:val="en-US" w:eastAsia="en-US"/>
        </w:rPr>
        <w:t>.</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7</w:t>
      </w:r>
      <w:r>
        <w:rPr>
          <w:rFonts w:cs="Arial" w:ascii="Arial" w:hAnsi="Arial"/>
          <w:sz w:val="28"/>
          <w:szCs w:val="28"/>
          <w:rtl w:val="true"/>
          <w:lang w:val="en-US" w:eastAsia="en-US"/>
        </w:rPr>
        <w:t>.</w:t>
        <w:tab/>
      </w:r>
      <w:r>
        <w:rPr>
          <w:rFonts w:ascii="Arial" w:hAnsi="Arial" w:cs="Arial"/>
          <w:sz w:val="28"/>
          <w:sz w:val="28"/>
          <w:szCs w:val="28"/>
          <w:rtl w:val="true"/>
          <w:lang w:val="en-US" w:eastAsia="en-US"/>
        </w:rPr>
        <w:t>אף אנו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כמו בימ</w:t>
      </w:r>
      <w:r>
        <w:rPr>
          <w:rFonts w:cs="Arial" w:ascii="Arial" w:hAnsi="Arial"/>
          <w:sz w:val="28"/>
          <w:szCs w:val="28"/>
          <w:rtl w:val="true"/>
          <w:lang w:val="en-US" w:eastAsia="en-US"/>
        </w:rPr>
        <w:t>"</w:t>
      </w:r>
      <w:r>
        <w:rPr>
          <w:rFonts w:ascii="Arial" w:hAnsi="Arial" w:cs="Arial"/>
          <w:sz w:val="28"/>
          <w:sz w:val="28"/>
          <w:szCs w:val="28"/>
          <w:rtl w:val="true"/>
          <w:lang w:val="en-US" w:eastAsia="en-US"/>
        </w:rPr>
        <w:t>ש קמא</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איננו מתעלמים מנסיבות חייו של המערער</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מכך שמאז מעצרו בגין עבירות הסחר בסמים לא עבר עבירות</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פרט להפרת מעצר בית והימלטותו משוטר שמצא אותו מחוץ לביתו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ומהודאתו</w:t>
      </w:r>
      <w:r>
        <w:rPr>
          <w:rFonts w:cs="Arial" w:ascii="Arial" w:hAnsi="Arial"/>
          <w:sz w:val="28"/>
          <w:szCs w:val="28"/>
          <w:rtl w:val="true"/>
          <w:lang w:val="en-US" w:eastAsia="en-US"/>
        </w:rPr>
        <w:t xml:space="preserve">, </w:t>
      </w:r>
      <w:r>
        <w:rPr>
          <w:rFonts w:ascii="Arial" w:hAnsi="Arial" w:cs="Arial"/>
          <w:sz w:val="28"/>
          <w:sz w:val="28"/>
          <w:szCs w:val="28"/>
          <w:rtl w:val="true"/>
          <w:lang w:val="en-US" w:eastAsia="en-US"/>
        </w:rPr>
        <w:t>אך אין בכל אלה כדי לחרוג לקולא מהרף התחתון המוצדק של מתחם העונש ולהציבו מתחת לעונש שהוטל על ידי בימ</w:t>
      </w:r>
      <w:r>
        <w:rPr>
          <w:rFonts w:cs="Arial" w:ascii="Arial" w:hAnsi="Arial"/>
          <w:sz w:val="28"/>
          <w:szCs w:val="28"/>
          <w:rtl w:val="true"/>
          <w:lang w:val="en-US" w:eastAsia="en-US"/>
        </w:rPr>
        <w:t>"</w:t>
      </w:r>
      <w:r>
        <w:rPr>
          <w:rFonts w:ascii="Arial" w:hAnsi="Arial" w:cs="Arial"/>
          <w:sz w:val="28"/>
          <w:sz w:val="28"/>
          <w:szCs w:val="28"/>
          <w:rtl w:val="true"/>
          <w:lang w:val="en-US" w:eastAsia="en-US"/>
        </w:rPr>
        <w:t>ש קמא</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lang w:val="en-US" w:eastAsia="en-US"/>
        </w:rPr>
        <w:t>8</w:t>
      </w:r>
      <w:r>
        <w:rPr>
          <w:rFonts w:cs="Arial" w:ascii="Arial" w:hAnsi="Arial"/>
          <w:sz w:val="28"/>
          <w:szCs w:val="28"/>
          <w:rtl w:val="true"/>
          <w:lang w:val="en-US" w:eastAsia="en-US"/>
        </w:rPr>
        <w:t>.</w:t>
        <w:tab/>
      </w:r>
      <w:r>
        <w:rPr>
          <w:rFonts w:ascii="Arial" w:hAnsi="Arial" w:cs="Arial"/>
          <w:sz w:val="28"/>
          <w:sz w:val="28"/>
          <w:szCs w:val="28"/>
          <w:rtl w:val="true"/>
          <w:lang w:val="en-US" w:eastAsia="en-US"/>
        </w:rPr>
        <w:t>אנו דוחים את הערעור</w:t>
      </w:r>
      <w:r>
        <w:rPr>
          <w:rFonts w:cs="Arial" w:ascii="Arial" w:hAnsi="Arial"/>
          <w:sz w:val="28"/>
          <w:szCs w:val="28"/>
          <w:rtl w:val="true"/>
          <w:lang w:val="en-US" w:eastAsia="en-US"/>
        </w:rPr>
        <w:t xml:space="preserve">. </w:t>
      </w:r>
    </w:p>
    <w:p>
      <w:pPr>
        <w:pStyle w:val="Normal"/>
        <w:spacing w:lineRule="auto" w:line="360"/>
        <w:ind w:hanging="720" w:start="720"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autoSpaceDE w:val="false"/>
        <w:spacing w:lineRule="auto" w:line="360"/>
        <w:ind w:start="720" w:end="0"/>
        <w:jc w:val="both"/>
        <w:rPr>
          <w:rFonts w:ascii="Arial" w:hAnsi="Arial" w:cs="Arial"/>
          <w:sz w:val="28"/>
          <w:szCs w:val="28"/>
        </w:rPr>
      </w:pPr>
      <w:r>
        <w:rPr>
          <w:rFonts w:ascii="Arial" w:hAnsi="Arial" w:cs="Arial"/>
          <w:sz w:val="28"/>
          <w:sz w:val="28"/>
          <w:szCs w:val="28"/>
          <w:rtl w:val="true"/>
        </w:rPr>
        <w:t>המערער יתייצב לריצוי מאסרו בבית סוהר הדרים</w:t>
      </w:r>
      <w:r>
        <w:rPr>
          <w:rFonts w:cs="Arial" w:ascii="Arial" w:hAnsi="Arial"/>
          <w:sz w:val="28"/>
          <w:szCs w:val="28"/>
          <w:rtl w:val="true"/>
        </w:rPr>
        <w:t xml:space="preserve">, </w:t>
      </w:r>
      <w:r>
        <w:rPr>
          <w:rFonts w:ascii="Arial" w:hAnsi="Arial" w:cs="Arial"/>
          <w:sz w:val="28"/>
          <w:sz w:val="28"/>
          <w:szCs w:val="28"/>
          <w:rtl w:val="true"/>
        </w:rPr>
        <w:t xml:space="preserve">ביום </w:t>
      </w:r>
      <w:r>
        <w:rPr>
          <w:rFonts w:cs="Arial" w:ascii="Arial" w:hAnsi="Arial"/>
          <w:sz w:val="28"/>
          <w:szCs w:val="28"/>
        </w:rPr>
        <w:t>23.01.18</w:t>
      </w:r>
      <w:r>
        <w:rPr>
          <w:rFonts w:cs="Arial" w:ascii="Arial" w:hAnsi="Arial"/>
          <w:sz w:val="28"/>
          <w:szCs w:val="28"/>
          <w:rtl w:val="true"/>
        </w:rPr>
        <w:t xml:space="preserve"> </w:t>
      </w:r>
      <w:r>
        <w:rPr>
          <w:rFonts w:ascii="Arial" w:hAnsi="Arial" w:cs="Arial"/>
          <w:sz w:val="28"/>
          <w:sz w:val="28"/>
          <w:szCs w:val="28"/>
          <w:rtl w:val="true"/>
        </w:rPr>
        <w:t xml:space="preserve">עד השעה </w:t>
      </w:r>
      <w:r>
        <w:rPr>
          <w:rFonts w:cs="Arial" w:ascii="Arial" w:hAnsi="Arial"/>
          <w:sz w:val="28"/>
          <w:szCs w:val="28"/>
        </w:rPr>
        <w:t>10:00</w:t>
      </w:r>
      <w:r>
        <w:rPr>
          <w:rFonts w:cs="Arial" w:ascii="Arial" w:hAnsi="Arial"/>
          <w:sz w:val="28"/>
          <w:szCs w:val="28"/>
          <w:rtl w:val="true"/>
        </w:rPr>
        <w:t xml:space="preserve">, </w:t>
      </w:r>
      <w:r>
        <w:rPr>
          <w:rFonts w:ascii="Arial" w:hAnsi="Arial" w:cs="Arial"/>
          <w:sz w:val="28"/>
          <w:sz w:val="28"/>
          <w:szCs w:val="28"/>
          <w:rtl w:val="true"/>
        </w:rPr>
        <w:t>או על פי החלטת שב</w:t>
      </w:r>
      <w:r>
        <w:rPr>
          <w:rFonts w:cs="Arial" w:ascii="Arial" w:hAnsi="Arial"/>
          <w:sz w:val="28"/>
          <w:szCs w:val="28"/>
          <w:rtl w:val="true"/>
        </w:rPr>
        <w:t>"</w:t>
      </w:r>
      <w:r>
        <w:rPr>
          <w:rFonts w:ascii="Arial" w:hAnsi="Arial" w:cs="Arial"/>
          <w:sz w:val="28"/>
          <w:sz w:val="28"/>
          <w:szCs w:val="28"/>
          <w:rtl w:val="true"/>
        </w:rPr>
        <w:t>ס</w:t>
      </w:r>
      <w:r>
        <w:rPr>
          <w:rFonts w:cs="Arial" w:ascii="Arial" w:hAnsi="Arial"/>
          <w:sz w:val="28"/>
          <w:szCs w:val="28"/>
          <w:rtl w:val="true"/>
        </w:rPr>
        <w:t xml:space="preserve">, </w:t>
      </w:r>
      <w:r>
        <w:rPr>
          <w:rFonts w:ascii="Arial" w:hAnsi="Arial" w:cs="Arial"/>
          <w:sz w:val="28"/>
          <w:sz w:val="28"/>
          <w:szCs w:val="28"/>
          <w:rtl w:val="true"/>
        </w:rPr>
        <w:t>כשברשותו תעודת זהות וגזר הדין של בית משפט קמא</w:t>
      </w:r>
      <w:r>
        <w:rPr>
          <w:rFonts w:cs="Arial" w:ascii="Arial" w:hAnsi="Arial"/>
          <w:sz w:val="28"/>
          <w:szCs w:val="28"/>
          <w:rtl w:val="true"/>
        </w:rPr>
        <w:t>.</w:t>
      </w:r>
    </w:p>
    <w:p>
      <w:pPr>
        <w:pStyle w:val="Normal"/>
        <w:autoSpaceDE w:val="false"/>
        <w:spacing w:lineRule="auto" w:line="360"/>
        <w:ind w:start="720" w:end="0"/>
        <w:jc w:val="both"/>
        <w:rPr>
          <w:rFonts w:ascii="Arial" w:hAnsi="Arial" w:cs="Arial"/>
          <w:sz w:val="28"/>
          <w:szCs w:val="28"/>
        </w:rPr>
      </w:pPr>
      <w:r>
        <w:rPr>
          <w:rFonts w:ascii="Arial" w:hAnsi="Arial" w:cs="Arial"/>
          <w:sz w:val="28"/>
          <w:sz w:val="28"/>
          <w:szCs w:val="28"/>
          <w:rtl w:val="true"/>
        </w:rPr>
        <w:t>על ב</w:t>
      </w:r>
      <w:r>
        <w:rPr>
          <w:rFonts w:cs="Arial" w:ascii="Arial" w:hAnsi="Arial"/>
          <w:sz w:val="28"/>
          <w:szCs w:val="28"/>
          <w:rtl w:val="true"/>
        </w:rPr>
        <w:t>"</w:t>
      </w:r>
      <w:r>
        <w:rPr>
          <w:rFonts w:ascii="Arial" w:hAnsi="Arial" w:cs="Arial"/>
          <w:sz w:val="28"/>
          <w:sz w:val="28"/>
          <w:szCs w:val="28"/>
          <w:rtl w:val="true"/>
        </w:rPr>
        <w:t>כ המערער לתאם את הכניסה למאסר</w:t>
      </w:r>
      <w:r>
        <w:rPr>
          <w:rFonts w:cs="Arial" w:ascii="Arial" w:hAnsi="Arial"/>
          <w:sz w:val="28"/>
          <w:szCs w:val="28"/>
          <w:rtl w:val="true"/>
        </w:rPr>
        <w:t xml:space="preserve">, </w:t>
      </w:r>
      <w:r>
        <w:rPr>
          <w:rFonts w:ascii="Arial" w:hAnsi="Arial" w:cs="Arial"/>
          <w:sz w:val="28"/>
          <w:sz w:val="28"/>
          <w:szCs w:val="28"/>
          <w:rtl w:val="true"/>
        </w:rPr>
        <w:t>כולל האפשרות למיון מוקדם</w:t>
      </w:r>
      <w:r>
        <w:rPr>
          <w:rFonts w:cs="Arial" w:ascii="Arial" w:hAnsi="Arial"/>
          <w:sz w:val="28"/>
          <w:szCs w:val="28"/>
          <w:rtl w:val="true"/>
        </w:rPr>
        <w:t xml:space="preserve">, </w:t>
      </w:r>
      <w:r>
        <w:rPr>
          <w:rFonts w:ascii="Arial" w:hAnsi="Arial" w:cs="Arial"/>
          <w:sz w:val="28"/>
          <w:sz w:val="28"/>
          <w:szCs w:val="28"/>
          <w:rtl w:val="true"/>
        </w:rPr>
        <w:t>עם ענף אבחון ומיון של שב</w:t>
      </w:r>
      <w:r>
        <w:rPr>
          <w:rFonts w:cs="Arial" w:ascii="Arial" w:hAnsi="Arial"/>
          <w:sz w:val="28"/>
          <w:szCs w:val="28"/>
          <w:rtl w:val="true"/>
        </w:rPr>
        <w:t>"</w:t>
      </w:r>
      <w:r>
        <w:rPr>
          <w:rFonts w:ascii="Arial" w:hAnsi="Arial" w:cs="Arial"/>
          <w:sz w:val="28"/>
          <w:sz w:val="28"/>
          <w:szCs w:val="28"/>
          <w:rtl w:val="true"/>
        </w:rPr>
        <w:t>ס</w:t>
      </w:r>
      <w:r>
        <w:rPr>
          <w:rFonts w:cs="Arial" w:ascii="Arial" w:hAnsi="Arial"/>
          <w:sz w:val="28"/>
          <w:szCs w:val="28"/>
          <w:rtl w:val="true"/>
        </w:rPr>
        <w:t xml:space="preserve">, </w:t>
      </w:r>
      <w:r>
        <w:rPr>
          <w:rFonts w:ascii="Arial" w:hAnsi="Arial" w:cs="Arial"/>
          <w:sz w:val="28"/>
          <w:sz w:val="28"/>
          <w:szCs w:val="28"/>
          <w:rtl w:val="true"/>
        </w:rPr>
        <w:t>טלפונים</w:t>
      </w:r>
      <w:r>
        <w:rPr>
          <w:rFonts w:cs="Arial" w:ascii="Arial" w:hAnsi="Arial"/>
          <w:sz w:val="28"/>
          <w:szCs w:val="28"/>
          <w:rtl w:val="true"/>
        </w:rPr>
        <w:t xml:space="preserve">: </w:t>
      </w:r>
      <w:r>
        <w:rPr>
          <w:rFonts w:cs="Arial" w:ascii="Arial" w:hAnsi="Arial"/>
          <w:sz w:val="28"/>
          <w:szCs w:val="28"/>
        </w:rPr>
        <w:t>08-9787377</w:t>
      </w:r>
      <w:r>
        <w:rPr>
          <w:rFonts w:cs="Arial" w:ascii="Arial" w:hAnsi="Arial"/>
          <w:sz w:val="28"/>
          <w:szCs w:val="28"/>
          <w:rtl w:val="true"/>
        </w:rPr>
        <w:t xml:space="preserve">, </w:t>
      </w:r>
      <w:r>
        <w:rPr>
          <w:rFonts w:cs="Arial" w:ascii="Arial" w:hAnsi="Arial"/>
          <w:sz w:val="28"/>
          <w:szCs w:val="28"/>
        </w:rPr>
        <w:t>08-9787336</w:t>
      </w:r>
      <w:r>
        <w:rPr>
          <w:rFonts w:cs="Arial" w:ascii="Arial" w:hAnsi="Arial"/>
          <w:sz w:val="28"/>
          <w:szCs w:val="28"/>
          <w:rtl w:val="true"/>
        </w:rPr>
        <w:t xml:space="preserve">. </w:t>
      </w:r>
    </w:p>
    <w:p>
      <w:pPr>
        <w:pStyle w:val="Normal"/>
        <w:autoSpaceDE w:val="false"/>
        <w:spacing w:lineRule="auto" w:line="360"/>
        <w:ind w:start="720" w:end="0"/>
        <w:jc w:val="both"/>
        <w:rPr>
          <w:rFonts w:ascii="Arial" w:hAnsi="Arial" w:cs="Arial"/>
          <w:sz w:val="28"/>
          <w:szCs w:val="28"/>
        </w:rPr>
      </w:pPr>
      <w:r>
        <w:rPr>
          <w:rFonts w:ascii="Arial" w:hAnsi="Arial" w:cs="Arial"/>
          <w:sz w:val="28"/>
          <w:sz w:val="28"/>
          <w:szCs w:val="28"/>
          <w:rtl w:val="true"/>
        </w:rPr>
        <w:t>התנאים שנקבעו לעיכוב ביצוע עונש המאסר יעמדו בתוקפם עד להתייצבות המערער לריצוי עונשו</w:t>
      </w:r>
      <w:r>
        <w:rPr>
          <w:rFonts w:cs="Arial" w:ascii="Arial" w:hAnsi="Arial"/>
          <w:sz w:val="28"/>
          <w:szCs w:val="28"/>
          <w:rtl w:val="true"/>
        </w:rPr>
        <w:t>.</w:t>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tbl>
      <w:tblPr>
        <w:bidiVisual w:val="true"/>
        <w:tblW w:w="8504" w:type="dxa"/>
        <w:jc w:val="end"/>
        <w:tblInd w:w="0" w:type="dxa"/>
        <w:tblLayout w:type="fixed"/>
        <w:tblCellMar>
          <w:top w:w="0" w:type="dxa"/>
          <w:start w:w="108" w:type="dxa"/>
          <w:bottom w:w="0" w:type="dxa"/>
          <w:end w:w="108" w:type="dxa"/>
        </w:tblCellMar>
      </w:tblPr>
      <w:tblGrid>
        <w:gridCol w:w="2776"/>
        <w:gridCol w:w="239"/>
        <w:gridCol w:w="2417"/>
        <w:gridCol w:w="336"/>
        <w:gridCol w:w="2736"/>
      </w:tblGrid>
      <w:tr>
        <w:trPr/>
        <w:tc>
          <w:tcPr>
            <w:tcW w:w="2776" w:type="dxa"/>
            <w:tcBorders>
              <w:bottom w:val="single" w:sz="4" w:space="0" w:color="000000"/>
            </w:tcBorders>
            <w:vAlign w:val="bottom"/>
          </w:tcPr>
          <w:p>
            <w:pPr>
              <w:pStyle w:val="Normal"/>
              <w:ind w:end="0"/>
              <w:jc w:val="center"/>
              <w:rPr>
                <w:sz w:val="28"/>
                <w:szCs w:val="28"/>
              </w:rPr>
            </w:pPr>
            <w:r>
              <w:rPr>
                <w:rFonts w:ascii="Arial" w:hAnsi="Arial" w:cs="Arial"/>
                <w:b/>
                <w:b/>
                <w:bCs/>
                <w:sz w:val="28"/>
                <w:sz w:val="28"/>
                <w:szCs w:val="28"/>
                <w:rtl w:val="true"/>
                <w:lang w:val="en-US" w:eastAsia="en-US"/>
              </w:rPr>
              <w:t>ניתן היום</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ח</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טבת תשע</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 xml:space="preserve">ח </w:t>
            </w:r>
            <w:r>
              <w:rPr>
                <w:rFonts w:cs="Arial" w:ascii="Arial" w:hAnsi="Arial"/>
                <w:b/>
                <w:bCs/>
                <w:sz w:val="28"/>
                <w:szCs w:val="28"/>
                <w:rtl w:val="true"/>
                <w:lang w:val="en-US" w:eastAsia="en-US"/>
              </w:rPr>
              <w:t>(</w:t>
            </w:r>
            <w:r>
              <w:rPr>
                <w:rFonts w:cs="Arial" w:ascii="Arial" w:hAnsi="Arial"/>
                <w:b/>
                <w:bCs/>
                <w:sz w:val="28"/>
                <w:szCs w:val="28"/>
                <w:lang w:val="en-US" w:eastAsia="en-US"/>
              </w:rPr>
              <w:t>26</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 xml:space="preserve">דצמבר </w:t>
            </w:r>
            <w:r>
              <w:rPr>
                <w:rFonts w:cs="Arial" w:ascii="Arial" w:hAnsi="Arial"/>
                <w:b/>
                <w:bCs/>
                <w:sz w:val="28"/>
                <w:szCs w:val="28"/>
                <w:lang w:val="en-US" w:eastAsia="en-US"/>
              </w:rPr>
              <w:t>2017</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במעמד ב</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כ הצדדים והמערער</w:t>
            </w:r>
            <w:r>
              <w:rPr>
                <w:rFonts w:cs="Arial" w:ascii="Arial" w:hAnsi="Arial"/>
                <w:b/>
                <w:bCs/>
                <w:sz w:val="28"/>
                <w:szCs w:val="28"/>
                <w:rtl w:val="true"/>
                <w:lang w:val="en-US" w:eastAsia="en-US"/>
              </w:rPr>
              <w:t xml:space="preserve">.  </w:t>
            </w:r>
          </w:p>
        </w:tc>
        <w:tc>
          <w:tcPr>
            <w:tcW w:w="239" w:type="dxa"/>
            <w:tcBorders/>
            <w:vAlign w:val="bottom"/>
          </w:tcPr>
          <w:p>
            <w:pPr>
              <w:pStyle w:val="Normal"/>
              <w:snapToGrid w:val="false"/>
              <w:ind w:end="0"/>
              <w:jc w:val="center"/>
              <w:rPr>
                <w:rFonts w:ascii="Courier New" w:hAnsi="Courier New" w:cs="Courier New"/>
                <w:b/>
                <w:bCs/>
                <w:sz w:val="28"/>
                <w:szCs w:val="28"/>
              </w:rPr>
            </w:pPr>
            <w:r>
              <w:rPr>
                <w:rFonts w:cs="Courier New" w:ascii="Courier New" w:hAnsi="Courier New"/>
                <w:b/>
                <w:bCs/>
                <w:sz w:val="28"/>
                <w:szCs w:val="28"/>
                <w:rtl w:val="true"/>
              </w:rPr>
            </w:r>
          </w:p>
        </w:tc>
        <w:tc>
          <w:tcPr>
            <w:tcW w:w="2417" w:type="dxa"/>
            <w:tcBorders>
              <w:bottom w:val="single" w:sz="4" w:space="0" w:color="000000"/>
            </w:tcBorders>
            <w:vAlign w:val="bottom"/>
          </w:tcPr>
          <w:p>
            <w:pPr>
              <w:pStyle w:val="Normal"/>
              <w:snapToGrid w:val="false"/>
              <w:spacing w:lineRule="auto" w:line="360"/>
              <w:ind w:end="0"/>
              <w:jc w:val="center"/>
              <w:rPr>
                <w:rFonts w:ascii="Courier New" w:hAnsi="Courier New" w:cs="FrankRuehl"/>
                <w:b/>
                <w:bCs/>
                <w:sz w:val="28"/>
                <w:szCs w:val="28"/>
              </w:rPr>
            </w:pPr>
            <w:r>
              <w:rPr>
                <w:rFonts w:cs="FrankRuehl" w:ascii="Courier New" w:hAnsi="Courier New"/>
                <w:b/>
                <w:bCs/>
                <w:sz w:val="28"/>
                <w:szCs w:val="28"/>
                <w:rtl w:val="true"/>
              </w:rPr>
            </w:r>
          </w:p>
          <w:p>
            <w:pPr>
              <w:pStyle w:val="Normal"/>
              <w:ind w:end="0"/>
              <w:jc w:val="center"/>
              <w:rPr>
                <w:sz w:val="28"/>
                <w:szCs w:val="28"/>
              </w:rPr>
            </w:pPr>
            <w:r>
              <w:rPr>
                <w:rFonts w:cs="Times New Roman"/>
                <w:sz w:val="28"/>
                <w:szCs w:val="28"/>
                <w:rtl w:val="true"/>
              </w:rPr>
              <w:t xml:space="preserve">     </w:t>
            </w:r>
          </w:p>
        </w:tc>
        <w:tc>
          <w:tcPr>
            <w:tcW w:w="336" w:type="dxa"/>
            <w:tcBorders/>
            <w:vAlign w:val="bottom"/>
          </w:tcPr>
          <w:p>
            <w:pPr>
              <w:pStyle w:val="Normal"/>
              <w:snapToGrid w:val="false"/>
              <w:ind w:end="0"/>
              <w:jc w:val="center"/>
              <w:rPr>
                <w:rFonts w:ascii="Courier New" w:hAnsi="Courier New" w:cs="Courier New"/>
                <w:b/>
                <w:bCs/>
                <w:sz w:val="28"/>
                <w:szCs w:val="28"/>
              </w:rPr>
            </w:pPr>
            <w:r>
              <w:rPr>
                <w:rFonts w:cs="Courier New" w:ascii="Courier New" w:hAnsi="Courier New"/>
                <w:b/>
                <w:bCs/>
                <w:sz w:val="28"/>
                <w:szCs w:val="28"/>
                <w:rtl w:val="true"/>
              </w:rPr>
            </w:r>
          </w:p>
        </w:tc>
        <w:tc>
          <w:tcPr>
            <w:tcW w:w="2736" w:type="dxa"/>
            <w:tcBorders>
              <w:bottom w:val="single" w:sz="4" w:space="0" w:color="000000"/>
            </w:tcBorders>
          </w:tcPr>
          <w:p>
            <w:pPr>
              <w:pStyle w:val="Normal"/>
              <w:bidi w:val="0"/>
              <w:jc w:val="center"/>
              <w:rPr>
                <w:sz w:val="28"/>
                <w:szCs w:val="28"/>
              </w:rPr>
            </w:pPr>
            <w:r>
              <w:rPr>
                <w:rFonts w:cs="Times New Roman"/>
                <w:sz w:val="28"/>
                <w:szCs w:val="28"/>
              </w:rPr>
              <w:t xml:space="preserve">     </w:t>
            </w:r>
          </w:p>
        </w:tc>
      </w:tr>
      <w:tr>
        <w:trPr/>
        <w:tc>
          <w:tcPr>
            <w:tcW w:w="2776" w:type="dxa"/>
            <w:tcBorders>
              <w:top w:val="single" w:sz="4" w:space="0" w:color="000000"/>
            </w:tcBorders>
            <w:vAlign w:val="bottom"/>
          </w:tcPr>
          <w:p>
            <w:pPr>
              <w:pStyle w:val="Normal"/>
              <w:ind w:end="0"/>
              <w:jc w:val="center"/>
              <w:rPr>
                <w:rFonts w:ascii="Andalus" w:hAnsi="Andalus" w:cs="Andalus"/>
                <w:b/>
                <w:bCs/>
                <w:sz w:val="28"/>
                <w:szCs w:val="28"/>
              </w:rPr>
            </w:pPr>
            <w:r>
              <w:rPr>
                <w:b/>
                <w:b/>
                <w:bCs/>
                <w:sz w:val="28"/>
                <w:sz w:val="28"/>
                <w:szCs w:val="28"/>
                <w:rtl w:val="true"/>
              </w:rPr>
              <w:t>אברהם</w:t>
            </w:r>
            <w:r>
              <w:rPr>
                <w:rFonts w:ascii="Andalus" w:hAnsi="Andalus" w:cs="Andalus"/>
                <w:b/>
                <w:b/>
                <w:bCs/>
                <w:sz w:val="28"/>
                <w:sz w:val="28"/>
                <w:szCs w:val="28"/>
                <w:rtl w:val="true"/>
              </w:rPr>
              <w:t xml:space="preserve"> </w:t>
            </w:r>
            <w:r>
              <w:rPr>
                <w:b/>
                <w:b/>
                <w:bCs/>
                <w:sz w:val="28"/>
                <w:sz w:val="28"/>
                <w:szCs w:val="28"/>
                <w:rtl w:val="true"/>
              </w:rPr>
              <w:t>טל</w:t>
            </w:r>
            <w:r>
              <w:rPr>
                <w:rFonts w:cs="Andalus" w:ascii="Andalus" w:hAnsi="Andalus"/>
                <w:b/>
                <w:bCs/>
                <w:sz w:val="28"/>
                <w:szCs w:val="28"/>
                <w:rtl w:val="true"/>
              </w:rPr>
              <w:t xml:space="preserve">, </w:t>
            </w:r>
            <w:r>
              <w:rPr>
                <w:b/>
                <w:b/>
                <w:bCs/>
                <w:sz w:val="28"/>
                <w:sz w:val="28"/>
                <w:szCs w:val="28"/>
                <w:rtl w:val="true"/>
              </w:rPr>
              <w:t>נשיא</w:t>
            </w:r>
          </w:p>
          <w:p>
            <w:pPr>
              <w:pStyle w:val="Normal"/>
              <w:ind w:end="0"/>
              <w:jc w:val="center"/>
              <w:rPr>
                <w:rFonts w:ascii="Andalus" w:hAnsi="Andalus" w:cs="Andalus"/>
                <w:b/>
                <w:bCs/>
                <w:sz w:val="28"/>
                <w:szCs w:val="28"/>
              </w:rPr>
            </w:pPr>
            <w:r>
              <w:rPr>
                <w:b/>
                <w:b/>
                <w:bCs/>
                <w:sz w:val="28"/>
                <w:sz w:val="28"/>
                <w:szCs w:val="28"/>
                <w:rtl w:val="true"/>
              </w:rPr>
              <w:t>אב</w:t>
            </w:r>
            <w:r>
              <w:rPr>
                <w:rFonts w:cs="Andalus" w:ascii="Andalus" w:hAnsi="Andalus"/>
                <w:b/>
                <w:bCs/>
                <w:sz w:val="28"/>
                <w:szCs w:val="28"/>
                <w:rtl w:val="true"/>
              </w:rPr>
              <w:t>"</w:t>
            </w:r>
            <w:r>
              <w:rPr>
                <w:b/>
                <w:b/>
                <w:bCs/>
                <w:sz w:val="28"/>
                <w:sz w:val="28"/>
                <w:szCs w:val="28"/>
                <w:rtl w:val="true"/>
              </w:rPr>
              <w:t>ד</w:t>
            </w:r>
          </w:p>
        </w:tc>
        <w:tc>
          <w:tcPr>
            <w:tcW w:w="239" w:type="dxa"/>
            <w:tcBorders/>
            <w:vAlign w:val="bottom"/>
          </w:tcPr>
          <w:p>
            <w:pPr>
              <w:pStyle w:val="Normal"/>
              <w:snapToGrid w:val="false"/>
              <w:ind w:end="0"/>
              <w:jc w:val="center"/>
              <w:rPr>
                <w:rFonts w:ascii="Andalus" w:hAnsi="Andalus" w:cs="Andalus"/>
                <w:b/>
                <w:bCs/>
                <w:sz w:val="28"/>
                <w:szCs w:val="28"/>
              </w:rPr>
            </w:pPr>
            <w:r>
              <w:rPr>
                <w:rFonts w:cs="Andalus" w:ascii="Andalus" w:hAnsi="Andalus"/>
                <w:b/>
                <w:bCs/>
                <w:sz w:val="28"/>
                <w:szCs w:val="28"/>
                <w:rtl w:val="true"/>
              </w:rPr>
            </w:r>
          </w:p>
        </w:tc>
        <w:tc>
          <w:tcPr>
            <w:tcW w:w="2417" w:type="dxa"/>
            <w:tcBorders>
              <w:top w:val="single" w:sz="4" w:space="0" w:color="000000"/>
            </w:tcBorders>
          </w:tcPr>
          <w:p>
            <w:pPr>
              <w:pStyle w:val="Normal"/>
              <w:ind w:end="0"/>
              <w:jc w:val="center"/>
              <w:rPr>
                <w:rFonts w:ascii="Andalus" w:hAnsi="Andalus" w:cs="Andalus"/>
                <w:b/>
                <w:bCs/>
                <w:sz w:val="28"/>
                <w:szCs w:val="28"/>
              </w:rPr>
            </w:pPr>
            <w:r>
              <w:rPr>
                <w:rFonts w:ascii="Andalus" w:hAnsi="Andalus" w:cs="Andalus"/>
                <w:b/>
                <w:b/>
                <w:bCs/>
                <w:sz w:val="28"/>
                <w:sz w:val="28"/>
                <w:szCs w:val="28"/>
                <w:rtl w:val="true"/>
              </w:rPr>
              <w:t>שמואל בורנשטין</w:t>
            </w:r>
            <w:r>
              <w:rPr>
                <w:rFonts w:cs="Andalus" w:ascii="Andalus" w:hAnsi="Andalus"/>
                <w:b/>
                <w:bCs/>
                <w:sz w:val="28"/>
                <w:szCs w:val="28"/>
                <w:rtl w:val="true"/>
              </w:rPr>
              <w:t xml:space="preserve">, </w:t>
            </w:r>
            <w:r>
              <w:rPr>
                <w:rFonts w:ascii="Andalus" w:hAnsi="Andalus" w:cs="Andalus"/>
                <w:b/>
                <w:b/>
                <w:bCs/>
                <w:sz w:val="28"/>
                <w:sz w:val="28"/>
                <w:szCs w:val="28"/>
                <w:rtl w:val="true"/>
              </w:rPr>
              <w:t>שופט</w:t>
            </w:r>
          </w:p>
        </w:tc>
        <w:tc>
          <w:tcPr>
            <w:tcW w:w="336" w:type="dxa"/>
            <w:tcBorders/>
          </w:tcPr>
          <w:p>
            <w:pPr>
              <w:pStyle w:val="Normal"/>
              <w:snapToGrid w:val="false"/>
              <w:ind w:end="0"/>
              <w:jc w:val="center"/>
              <w:rPr>
                <w:rFonts w:ascii="Andalus" w:hAnsi="Andalus" w:cs="Andalus"/>
                <w:b/>
                <w:bCs/>
                <w:sz w:val="28"/>
                <w:szCs w:val="28"/>
              </w:rPr>
            </w:pPr>
            <w:r>
              <w:rPr>
                <w:rFonts w:cs="Andalus" w:ascii="Andalus" w:hAnsi="Andalus"/>
                <w:b/>
                <w:bCs/>
                <w:sz w:val="28"/>
                <w:szCs w:val="28"/>
                <w:rtl w:val="true"/>
              </w:rPr>
            </w:r>
          </w:p>
        </w:tc>
        <w:tc>
          <w:tcPr>
            <w:tcW w:w="2736" w:type="dxa"/>
            <w:tcBorders>
              <w:top w:val="single" w:sz="4" w:space="0" w:color="000000"/>
            </w:tcBorders>
          </w:tcPr>
          <w:p>
            <w:pPr>
              <w:pStyle w:val="Normal"/>
              <w:ind w:end="0"/>
              <w:jc w:val="center"/>
              <w:rPr>
                <w:rFonts w:ascii="Andalus" w:hAnsi="Andalus" w:cs="Andalus"/>
                <w:b/>
                <w:bCs/>
                <w:sz w:val="28"/>
                <w:szCs w:val="28"/>
              </w:rPr>
            </w:pPr>
            <w:r>
              <w:rPr>
                <w:rFonts w:ascii="Andalus" w:hAnsi="Andalus" w:cs="Andalus"/>
                <w:b/>
                <w:b/>
                <w:bCs/>
                <w:sz w:val="28"/>
                <w:sz w:val="28"/>
                <w:szCs w:val="28"/>
                <w:rtl w:val="true"/>
              </w:rPr>
              <w:t>דבורה עטר</w:t>
            </w:r>
            <w:r>
              <w:rPr>
                <w:rFonts w:cs="Andalus" w:ascii="Andalus" w:hAnsi="Andalus"/>
                <w:b/>
                <w:bCs/>
                <w:sz w:val="28"/>
                <w:szCs w:val="28"/>
                <w:rtl w:val="true"/>
              </w:rPr>
              <w:t xml:space="preserve">, </w:t>
            </w:r>
            <w:r>
              <w:rPr>
                <w:rFonts w:ascii="Andalus" w:hAnsi="Andalus" w:cs="Andalus"/>
                <w:b/>
                <w:b/>
                <w:bCs/>
                <w:sz w:val="28"/>
                <w:sz w:val="28"/>
                <w:szCs w:val="28"/>
                <w:rtl w:val="true"/>
              </w:rPr>
              <w:t>שופטת</w:t>
            </w:r>
          </w:p>
          <w:p>
            <w:pPr>
              <w:pStyle w:val="Normal"/>
              <w:ind w:end="0"/>
              <w:jc w:val="center"/>
              <w:rPr>
                <w:rFonts w:ascii="Andalus" w:hAnsi="Andalus" w:cs="Andalus"/>
                <w:b/>
                <w:bCs/>
                <w:sz w:val="28"/>
                <w:szCs w:val="28"/>
              </w:rPr>
            </w:pPr>
            <w:r>
              <w:rPr>
                <w:rFonts w:cs="Andalus" w:ascii="Andalus" w:hAnsi="Andalus"/>
                <w:b/>
                <w:bCs/>
                <w:sz w:val="28"/>
                <w:szCs w:val="28"/>
                <w:rtl w:val="true"/>
              </w:rPr>
            </w:r>
          </w:p>
        </w:tc>
      </w:tr>
    </w:tbl>
    <w:p>
      <w:pPr>
        <w:pStyle w:val="Normal"/>
        <w:spacing w:lineRule="auto" w:line="360"/>
        <w:ind w:end="0"/>
        <w:jc w:val="both"/>
        <w:rPr>
          <w:color w:val="FFFFFF"/>
          <w:sz w:val="2"/>
          <w:szCs w:val="2"/>
        </w:rPr>
      </w:pPr>
      <w:r>
        <w:rPr>
          <w:color w:val="FFFFFF"/>
          <w:sz w:val="2"/>
          <w:szCs w:val="2"/>
        </w:rPr>
        <w:t>5129371</w:t>
      </w:r>
    </w:p>
    <w:p>
      <w:pPr>
        <w:pStyle w:val="Normal"/>
        <w:spacing w:lineRule="auto" w:line="360"/>
        <w:ind w:end="0"/>
        <w:jc w:val="both"/>
        <w:rPr>
          <w:rFonts w:ascii="Arial" w:hAnsi="Arial" w:cs="Arial"/>
          <w:color w:val="FFFFFF"/>
          <w:sz w:val="2"/>
          <w:szCs w:val="2"/>
          <w:lang w:val="en-US" w:eastAsia="en-US"/>
        </w:rPr>
      </w:pPr>
      <w:r>
        <w:rPr>
          <w:rFonts w:cs="Arial" w:ascii="Arial" w:hAnsi="Arial"/>
          <w:color w:val="FFFFFF"/>
          <w:sz w:val="2"/>
          <w:szCs w:val="2"/>
          <w:lang w:val="en-US" w:eastAsia="en-US"/>
        </w:rPr>
        <w:t>54678313</w:t>
      </w:r>
    </w:p>
    <w:p>
      <w:pPr>
        <w:pStyle w:val="Normal"/>
        <w:keepNext w:val="true"/>
        <w:ind w:end="0"/>
        <w:jc w:val="start"/>
        <w:rPr>
          <w:rFonts w:ascii="David" w:hAnsi="David" w:cs="David"/>
          <w:color w:val="000000"/>
          <w:sz w:val="22"/>
          <w:szCs w:val="22"/>
          <w:lang w:val="en-US" w:eastAsia="en-US"/>
        </w:rPr>
      </w:pPr>
      <w:r>
        <w:rPr>
          <w:rFonts w:cs="David" w:ascii="David" w:hAnsi="David"/>
          <w:color w:val="000000"/>
          <w:sz w:val="22"/>
          <w:szCs w:val="22"/>
          <w:rtl w:val="true"/>
          <w:lang w:val="en-US" w:eastAsia="en-US"/>
        </w:rPr>
      </w:r>
    </w:p>
    <w:p>
      <w:pPr>
        <w:pStyle w:val="Normal"/>
        <w:keepNext w:val="true"/>
        <w:ind w:end="0"/>
        <w:jc w:val="start"/>
        <w:rPr>
          <w:rFonts w:ascii="David" w:hAnsi="David" w:cs="David"/>
          <w:color w:val="000000"/>
          <w:sz w:val="22"/>
          <w:szCs w:val="22"/>
        </w:rPr>
      </w:pPr>
      <w:r>
        <w:rPr>
          <w:rFonts w:ascii="David" w:hAnsi="David"/>
          <w:color w:val="000000"/>
          <w:sz w:val="22"/>
          <w:sz w:val="22"/>
          <w:szCs w:val="22"/>
          <w:rtl w:val="true"/>
        </w:rPr>
        <w:t xml:space="preserve">אברהם טל </w:t>
      </w:r>
      <w:r>
        <w:rPr>
          <w:rFonts w:cs="David" w:ascii="David" w:hAnsi="David"/>
          <w:color w:val="000000"/>
          <w:sz w:val="22"/>
          <w:szCs w:val="22"/>
        </w:rPr>
        <w:t>54678313</w:t>
      </w:r>
    </w:p>
    <w:p>
      <w:pPr>
        <w:pStyle w:val="Normal"/>
        <w:ind w:end="0"/>
        <w:jc w:val="start"/>
        <w:rPr>
          <w:color w:val="000000"/>
        </w:rPr>
      </w:pPr>
      <w:r>
        <w:rPr>
          <w:color w:val="000000"/>
          <w:rtl w:val="true"/>
        </w:rPr>
        <w:t>נוסח</w:t>
      </w:r>
      <w:r>
        <w:rPr>
          <w:rFonts w:cs="Times New Roman"/>
          <w:color w:val="000000"/>
          <w:rtl w:val="true"/>
        </w:rPr>
        <w:t xml:space="preserve"> </w:t>
      </w:r>
      <w:r>
        <w:rPr>
          <w:color w:val="000000"/>
          <w:rtl w:val="true"/>
        </w:rPr>
        <w:t>מסמך</w:t>
      </w:r>
      <w:r>
        <w:rPr>
          <w:rFonts w:cs="Times New Roman"/>
          <w:color w:val="000000"/>
          <w:rtl w:val="true"/>
        </w:rPr>
        <w:t xml:space="preserve"> </w:t>
      </w:r>
      <w:r>
        <w:rPr>
          <w:color w:val="000000"/>
          <w:rtl w:val="true"/>
        </w:rPr>
        <w:t>זה</w:t>
      </w:r>
      <w:r>
        <w:rPr>
          <w:rFonts w:cs="Times New Roman"/>
          <w:color w:val="000000"/>
          <w:rtl w:val="true"/>
        </w:rPr>
        <w:t xml:space="preserve"> </w:t>
      </w:r>
      <w:r>
        <w:rPr>
          <w:color w:val="000000"/>
          <w:rtl w:val="true"/>
        </w:rPr>
        <w:t>כפוף</w:t>
      </w:r>
      <w:r>
        <w:rPr>
          <w:rFonts w:cs="Times New Roman"/>
          <w:color w:val="000000"/>
          <w:rtl w:val="true"/>
        </w:rPr>
        <w:t xml:space="preserve"> </w:t>
      </w:r>
      <w:r>
        <w:rPr>
          <w:color w:val="000000"/>
          <w:rtl w:val="true"/>
        </w:rPr>
        <w:t>לשינויי</w:t>
      </w:r>
      <w:r>
        <w:rPr>
          <w:rFonts w:cs="Times New Roman"/>
          <w:color w:val="000000"/>
          <w:rtl w:val="true"/>
        </w:rPr>
        <w:t xml:space="preserve"> </w:t>
      </w:r>
      <w:r>
        <w:rPr>
          <w:color w:val="000000"/>
          <w:rtl w:val="true"/>
        </w:rPr>
        <w:t>ניסוח</w:t>
      </w:r>
      <w:r>
        <w:rPr>
          <w:rFonts w:cs="Times New Roman"/>
          <w:color w:val="000000"/>
          <w:rtl w:val="true"/>
        </w:rPr>
        <w:t xml:space="preserve"> </w:t>
      </w:r>
      <w:r>
        <w:rPr>
          <w:color w:val="000000"/>
          <w:rtl w:val="true"/>
        </w:rPr>
        <w:t>ועריכה</w:t>
      </w:r>
    </w:p>
    <w:p>
      <w:pPr>
        <w:pStyle w:val="Normal"/>
        <w:ind w:end="0"/>
        <w:jc w:val="start"/>
        <w:rPr/>
      </w:pPr>
      <w:r>
        <w:rPr>
          <w:rtl w:val="true"/>
        </w:rPr>
      </w:r>
    </w:p>
    <w:p>
      <w:pPr>
        <w:pStyle w:val="Normal"/>
        <w:ind w:end="0"/>
        <w:jc w:val="center"/>
        <w:rPr>
          <w:color w:val="0000FF"/>
          <w:u w:val="single"/>
        </w:rPr>
      </w:pPr>
      <w:hyperlink r:id="rId11">
        <w:r>
          <w:rPr>
            <w:rStyle w:val="Hyperlink"/>
            <w:color w:val="0000FF"/>
            <w:u w:val="single"/>
            <w:rtl w:val="true"/>
          </w:rPr>
          <w:t>בעניין</w:t>
        </w:r>
        <w:r>
          <w:rPr>
            <w:rStyle w:val="Hyperlink"/>
            <w:rFonts w:cs="Times New Roman"/>
            <w:color w:val="0000FF"/>
            <w:u w:val="single"/>
            <w:rtl w:val="true"/>
          </w:rPr>
          <w:t xml:space="preserve"> </w:t>
        </w:r>
        <w:r>
          <w:rPr>
            <w:rStyle w:val="Hyperlink"/>
            <w:color w:val="0000FF"/>
            <w:u w:val="single"/>
            <w:rtl w:val="true"/>
          </w:rPr>
          <w:t>עריכה</w:t>
        </w:r>
        <w:r>
          <w:rPr>
            <w:rStyle w:val="Hyperlink"/>
            <w:rFonts w:cs="Times New Roman"/>
            <w:color w:val="0000FF"/>
            <w:u w:val="single"/>
            <w:rtl w:val="true"/>
          </w:rPr>
          <w:t xml:space="preserve"> </w:t>
        </w:r>
        <w:r>
          <w:rPr>
            <w:rStyle w:val="Hyperlink"/>
            <w:color w:val="0000FF"/>
            <w:u w:val="single"/>
            <w:rtl w:val="true"/>
          </w:rPr>
          <w:t>ושינויים</w:t>
        </w:r>
        <w:r>
          <w:rPr>
            <w:rStyle w:val="Hyperlink"/>
            <w:rFonts w:cs="Times New Roman"/>
            <w:color w:val="0000FF"/>
            <w:u w:val="single"/>
            <w:rtl w:val="true"/>
          </w:rPr>
          <w:t xml:space="preserve"> </w:t>
        </w:r>
        <w:r>
          <w:rPr>
            <w:rStyle w:val="Hyperlink"/>
            <w:color w:val="0000FF"/>
            <w:u w:val="single"/>
            <w:rtl w:val="true"/>
          </w:rPr>
          <w:t>במסמכי</w:t>
        </w:r>
        <w:r>
          <w:rPr>
            <w:rStyle w:val="Hyperlink"/>
            <w:rFonts w:cs="Times New Roman"/>
            <w:color w:val="0000FF"/>
            <w:u w:val="single"/>
            <w:rtl w:val="true"/>
          </w:rPr>
          <w:t xml:space="preserve"> </w:t>
        </w:r>
        <w:r>
          <w:rPr>
            <w:rStyle w:val="Hyperlink"/>
            <w:color w:val="0000FF"/>
            <w:u w:val="single"/>
            <w:rtl w:val="true"/>
          </w:rPr>
          <w:t>פסיקה</w:t>
        </w:r>
        <w:r>
          <w:rPr>
            <w:rStyle w:val="Hyperlink"/>
            <w:color w:val="0000FF"/>
            <w:u w:val="single"/>
            <w:rtl w:val="true"/>
          </w:rPr>
          <w:t xml:space="preserve">, </w:t>
        </w:r>
        <w:r>
          <w:rPr>
            <w:rStyle w:val="Hyperlink"/>
            <w:color w:val="0000FF"/>
            <w:u w:val="single"/>
            <w:rtl w:val="true"/>
          </w:rPr>
          <w:t>חקיקה</w:t>
        </w:r>
        <w:r>
          <w:rPr>
            <w:rStyle w:val="Hyperlink"/>
            <w:rFonts w:cs="Times New Roman"/>
            <w:color w:val="0000FF"/>
            <w:u w:val="single"/>
            <w:rtl w:val="true"/>
          </w:rPr>
          <w:t xml:space="preserve"> </w:t>
        </w:r>
        <w:r>
          <w:rPr>
            <w:rStyle w:val="Hyperlink"/>
            <w:color w:val="0000FF"/>
            <w:u w:val="single"/>
            <w:rtl w:val="true"/>
          </w:rPr>
          <w:t>ועוד</w:t>
        </w:r>
        <w:r>
          <w:rPr>
            <w:rStyle w:val="Hyperlink"/>
            <w:rFonts w:cs="Times New Roman"/>
            <w:color w:val="0000FF"/>
            <w:u w:val="single"/>
            <w:rtl w:val="true"/>
          </w:rPr>
          <w:t xml:space="preserve"> </w:t>
        </w:r>
        <w:r>
          <w:rPr>
            <w:rStyle w:val="Hyperlink"/>
            <w:color w:val="0000FF"/>
            <w:u w:val="single"/>
            <w:rtl w:val="true"/>
          </w:rPr>
          <w:t>באתר</w:t>
        </w:r>
        <w:r>
          <w:rPr>
            <w:rStyle w:val="Hyperlink"/>
            <w:rFonts w:cs="Times New Roman"/>
            <w:color w:val="0000FF"/>
            <w:u w:val="single"/>
            <w:rtl w:val="true"/>
          </w:rPr>
          <w:t xml:space="preserve"> </w:t>
        </w:r>
        <w:r>
          <w:rPr>
            <w:rStyle w:val="Hyperlink"/>
            <w:color w:val="0000FF"/>
            <w:u w:val="single"/>
            <w:rtl w:val="true"/>
          </w:rPr>
          <w:t>נבו</w:t>
        </w:r>
        <w:r>
          <w:rPr>
            <w:rStyle w:val="Hyperlink"/>
            <w:rFonts w:cs="Times New Roman"/>
            <w:color w:val="0000FF"/>
            <w:u w:val="single"/>
            <w:rtl w:val="true"/>
          </w:rPr>
          <w:t xml:space="preserve"> </w:t>
        </w:r>
        <w:r>
          <w:rPr>
            <w:rStyle w:val="Hyperlink"/>
            <w:color w:val="0000FF"/>
            <w:u w:val="single"/>
            <w:rtl w:val="true"/>
          </w:rPr>
          <w:t>–</w:t>
        </w:r>
        <w:r>
          <w:rPr>
            <w:rStyle w:val="Hyperlink"/>
            <w:rFonts w:cs="Times New Roman"/>
            <w:color w:val="0000FF"/>
            <w:u w:val="single"/>
            <w:rtl w:val="true"/>
          </w:rPr>
          <w:t xml:space="preserve"> </w:t>
        </w:r>
        <w:r>
          <w:rPr>
            <w:rStyle w:val="Hyperlink"/>
            <w:color w:val="0000FF"/>
            <w:u w:val="single"/>
            <w:rtl w:val="true"/>
          </w:rPr>
          <w:t>הקש</w:t>
        </w:r>
        <w:r>
          <w:rPr>
            <w:rStyle w:val="Hyperlink"/>
            <w:rFonts w:cs="Times New Roman"/>
            <w:color w:val="0000FF"/>
            <w:u w:val="single"/>
            <w:rtl w:val="true"/>
          </w:rPr>
          <w:t xml:space="preserve"> </w:t>
        </w:r>
        <w:r>
          <w:rPr>
            <w:rStyle w:val="Hyperlink"/>
            <w:color w:val="0000FF"/>
            <w:u w:val="single"/>
            <w:rtl w:val="true"/>
          </w:rPr>
          <w:t>כאן</w:t>
        </w:r>
      </w:hyperlink>
    </w:p>
    <w:p>
      <w:pPr>
        <w:pStyle w:val="Normal"/>
        <w:ind w:end="0"/>
        <w:jc w:val="center"/>
        <w:rPr>
          <w:color w:val="0000FF"/>
          <w:u w:val="single"/>
        </w:rPr>
      </w:pPr>
      <w:r>
        <w:rPr>
          <w:color w:val="0000FF"/>
          <w:u w:val="single"/>
          <w:rtl w:val="true"/>
        </w:rPr>
      </w:r>
    </w:p>
    <w:sectPr>
      <w:headerReference w:type="default" r:id="rId12"/>
      <w:footerReference w:type="default" r:id="rId13"/>
      <w:type w:val="nextPage"/>
      <w:pgSz w:w="11906" w:h="16838"/>
      <w:pgMar w:left="1701" w:right="1701" w:gutter="0" w:header="720" w:top="1701" w:footer="737" w:bottom="1134"/>
      <w:pgNumType w:start="1"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Arial (W1)">
    <w:altName w:val="Arial"/>
    <w:charset w:val="00" w:characterSet="windows-1252"/>
    <w:family w:val="swiss"/>
    <w:pitch w:val="variable"/>
  </w:font>
  <w:font w:name="FrankRuehl">
    <w:charset w:val="b1" w:characterSet="windows-1255"/>
    <w:family w:val="swiss"/>
    <w:pitch w:val="variable"/>
  </w:font>
  <w:font w:name="Courier New">
    <w:charset w:val="00" w:characterSet="windows-1252"/>
    <w:family w:val="modern"/>
    <w:pitch w:val="default"/>
  </w:font>
  <w:font w:name="Andalus">
    <w:charset w:val="00" w:characterSet="windows-1252"/>
    <w:family w:val="roman"/>
    <w:pitch w:val="variable"/>
  </w:font>
  <w:font w:name="David">
    <w:charset w:val="b1" w:characterSet="windows-1255"/>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Style w:val="PageNumber"/>
        <w:rFonts w:ascii="FrankRuehl" w:hAnsi="FrankRuehl" w:cs="FrankRuehl"/>
      </w:rPr>
    </w:pPr>
    <w:r>
      <w:rPr>
        <w:rStyle w:val="PageNumber"/>
        <w:rFonts w:cs="FrankRuehl" w:ascii="FrankRuehl" w:hAnsi="FrankRuehl"/>
        <w:rtl w:val="true"/>
      </w:rPr>
      <w:fldChar w:fldCharType="begin"/>
    </w:r>
    <w:r>
      <w:rPr>
        <w:rtl w:val="true"/>
        <w:rStyle w:val="PageNumber"/>
        <w:rFonts w:cs="FrankRuehl" w:ascii="FrankRuehl" w:hAnsi="FrankRuehl"/>
      </w:rPr>
      <w:instrText xml:space="preserve"> PAGE </w:instrText>
    </w:r>
    <w:r>
      <w:rPr>
        <w:rtl w:val="true"/>
        <w:rStyle w:val="PageNumber"/>
        <w:rFonts w:cs="FrankRuehl" w:ascii="FrankRuehl" w:hAnsi="FrankRuehl"/>
      </w:rPr>
      <w:fldChar w:fldCharType="separate"/>
    </w:r>
    <w:r>
      <w:rPr>
        <w:rtl w:val="true"/>
        <w:rStyle w:val="PageNumber"/>
        <w:rFonts w:cs="FrankRuehl" w:ascii="FrankRuehl" w:hAnsi="FrankRuehl"/>
      </w:rPr>
      <w:t>11</w:t>
    </w:r>
    <w:r>
      <w:rPr>
        <w:rtl w:val="true"/>
        <w:rStyle w:val="PageNumber"/>
        <w:rFonts w:cs="FrankRuehl" w:ascii="FrankRuehl" w:hAnsi="FrankRuehl"/>
      </w:rPr>
      <w:fldChar w:fldCharType="end"/>
    </w:r>
  </w:p>
  <w:p>
    <w:pPr>
      <w:pStyle w:val="Footer"/>
      <w:pBdr>
        <w:top w:val="single" w:sz="4" w:space="1" w:color="000000"/>
      </w:pBdr>
      <w:spacing w:before="0" w:after="60"/>
      <w:ind w:end="0"/>
      <w:jc w:val="center"/>
      <w:rPr/>
    </w:pPr>
    <w:r>
      <w:rPr>
        <w:rStyle w:val="PageNumber"/>
        <w:rFonts w:cs="FrankRuehl" w:ascii="FrankRuehl" w:hAnsi="FrankRuehl"/>
        <w:color w:val="000000"/>
        <w:rtl w:val="true"/>
      </w:rPr>
      <w:drawing>
        <wp:inline distT="0" distB="0" distL="0" distR="0">
          <wp:extent cx="554990" cy="2254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720"/>
        <w:tab w:val="right" w:pos="8311" w:leader="none"/>
      </w:tabs>
      <w:spacing w:lineRule="exact" w:line="220"/>
      <w:ind w:end="0"/>
      <w:jc w:val="start"/>
      <w:rPr>
        <w:rFonts w:ascii="David" w:hAnsi="David" w:cs="David"/>
        <w:color w:val="000000"/>
        <w:sz w:val="22"/>
        <w:szCs w:val="22"/>
      </w:rPr>
    </w:pPr>
    <w:r>
      <w:rPr>
        <w:rFonts w:ascii="David" w:hAnsi="David"/>
        <w:color w:val="000000"/>
        <w:sz w:val="22"/>
        <w:sz w:val="22"/>
        <w:szCs w:val="22"/>
        <w:rtl w:val="true"/>
      </w:rPr>
      <w:t xml:space="preserve">עפג </w:t>
    </w:r>
    <w:r>
      <w:rPr>
        <w:rFonts w:cs="David" w:ascii="David" w:hAnsi="David"/>
        <w:color w:val="000000"/>
        <w:sz w:val="22"/>
        <w:szCs w:val="22"/>
        <w:rtl w:val="true"/>
      </w:rPr>
      <w:t>(</w:t>
    </w:r>
    <w:r>
      <w:rPr>
        <w:rFonts w:ascii="David" w:hAnsi="David"/>
        <w:color w:val="000000"/>
        <w:sz w:val="22"/>
        <w:sz w:val="22"/>
        <w:szCs w:val="22"/>
        <w:rtl w:val="true"/>
      </w:rPr>
      <w:t>מרכז</w:t>
    </w:r>
    <w:r>
      <w:rPr>
        <w:rFonts w:cs="David" w:ascii="David" w:hAnsi="David"/>
        <w:color w:val="000000"/>
        <w:sz w:val="22"/>
        <w:szCs w:val="22"/>
        <w:rtl w:val="true"/>
      </w:rPr>
      <w:t xml:space="preserve">) </w:t>
    </w:r>
    <w:r>
      <w:rPr>
        <w:rFonts w:cs="David" w:ascii="David" w:hAnsi="David"/>
        <w:color w:val="000000"/>
        <w:sz w:val="22"/>
        <w:szCs w:val="22"/>
      </w:rPr>
      <w:t>20755-07-17</w:t>
    </w:r>
    <w:r>
      <w:rPr>
        <w:rFonts w:cs="David" w:ascii="David" w:hAnsi="David"/>
        <w:color w:val="000000"/>
        <w:sz w:val="22"/>
        <w:szCs w:val="22"/>
        <w:rtl w:val="true"/>
      </w:rPr>
      <w:tab/>
      <w:t xml:space="preserve"> </w:t>
    </w:r>
    <w:r>
      <w:rPr>
        <w:rFonts w:ascii="David" w:hAnsi="David"/>
        <w:color w:val="000000"/>
        <w:sz w:val="22"/>
        <w:sz w:val="22"/>
        <w:szCs w:val="22"/>
        <w:rtl w:val="true"/>
      </w:rPr>
      <w:t>ליאור שוקרון נ</w:t>
    </w:r>
    <w:r>
      <w:rPr>
        <w:rFonts w:cs="David" w:ascii="David" w:hAnsi="David"/>
        <w:color w:val="000000"/>
        <w:sz w:val="22"/>
        <w:szCs w:val="22"/>
        <w:rtl w:val="true"/>
      </w:rPr>
      <w:t xml:space="preserve">' </w:t>
    </w:r>
    <w:r>
      <w:rPr>
        <w:rFonts w:ascii="David" w:hAnsi="David"/>
        <w:color w:val="000000"/>
        <w:sz w:val="22"/>
        <w:sz w:val="22"/>
        <w:szCs w:val="22"/>
        <w:rtl w:val="true"/>
      </w:rPr>
      <w:t>מדינת ישראל</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David"/>
      <w:color w:val="auto"/>
      <w:sz w:val="24"/>
      <w:szCs w:val="24"/>
      <w:lang w:val="en-US" w:eastAsia="en-IL" w:bidi="he-IL"/>
    </w:rPr>
  </w:style>
  <w:style w:type="character" w:styleId="DefaultParagraphFont">
    <w:name w:val="Default Paragraph Font"/>
    <w:qFormat/>
    <w:rPr/>
  </w:style>
  <w:style w:type="character" w:styleId="CharChar1">
    <w:name w:val=" Char Char1"/>
    <w:qFormat/>
    <w:rPr>
      <w:rFonts w:ascii="Times New Roman" w:hAnsi="Times New Roman" w:eastAsia="Times New Roman" w:cs="David"/>
      <w:sz w:val="24"/>
      <w:szCs w:val="24"/>
      <w:lang w:val="en-IL" w:eastAsia="en-IL"/>
    </w:rPr>
  </w:style>
  <w:style w:type="character" w:styleId="CharChar">
    <w:name w:val=" Char Char"/>
    <w:qFormat/>
    <w:rPr>
      <w:rFonts w:ascii="Times New Roman" w:hAnsi="Times New Roman" w:eastAsia="Times New Roman" w:cs="David"/>
      <w:sz w:val="24"/>
      <w:szCs w:val="24"/>
      <w:lang w:val="en-IL" w:eastAsia="en-IL"/>
    </w:rPr>
  </w:style>
  <w:style w:type="character" w:styleId="PageNumber">
    <w:name w:val="page number"/>
    <w:rPr/>
  </w:style>
  <w:style w:type="character" w:styleId="LineNumber">
    <w:name w:val="line number"/>
    <w:rPr/>
  </w:style>
  <w:style w:type="character" w:styleId="Hyperlink">
    <w:name w:val="Hyperlink"/>
    <w:rPr>
      <w:color w:val="0563C1"/>
      <w:u w:val="single"/>
    </w:rPr>
  </w:style>
  <w:style w:type="character" w:styleId="Style14">
    <w:name w:val="אזכור לא מזוהה"/>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law/4216" TargetMode="External"/><Relationship Id="rId3" Type="http://schemas.openxmlformats.org/officeDocument/2006/relationships/hyperlink" Target="http://www.nevo.co.il/case/20942302" TargetMode="External"/><Relationship Id="rId4" Type="http://schemas.openxmlformats.org/officeDocument/2006/relationships/hyperlink" Target="http://www.nevo.co.il/law/4216" TargetMode="External"/><Relationship Id="rId5" Type="http://schemas.openxmlformats.org/officeDocument/2006/relationships/hyperlink" Target="http://www.nevo.co.il/case/20494258" TargetMode="External"/><Relationship Id="rId6" Type="http://schemas.openxmlformats.org/officeDocument/2006/relationships/hyperlink" Target="http://www.nevo.co.il/case/10442672" TargetMode="External"/><Relationship Id="rId7" Type="http://schemas.openxmlformats.org/officeDocument/2006/relationships/hyperlink" Target="http://www.nevo.co.il/case/12930641" TargetMode="External"/><Relationship Id="rId8" Type="http://schemas.openxmlformats.org/officeDocument/2006/relationships/hyperlink" Target="http://www.nevo.co.il/case/5714921" TargetMode="External"/><Relationship Id="rId9" Type="http://schemas.openxmlformats.org/officeDocument/2006/relationships/hyperlink" Target="http://www.nevo.co.il/case/6135887" TargetMode="External"/><Relationship Id="rId10" Type="http://schemas.openxmlformats.org/officeDocument/2006/relationships/hyperlink" Target="http://www.nevo.co.il/case/7776276" TargetMode="External"/><Relationship Id="rId11" Type="http://schemas.openxmlformats.org/officeDocument/2006/relationships/hyperlink" Target="http://www.nevo.co.il/advertisements/nevo-100.doc"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2018-09-26T08:46:00Z</dcterms:created>
  <dc:creator> </dc:creator>
  <dc:description/>
  <cp:keywords/>
  <dc:language>en-IL</dc:language>
  <cp:lastModifiedBy>run</cp:lastModifiedBy>
  <dcterms:modified xsi:type="dcterms:W3CDTF">2018-09-26T08:46:00Z</dcterms:modified>
  <cp:revision>2</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ליאור שוקרון</vt:lpwstr>
  </property>
  <property fmtid="{D5CDD505-2E9C-101B-9397-08002B2CF9AE}" pid="3" name="APPELLANT1">
    <vt:lpwstr/>
  </property>
  <property fmtid="{D5CDD505-2E9C-101B-9397-08002B2CF9AE}" pid="4" name="APPELLANT2">
    <vt:lpwstr/>
  </property>
  <property fmtid="{D5CDD505-2E9C-101B-9397-08002B2CF9AE}" pid="5" name="APPELLEE">
    <vt:lpwstr>מדינת ישראל</vt:lpwstr>
  </property>
  <property fmtid="{D5CDD505-2E9C-101B-9397-08002B2CF9AE}" pid="6" name="APPELLEE1">
    <vt:lpwstr/>
  </property>
  <property fmtid="{D5CDD505-2E9C-101B-9397-08002B2CF9AE}" pid="7" name="APPELLEE2">
    <vt:lpwstr/>
  </property>
  <property fmtid="{D5CDD505-2E9C-101B-9397-08002B2CF9AE}" pid="8" name="CASENOTES1">
    <vt:lpwstr>ProcID=209&amp;PartA=16110&amp;PartB=08&amp;PartC=15</vt:lpwstr>
  </property>
  <property fmtid="{D5CDD505-2E9C-101B-9397-08002B2CF9AE}" pid="9" name="CASESLISTTMP1">
    <vt:lpwstr>20942302;20494258;10442672;12930641;5714921;6135887;7776276</vt:lpwstr>
  </property>
  <property fmtid="{D5CDD505-2E9C-101B-9397-08002B2CF9AE}" pid="10" name="CITY">
    <vt:lpwstr>מרכז</vt:lpwstr>
  </property>
  <property fmtid="{D5CDD505-2E9C-101B-9397-08002B2CF9AE}" pid="11" name="DATE">
    <vt:lpwstr>20171226</vt:lpwstr>
  </property>
  <property fmtid="{D5CDD505-2E9C-101B-9397-08002B2CF9AE}" pid="12" name="DELEMATA">
    <vt:lpwstr/>
  </property>
  <property fmtid="{D5CDD505-2E9C-101B-9397-08002B2CF9AE}" pid="13" name="ISABSTRACT">
    <vt:lpwstr>Y</vt:lpwstr>
  </property>
  <property fmtid="{D5CDD505-2E9C-101B-9397-08002B2CF9AE}" pid="14" name="JUDGE">
    <vt:lpwstr>אברהם טל;שמואל בורנשטין;דבורה עטר</vt:lpwstr>
  </property>
  <property fmtid="{D5CDD505-2E9C-101B-9397-08002B2CF9AE}" pid="15" name="LAWLISTTMP1">
    <vt:lpwstr>4216</vt:lpwstr>
  </property>
  <property fmtid="{D5CDD505-2E9C-101B-9397-08002B2CF9AE}" pid="16" name="LAWYER">
    <vt:lpwstr/>
  </property>
  <property fmtid="{D5CDD505-2E9C-101B-9397-08002B2CF9AE}" pid="17" name="LINKK1">
    <vt:lpwstr/>
  </property>
  <property fmtid="{D5CDD505-2E9C-101B-9397-08002B2CF9AE}" pid="18" name="LINKK2">
    <vt:lpwstr/>
  </property>
  <property fmtid="{D5CDD505-2E9C-101B-9397-08002B2CF9AE}" pid="19" name="LINKK3">
    <vt:lpwstr/>
  </property>
  <property fmtid="{D5CDD505-2E9C-101B-9397-08002B2CF9AE}" pid="20" name="LINKK4">
    <vt:lpwstr/>
  </property>
  <property fmtid="{D5CDD505-2E9C-101B-9397-08002B2CF9AE}" pid="21" name="LINKK5">
    <vt:lpwstr/>
  </property>
  <property fmtid="{D5CDD505-2E9C-101B-9397-08002B2CF9AE}" pid="22" name="NEWPARTA">
    <vt:lpwstr>20755</vt:lpwstr>
  </property>
  <property fmtid="{D5CDD505-2E9C-101B-9397-08002B2CF9AE}" pid="23" name="NEWPARTB">
    <vt:lpwstr>07</vt:lpwstr>
  </property>
  <property fmtid="{D5CDD505-2E9C-101B-9397-08002B2CF9AE}" pid="24" name="NEWPARTC">
    <vt:lpwstr>17</vt:lpwstr>
  </property>
  <property fmtid="{D5CDD505-2E9C-101B-9397-08002B2CF9AE}" pid="25" name="NEWPROC">
    <vt:lpwstr>עפג</vt:lpwstr>
  </property>
  <property fmtid="{D5CDD505-2E9C-101B-9397-08002B2CF9AE}" pid="26" name="PADIMAIL">
    <vt:lpwstr/>
  </property>
  <property fmtid="{D5CDD505-2E9C-101B-9397-08002B2CF9AE}" pid="27" name="PAGE">
    <vt:lpwstr/>
  </property>
  <property fmtid="{D5CDD505-2E9C-101B-9397-08002B2CF9AE}" pid="28" name="PART">
    <vt:lpwstr/>
  </property>
  <property fmtid="{D5CDD505-2E9C-101B-9397-08002B2CF9AE}" pid="29" name="PROCESS">
    <vt:lpwstr/>
  </property>
  <property fmtid="{D5CDD505-2E9C-101B-9397-08002B2CF9AE}" pid="30" name="PROCNUM">
    <vt:lpwstr/>
  </property>
  <property fmtid="{D5CDD505-2E9C-101B-9397-08002B2CF9AE}" pid="31" name="PROCYEAR">
    <vt:lpwstr/>
  </property>
  <property fmtid="{D5CDD505-2E9C-101B-9397-08002B2CF9AE}" pid="32" name="PSAKDIN">
    <vt:lpwstr>פסק-דין</vt:lpwstr>
  </property>
  <property fmtid="{D5CDD505-2E9C-101B-9397-08002B2CF9AE}" pid="33" name="TYPE">
    <vt:lpwstr>2</vt:lpwstr>
  </property>
  <property fmtid="{D5CDD505-2E9C-101B-9397-08002B2CF9AE}" pid="34" name="TYPE_ABS_DATE">
    <vt:lpwstr>390020171226</vt:lpwstr>
  </property>
  <property fmtid="{D5CDD505-2E9C-101B-9397-08002B2CF9AE}" pid="35" name="TYPE_N_DATE">
    <vt:lpwstr>39020171226</vt:lpwstr>
  </property>
  <property fmtid="{D5CDD505-2E9C-101B-9397-08002B2CF9AE}" pid="36" name="VOLUME">
    <vt:lpwstr/>
  </property>
  <property fmtid="{D5CDD505-2E9C-101B-9397-08002B2CF9AE}" pid="37" name="WORDNUMPAGES">
    <vt:lpwstr>9</vt:lpwstr>
  </property>
</Properties>
</file>