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20785-11-13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זיתון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29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דצמבר </w:t>
            </w:r>
            <w:r>
              <w:rPr>
                <w:b/>
                <w:bCs/>
                <w:sz w:val="26"/>
                <w:szCs w:val="26"/>
              </w:rPr>
              <w:t>2013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5"/>
        <w:gridCol w:w="2790"/>
        <w:gridCol w:w="2634"/>
        <w:gridCol w:w="81"/>
      </w:tblGrid>
      <w:tr>
        <w:trPr>
          <w:trHeight w:val="337" w:hRule="atLeast"/>
        </w:trPr>
        <w:tc>
          <w:tcPr>
            <w:tcW w:w="6005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ליאורה ברודי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–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אב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זהבה בוסתן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הדס עובדיה</w:t>
            </w:r>
          </w:p>
        </w:tc>
        <w:tc>
          <w:tcPr>
            <w:tcW w:w="2634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מערער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רמי זיתון</w:t>
            </w:r>
          </w:p>
        </w:tc>
      </w:tr>
      <w:tr>
        <w:trPr/>
        <w:tc>
          <w:tcPr>
            <w:tcW w:w="8720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</w:tr>
    </w:tbl>
    <w:p>
      <w:pPr>
        <w:pStyle w:val="Normal"/>
        <w:ind w:end="0"/>
        <w:jc w:val="start"/>
        <w:rPr>
          <w:rStyle w:val="LineNumber"/>
          <w:rFonts w:ascii="Arial" w:hAnsi="Arial" w:cs="Arial"/>
        </w:rPr>
      </w:pPr>
      <w:r>
        <w:rPr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  <w:sz w:val="6"/>
          <w:szCs w:val="6"/>
        </w:rPr>
      </w:pPr>
      <w:r>
        <w:rPr>
          <w:rStyle w:val="LineNumber"/>
          <w:rFonts w:cs="Arial" w:ascii="Arial" w:hAnsi="Arial"/>
          <w:sz w:val="6"/>
          <w:szCs w:val="6"/>
          <w:rtl w:val="true"/>
        </w:rPr>
        <w:t>&lt;</w:t>
      </w:r>
      <w:r>
        <w:rPr>
          <w:rStyle w:val="LineNumber"/>
          <w:rFonts w:cs="Arial" w:ascii="Arial" w:hAnsi="Arial"/>
          <w:sz w:val="6"/>
          <w:szCs w:val="6"/>
        </w:rPr>
        <w:t>#2#</w:t>
      </w:r>
      <w:r>
        <w:rPr>
          <w:rStyle w:val="LineNumber"/>
          <w:rFonts w:cs="Arial" w:ascii="Arial" w:hAnsi="Arial"/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המערער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אורי בן</w:t>
      </w:r>
      <w:r>
        <w:rPr>
          <w:b w:val="false"/>
          <w:bCs w:val="false"/>
          <w:u w:val="none"/>
          <w:rtl w:val="true"/>
        </w:rPr>
        <w:t>-</w:t>
      </w:r>
      <w:r>
        <w:rPr>
          <w:b w:val="false"/>
          <w:b w:val="false"/>
          <w:bCs w:val="false"/>
          <w:u w:val="none"/>
          <w:rtl w:val="true"/>
        </w:rPr>
        <w:t>נתן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המשיבה</w:t>
      </w:r>
      <w:r>
        <w:rPr>
          <w:b w:val="false"/>
          <w:bCs w:val="false"/>
          <w:u w:val="none"/>
          <w:rtl w:val="true"/>
        </w:rPr>
        <w:t xml:space="preserve">: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אור ממון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 xml:space="preserve">המערער בעצמו 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4" w:name="PsakDin"/>
      <w:bookmarkStart w:id="5" w:name="PsakDin"/>
      <w:bookmarkEnd w:id="5"/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לאחר שמיעת טיעוני הערעור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ולאור הערות בית המשפט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חזר בו המערער מן הערעור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ועל כן הערעור נדחה</w:t>
      </w:r>
      <w:r>
        <w:rPr>
          <w:rFonts w:cs="David" w:ascii="David" w:hAnsi="David"/>
          <w:rtl w:val="true"/>
        </w:rPr>
        <w:t>.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לצד זה נציין כי מתסקיר שירות המבחן עולה כי הנאשם שיתף פעולה עם שירות המבחן כנדרש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הוא עובר תהליך טיפולי חיובי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לפיכך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אנו ממליצים בפני שלטונות שב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 xml:space="preserve">ס לבחון את התאמתו של המערער לטיפול במהלך תקופת המאסר אותה הוא עומד לרצות </w:t>
      </w:r>
      <w:r>
        <w:rPr>
          <w:rFonts w:cs="David" w:ascii="David" w:hAnsi="David"/>
          <w:rtl w:val="true"/>
        </w:rPr>
        <w:t>(</w:t>
      </w:r>
      <w:r>
        <w:rPr>
          <w:rFonts w:ascii="David" w:hAnsi="David" w:cs="David"/>
          <w:rtl w:val="true"/>
        </w:rPr>
        <w:t>גם אם מדובר בתקופת מאסר קצרה יחסית</w:t>
      </w:r>
      <w:r>
        <w:rPr>
          <w:rFonts w:cs="David" w:ascii="David" w:hAnsi="David"/>
          <w:rtl w:val="true"/>
        </w:rPr>
        <w:t>).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 xml:space="preserve">המערער יתייצב לריצוי עונשו במתקן הכליאה 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>הדרים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 w:cs="David"/>
          <w:rtl w:val="true"/>
        </w:rPr>
        <w:t xml:space="preserve">ביום </w:t>
      </w:r>
      <w:r>
        <w:rPr>
          <w:rFonts w:cs="David" w:ascii="David" w:hAnsi="David"/>
        </w:rPr>
        <w:t>2.2.14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לא יאוחר מהשעה </w:t>
      </w:r>
      <w:r>
        <w:rPr>
          <w:rFonts w:cs="David" w:ascii="David" w:hAnsi="David"/>
        </w:rPr>
        <w:t>11:00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כשהוא מצויד בהעתק מגזר הדין של בית משפט קמא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פסק הדין של ערכאת הערעור וכן בתעודת זהות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הואיל והמערער משוחרר בתנאים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יבוצע לגביו הליך מיון בטרם המאסר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הערבויות והתנאים יעמדו בעינם עד להתייצבות המערער למאסר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David"/>
        <w:ind w:end="0"/>
        <w:jc w:val="both"/>
        <w:rPr/>
      </w:pPr>
      <w:r>
        <w:rPr>
          <w:rtl w:val="true"/>
        </w:rPr>
        <w:t>לאחר שהמערער יתייצב למאסרו יועבר הפיקדון לידי בא כוחו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 אורי בן</w:t>
      </w:r>
      <w:r>
        <w:rPr>
          <w:rtl w:val="true"/>
        </w:rPr>
        <w:t>-</w:t>
      </w:r>
      <w:r>
        <w:rPr>
          <w:rtl w:val="true"/>
        </w:rPr>
        <w:t xml:space="preserve">נתן </w:t>
      </w:r>
      <w:r>
        <w:rPr>
          <w:rtl w:val="true"/>
        </w:rPr>
        <w:t>(</w:t>
      </w:r>
      <w:r>
        <w:rPr>
          <w:rtl w:val="true"/>
        </w:rPr>
        <w:t>הפיקדון הופקד בזמנו בתיק המעצרים</w:t>
      </w:r>
      <w:r>
        <w:rPr>
          <w:rtl w:val="true"/>
        </w:rPr>
        <w:t>).</w:t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/>
      </w:pPr>
      <w:r>
        <w:rPr>
          <w:rtl w:val="true"/>
        </w:rPr>
        <w:t>להסרת כל ספק</w:t>
      </w:r>
      <w:r>
        <w:rPr>
          <w:rtl w:val="true"/>
        </w:rPr>
        <w:t xml:space="preserve">, </w:t>
      </w:r>
      <w:r>
        <w:rPr>
          <w:rtl w:val="true"/>
        </w:rPr>
        <w:t>מתקופת המאסר אותה עומד המערער לרצות</w:t>
      </w:r>
      <w:r>
        <w:rPr>
          <w:rtl w:val="true"/>
        </w:rPr>
        <w:t xml:space="preserve">, </w:t>
      </w:r>
      <w:r>
        <w:rPr>
          <w:rtl w:val="true"/>
        </w:rPr>
        <w:t>ינוכו ימים שבהם היה נתון במעצר</w:t>
      </w:r>
      <w:r>
        <w:rPr>
          <w:rtl w:val="true"/>
        </w:rPr>
        <w:t xml:space="preserve">: </w:t>
      </w:r>
      <w:r>
        <w:rPr/>
        <w:t>31.10.11</w:t>
      </w:r>
      <w:r>
        <w:rPr>
          <w:rtl w:val="true"/>
        </w:rPr>
        <w:t xml:space="preserve"> </w:t>
      </w:r>
      <w:r>
        <w:rPr>
          <w:rtl w:val="true"/>
        </w:rPr>
        <w:t xml:space="preserve">עד </w:t>
      </w:r>
      <w:r>
        <w:rPr/>
        <w:t>6.5.12</w:t>
      </w:r>
      <w:r>
        <w:rPr>
          <w:rtl w:val="true"/>
        </w:rPr>
        <w:t xml:space="preserve">. </w:t>
      </w:r>
    </w:p>
    <w:p>
      <w:pPr>
        <w:pStyle w:val="David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#6#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sz w:val="28"/>
          <w:szCs w:val="28"/>
        </w:rPr>
      </w:pPr>
      <w:bookmarkStart w:id="6" w:name="_GoBack"/>
      <w:bookmarkEnd w:id="6"/>
      <w:r>
        <w:rPr>
          <w:b/>
          <w:b/>
          <w:bCs/>
          <w:sz w:val="28"/>
          <w:sz w:val="28"/>
          <w:szCs w:val="28"/>
          <w:rtl w:val="true"/>
        </w:rPr>
        <w:t>ניתן והודע היום כ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ו טבת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ד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29/12/2013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</w:p>
    <w:p>
      <w:pPr>
        <w:pStyle w:val="Normal"/>
        <w:ind w:end="0"/>
        <w:jc w:val="star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ליאורה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</w:t>
            </w:r>
            <w:r>
              <w:rPr>
                <w:rFonts w:ascii="Times New Roman" w:hAnsi="Times New Roman" w:eastAsia="Times New Roman" w:cs="FrankRuehl"/>
                <w:rtl w:val="true"/>
              </w:rPr>
              <w:t>ברודי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שופטת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זהבה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בוסתן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שופטת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ascii="Times New Roman" w:hAnsi="Times New Roman" w:eastAsia="Times New Roman" w:cs="FrankRuehl"/>
                <w:rtl w:val="true"/>
              </w:rPr>
              <w:t>הדס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rtl w:val="true"/>
              </w:rPr>
              <w:t>עובדיה</w:t>
            </w:r>
            <w:r>
              <w:rPr>
                <w:rFonts w:eastAsia="Times New Roman" w:cs="FrankRuehl" w:ascii="Times New Roman" w:hAnsi="Times New Roman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rtl w:val="true"/>
              </w:rPr>
              <w:t>שופטת</w:t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Times New Roman" w:hAnsi="Times New Roman" w:eastAsia="Times New Roman" w:cs="FrankRuehl"/>
              </w:rPr>
            </w:pPr>
            <w:r>
              <w:rPr>
                <w:rFonts w:eastAsia="Times New Roman" w:cs="FrankRuehl" w:ascii="Times New Roman" w:hAnsi="Times New Roman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David"/>
        <w:ind w:end="0"/>
        <w:jc w:val="center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Style w:val="LineNumber"/>
        </w:rPr>
      </w:pPr>
      <w:r>
        <w:rPr>
          <w:rStyle w:val="LineNumber"/>
          <w:rtl w:val="true"/>
        </w:rPr>
        <w:t xml:space="preserve">  </w:t>
      </w:r>
    </w:p>
    <w:p>
      <w:pPr>
        <w:pStyle w:val="Normal"/>
        <w:ind w:end="0"/>
        <w:jc w:val="start"/>
        <w:rPr/>
      </w:pP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בת</w:t>
      </w:r>
      <w:r>
        <w:rPr>
          <w:rtl w:val="true"/>
        </w:rPr>
        <w:t xml:space="preserve"> </w:t>
      </w:r>
      <w:r>
        <w:rPr>
          <w:rtl w:val="true"/>
        </w:rPr>
        <w:t>חן</w:t>
      </w:r>
      <w:r>
        <w:rPr>
          <w:rtl w:val="true"/>
        </w:rPr>
        <w:t xml:space="preserve">  </w:t>
      </w:r>
      <w:r>
        <w:rPr>
          <w:rtl w:val="true"/>
        </w:rPr>
        <w:t>סיקסיק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ליאורה ברודי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20785-11-13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רמי זיתון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>
      <w:rFonts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2014-04-08T07:56:00Z</dcterms:created>
  <dc:creator> </dc:creator>
  <dc:description/>
  <cp:keywords/>
  <dc:language>en-IL</dc:language>
  <cp:lastModifiedBy>hofit</cp:lastModifiedBy>
  <dcterms:modified xsi:type="dcterms:W3CDTF">2014-04-08T07:56:00Z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רמי זיתון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>מרכז</vt:lpwstr>
  </property>
  <property fmtid="{D5CDD505-2E9C-101B-9397-08002B2CF9AE}" pid="9" name="DATE">
    <vt:lpwstr>20131229</vt:lpwstr>
  </property>
  <property fmtid="{D5CDD505-2E9C-101B-9397-08002B2CF9AE}" pid="10" name="DELEMATA">
    <vt:lpwstr/>
  </property>
  <property fmtid="{D5CDD505-2E9C-101B-9397-08002B2CF9AE}" pid="11" name="JUDGE">
    <vt:lpwstr>ליאורה ברודי;זהבה בוסתן;הדס עובדיה</vt:lpwstr>
  </property>
  <property fmtid="{D5CDD505-2E9C-101B-9397-08002B2CF9AE}" pid="12" name="LAWYER">
    <vt:lpwstr>אורי בן נתן;אור ממון</vt:lpwstr>
  </property>
  <property fmtid="{D5CDD505-2E9C-101B-9397-08002B2CF9AE}" pid="13" name="LINKK1">
    <vt:lpwstr/>
  </property>
  <property fmtid="{D5CDD505-2E9C-101B-9397-08002B2CF9AE}" pid="14" name="LINKK2">
    <vt:lpwstr/>
  </property>
  <property fmtid="{D5CDD505-2E9C-101B-9397-08002B2CF9AE}" pid="15" name="LINKK3">
    <vt:lpwstr/>
  </property>
  <property fmtid="{D5CDD505-2E9C-101B-9397-08002B2CF9AE}" pid="16" name="LINKK4">
    <vt:lpwstr/>
  </property>
  <property fmtid="{D5CDD505-2E9C-101B-9397-08002B2CF9AE}" pid="17" name="LINKK5">
    <vt:lpwstr/>
  </property>
  <property fmtid="{D5CDD505-2E9C-101B-9397-08002B2CF9AE}" pid="18" name="NEWPARTA">
    <vt:lpwstr>20785</vt:lpwstr>
  </property>
  <property fmtid="{D5CDD505-2E9C-101B-9397-08002B2CF9AE}" pid="19" name="NEWPARTB">
    <vt:lpwstr>11</vt:lpwstr>
  </property>
  <property fmtid="{D5CDD505-2E9C-101B-9397-08002B2CF9AE}" pid="20" name="NEWPARTC">
    <vt:lpwstr>13</vt:lpwstr>
  </property>
  <property fmtid="{D5CDD505-2E9C-101B-9397-08002B2CF9AE}" pid="21" name="NEWPROC">
    <vt:lpwstr>עפג</vt:lpwstr>
  </property>
  <property fmtid="{D5CDD505-2E9C-101B-9397-08002B2CF9AE}" pid="22" name="PADIMAIL">
    <vt:lpwstr/>
  </property>
  <property fmtid="{D5CDD505-2E9C-101B-9397-08002B2CF9AE}" pid="23" name="PAGE">
    <vt:lpwstr/>
  </property>
  <property fmtid="{D5CDD505-2E9C-101B-9397-08002B2CF9AE}" pid="24" name="PART">
    <vt:lpwstr/>
  </property>
  <property fmtid="{D5CDD505-2E9C-101B-9397-08002B2CF9AE}" pid="25" name="PROCESS">
    <vt:lpwstr/>
  </property>
  <property fmtid="{D5CDD505-2E9C-101B-9397-08002B2CF9AE}" pid="26" name="PROCNUM">
    <vt:lpwstr/>
  </property>
  <property fmtid="{D5CDD505-2E9C-101B-9397-08002B2CF9AE}" pid="27" name="PROCYEAR">
    <vt:lpwstr/>
  </property>
  <property fmtid="{D5CDD505-2E9C-101B-9397-08002B2CF9AE}" pid="28" name="PSAKDIN">
    <vt:lpwstr>פסק-דין</vt:lpwstr>
  </property>
  <property fmtid="{D5CDD505-2E9C-101B-9397-08002B2CF9AE}" pid="29" name="TYPE">
    <vt:lpwstr>2</vt:lpwstr>
  </property>
  <property fmtid="{D5CDD505-2E9C-101B-9397-08002B2CF9AE}" pid="30" name="TYPE_ABS_DATE">
    <vt:lpwstr>390020131229</vt:lpwstr>
  </property>
  <property fmtid="{D5CDD505-2E9C-101B-9397-08002B2CF9AE}" pid="31" name="TYPE_N_DATE">
    <vt:lpwstr>39020131229</vt:lpwstr>
  </property>
  <property fmtid="{D5CDD505-2E9C-101B-9397-08002B2CF9AE}" pid="32" name="VOLUME">
    <vt:lpwstr/>
  </property>
  <property fmtid="{D5CDD505-2E9C-101B-9397-08002B2CF9AE}" pid="33" name="WORDNUMPAGES">
    <vt:lpwstr>2</vt:lpwstr>
  </property>
</Properties>
</file>