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bidiVisual w:val="true"/>
        <w:tblW w:w="8720" w:type="dxa"/>
        <w:jc w:val="center"/>
        <w:tblInd w:w="0" w:type="dxa"/>
        <w:tblLayout w:type="fixed"/>
        <w:tblCellMar>
          <w:top w:w="0" w:type="dxa"/>
          <w:start w:w="108" w:type="dxa"/>
          <w:bottom w:w="0" w:type="dxa"/>
          <w:end w:w="108" w:type="dxa"/>
        </w:tblCellMar>
      </w:tblPr>
      <w:tblGrid>
        <w:gridCol w:w="3973"/>
        <w:gridCol w:w="1068"/>
        <w:gridCol w:w="3679"/>
      </w:tblGrid>
      <w:tr>
        <w:trPr>
          <w:trHeight w:val="418" w:hRule="exact"/>
        </w:trPr>
        <w:tc>
          <w:tcPr>
            <w:tcW w:w="8720" w:type="dxa"/>
            <w:gridSpan w:val="3"/>
            <w:tcBorders/>
          </w:tcPr>
          <w:p>
            <w:pPr>
              <w:pStyle w:val="Header"/>
              <w:tabs>
                <w:tab w:val="clear" w:pos="720"/>
              </w:tabs>
              <w:ind w:end="0"/>
              <w:jc w:val="center"/>
              <w:rPr>
                <w:rFonts w:ascii="Tahoma" w:hAnsi="Tahoma" w:cs="Tahoma"/>
                <w:b/>
                <w:bCs/>
                <w:color w:val="000080"/>
                <w:sz w:val="20"/>
                <w:szCs w:val="20"/>
              </w:rPr>
            </w:pPr>
            <w:r>
              <w:rPr>
                <w:rFonts w:ascii="Tahoma" w:hAnsi="Tahoma" w:cs="Tahoma"/>
                <w:b/>
                <w:b/>
                <w:bCs/>
                <w:color w:val="000080"/>
                <w:sz w:val="20"/>
                <w:sz w:val="20"/>
                <w:szCs w:val="20"/>
                <w:rtl w:val="true"/>
              </w:rPr>
              <w:t>בית המשפט המחוזי מרכז</w:t>
            </w:r>
            <w:r>
              <w:rPr>
                <w:rFonts w:cs="Tahoma" w:ascii="Tahoma" w:hAnsi="Tahoma"/>
                <w:b/>
                <w:bCs/>
                <w:color w:val="000080"/>
                <w:sz w:val="20"/>
                <w:szCs w:val="20"/>
                <w:rtl w:val="true"/>
              </w:rPr>
              <w:t>-</w:t>
            </w:r>
            <w:r>
              <w:rPr>
                <w:rFonts w:ascii="Tahoma" w:hAnsi="Tahoma" w:cs="Tahoma"/>
                <w:b/>
                <w:b/>
                <w:bCs/>
                <w:color w:val="000080"/>
                <w:sz w:val="20"/>
                <w:sz w:val="20"/>
                <w:szCs w:val="20"/>
                <w:rtl w:val="true"/>
              </w:rPr>
              <w:t>לוד</w:t>
            </w:r>
          </w:p>
        </w:tc>
      </w:tr>
      <w:tr>
        <w:trPr>
          <w:trHeight w:val="337" w:hRule="atLeast"/>
        </w:trPr>
        <w:tc>
          <w:tcPr>
            <w:tcW w:w="3973" w:type="dxa"/>
            <w:tcBorders/>
          </w:tcPr>
          <w:p>
            <w:pPr>
              <w:pStyle w:val="Normal"/>
              <w:ind w:end="0"/>
              <w:jc w:val="start"/>
              <w:rPr>
                <w:b/>
                <w:bCs/>
                <w:sz w:val="26"/>
                <w:szCs w:val="26"/>
              </w:rPr>
            </w:pPr>
            <w:r>
              <w:rPr>
                <w:b/>
                <w:b/>
                <w:bCs/>
                <w:sz w:val="26"/>
                <w:sz w:val="26"/>
                <w:szCs w:val="26"/>
                <w:rtl w:val="true"/>
              </w:rPr>
              <w:t>עפ</w:t>
            </w:r>
            <w:r>
              <w:rPr>
                <w:b/>
                <w:bCs/>
                <w:sz w:val="26"/>
                <w:szCs w:val="26"/>
                <w:rtl w:val="true"/>
              </w:rPr>
              <w:t>"</w:t>
            </w:r>
            <w:r>
              <w:rPr>
                <w:b/>
                <w:b/>
                <w:bCs/>
                <w:sz w:val="26"/>
                <w:sz w:val="26"/>
                <w:szCs w:val="26"/>
                <w:rtl w:val="true"/>
              </w:rPr>
              <w:t>ג</w:t>
            </w:r>
            <w:r>
              <w:rPr>
                <w:b/>
                <w:b/>
                <w:bCs/>
                <w:sz w:val="26"/>
                <w:sz w:val="26"/>
                <w:szCs w:val="26"/>
                <w:rtl w:val="true"/>
              </w:rPr>
              <w:t xml:space="preserve"> </w:t>
            </w:r>
            <w:r>
              <w:rPr>
                <w:b/>
                <w:bCs/>
                <w:sz w:val="26"/>
                <w:szCs w:val="26"/>
              </w:rPr>
              <w:t>23775-04-15</w:t>
            </w:r>
            <w:r>
              <w:rPr>
                <w:b/>
                <w:bCs/>
                <w:sz w:val="26"/>
                <w:szCs w:val="26"/>
                <w:rtl w:val="true"/>
              </w:rPr>
              <w:t xml:space="preserve"> </w:t>
            </w:r>
            <w:r>
              <w:rPr>
                <w:b/>
                <w:b/>
                <w:bCs/>
                <w:sz w:val="26"/>
                <w:sz w:val="26"/>
                <w:szCs w:val="26"/>
                <w:rtl w:val="true"/>
              </w:rPr>
              <w:t>מדינת ישראל נ</w:t>
            </w:r>
            <w:r>
              <w:rPr>
                <w:b/>
                <w:bCs/>
                <w:sz w:val="26"/>
                <w:szCs w:val="26"/>
                <w:rtl w:val="true"/>
              </w:rPr>
              <w:t xml:space="preserve">' </w:t>
            </w:r>
            <w:r>
              <w:rPr>
                <w:b/>
                <w:b/>
                <w:bCs/>
                <w:sz w:val="26"/>
                <w:sz w:val="26"/>
                <w:szCs w:val="26"/>
                <w:rtl w:val="true"/>
              </w:rPr>
              <w:t>מדמון</w:t>
            </w:r>
            <w:r>
              <w:rPr>
                <w:b/>
                <w:bCs/>
                <w:sz w:val="26"/>
                <w:szCs w:val="26"/>
                <w:rtl w:val="true"/>
              </w:rPr>
              <w:t>(</w:t>
            </w:r>
            <w:r>
              <w:rPr>
                <w:b/>
                <w:b/>
                <w:bCs/>
                <w:sz w:val="26"/>
                <w:sz w:val="26"/>
                <w:szCs w:val="26"/>
                <w:rtl w:val="true"/>
              </w:rPr>
              <w:t>עציר</w:t>
            </w:r>
            <w:r>
              <w:rPr>
                <w:b/>
                <w:bCs/>
                <w:sz w:val="26"/>
                <w:szCs w:val="26"/>
                <w:rtl w:val="true"/>
              </w:rPr>
              <w:t>)</w:t>
            </w:r>
          </w:p>
          <w:p>
            <w:pPr>
              <w:pStyle w:val="Normal"/>
              <w:ind w:end="0"/>
              <w:jc w:val="start"/>
              <w:rPr>
                <w:b/>
                <w:bCs/>
                <w:sz w:val="26"/>
                <w:szCs w:val="26"/>
              </w:rPr>
            </w:pPr>
            <w:r>
              <w:rPr>
                <w:b/>
                <w:bCs/>
                <w:sz w:val="26"/>
                <w:szCs w:val="26"/>
                <w:rtl w:val="true"/>
              </w:rPr>
            </w:r>
          </w:p>
        </w:tc>
        <w:tc>
          <w:tcPr>
            <w:tcW w:w="1068" w:type="dxa"/>
            <w:tcBorders/>
          </w:tcPr>
          <w:p>
            <w:pPr>
              <w:pStyle w:val="Header"/>
              <w:snapToGrid w:val="false"/>
              <w:ind w:end="0"/>
              <w:jc w:val="end"/>
              <w:rPr>
                <w:b/>
                <w:bCs/>
                <w:sz w:val="26"/>
                <w:szCs w:val="26"/>
              </w:rPr>
            </w:pPr>
            <w:r>
              <w:rPr>
                <w:b/>
                <w:bCs/>
                <w:sz w:val="26"/>
                <w:szCs w:val="26"/>
                <w:rtl w:val="true"/>
              </w:rPr>
            </w:r>
          </w:p>
        </w:tc>
        <w:tc>
          <w:tcPr>
            <w:tcW w:w="3679" w:type="dxa"/>
            <w:tcBorders/>
          </w:tcPr>
          <w:p>
            <w:pPr>
              <w:pStyle w:val="Header"/>
              <w:tabs>
                <w:tab w:val="clear" w:pos="720"/>
              </w:tabs>
              <w:ind w:end="0"/>
              <w:jc w:val="end"/>
              <w:rPr>
                <w:b/>
                <w:bCs/>
                <w:sz w:val="26"/>
                <w:szCs w:val="26"/>
              </w:rPr>
            </w:pPr>
            <w:r>
              <w:rPr>
                <w:b/>
                <w:bCs/>
                <w:sz w:val="26"/>
                <w:szCs w:val="26"/>
              </w:rPr>
              <w:t>21</w:t>
            </w:r>
            <w:r>
              <w:rPr>
                <w:b/>
                <w:bCs/>
                <w:sz w:val="26"/>
                <w:szCs w:val="26"/>
                <w:rtl w:val="true"/>
              </w:rPr>
              <w:t xml:space="preserve"> </w:t>
            </w:r>
            <w:r>
              <w:rPr>
                <w:b/>
                <w:b/>
                <w:bCs/>
                <w:sz w:val="26"/>
                <w:sz w:val="26"/>
                <w:szCs w:val="26"/>
                <w:rtl w:val="true"/>
              </w:rPr>
              <w:t xml:space="preserve">יוני </w:t>
            </w:r>
            <w:r>
              <w:rPr>
                <w:b/>
                <w:bCs/>
                <w:sz w:val="26"/>
                <w:szCs w:val="26"/>
              </w:rPr>
              <w:t>2015</w:t>
            </w:r>
          </w:p>
          <w:p>
            <w:pPr>
              <w:pStyle w:val="Header"/>
              <w:tabs>
                <w:tab w:val="clear" w:pos="720"/>
              </w:tabs>
              <w:ind w:end="0"/>
              <w:jc w:val="end"/>
              <w:rPr>
                <w:b/>
                <w:bCs/>
                <w:sz w:val="26"/>
                <w:szCs w:val="26"/>
              </w:rPr>
            </w:pPr>
            <w:r>
              <w:rPr>
                <w:b/>
                <w:bCs/>
                <w:sz w:val="26"/>
                <w:szCs w:val="26"/>
                <w:rtl w:val="true"/>
              </w:rPr>
            </w:r>
          </w:p>
        </w:tc>
      </w:tr>
    </w:tbl>
    <w:p>
      <w:pPr>
        <w:pStyle w:val="Header"/>
        <w:ind w:end="0"/>
        <w:jc w:val="center"/>
        <w:rPr>
          <w:rFonts w:ascii="Tahoma" w:hAnsi="Tahoma" w:cs="Tahoma"/>
          <w:b/>
          <w:bCs/>
          <w:color w:val="000080"/>
          <w:sz w:val="20"/>
          <w:szCs w:val="20"/>
        </w:rPr>
      </w:pPr>
      <w:r>
        <w:rPr>
          <w:rFonts w:cs="Tahoma" w:ascii="Tahoma" w:hAnsi="Tahoma"/>
          <w:b/>
          <w:bCs/>
          <w:color w:val="000080"/>
          <w:sz w:val="20"/>
          <w:szCs w:val="20"/>
          <w:rtl w:val="true"/>
        </w:rPr>
      </w:r>
    </w:p>
    <w:p>
      <w:pPr>
        <w:pStyle w:val="Normal"/>
        <w:spacing w:lineRule="auto" w:line="360"/>
        <w:ind w:end="0"/>
        <w:jc w:val="both"/>
        <w:rPr/>
      </w:pPr>
      <w:r>
        <w:rPr>
          <w:rtl w:val="true"/>
        </w:rPr>
        <w:t xml:space="preserve">  </w:t>
      </w:r>
    </w:p>
    <w:tbl>
      <w:tblPr>
        <w:bidiVisual w:val="true"/>
        <w:tblW w:w="8720" w:type="dxa"/>
        <w:jc w:val="center"/>
        <w:tblInd w:w="0" w:type="dxa"/>
        <w:tblLayout w:type="fixed"/>
        <w:tblCellMar>
          <w:top w:w="0" w:type="dxa"/>
          <w:start w:w="108" w:type="dxa"/>
          <w:bottom w:w="0" w:type="dxa"/>
          <w:end w:w="108" w:type="dxa"/>
        </w:tblCellMar>
      </w:tblPr>
      <w:tblGrid>
        <w:gridCol w:w="6060"/>
        <w:gridCol w:w="2660"/>
      </w:tblGrid>
      <w:tr>
        <w:trPr>
          <w:trHeight w:val="337" w:hRule="atLeast"/>
        </w:trPr>
        <w:tc>
          <w:tcPr>
            <w:tcW w:w="6060" w:type="dxa"/>
            <w:tcBorders/>
          </w:tcPr>
          <w:p>
            <w:pPr>
              <w:pStyle w:val="Normal"/>
              <w:ind w:end="0"/>
              <w:jc w:val="start"/>
              <w:rPr>
                <w:b/>
                <w:bCs/>
                <w:sz w:val="26"/>
                <w:szCs w:val="26"/>
              </w:rPr>
            </w:pPr>
            <w:r>
              <w:rPr>
                <w:b/>
                <w:bCs/>
                <w:sz w:val="26"/>
                <w:szCs w:val="26"/>
                <w:rtl w:val="true"/>
              </w:rPr>
              <w:t xml:space="preserve">  </w:t>
            </w:r>
            <w:r>
              <w:rPr>
                <w:b/>
                <w:b/>
                <w:bCs/>
                <w:sz w:val="26"/>
                <w:sz w:val="26"/>
                <w:szCs w:val="26"/>
                <w:rtl w:val="true"/>
              </w:rPr>
              <w:t xml:space="preserve">לפני </w:t>
            </w:r>
          </w:p>
          <w:p>
            <w:pPr>
              <w:pStyle w:val="Header"/>
              <w:ind w:end="0"/>
              <w:jc w:val="start"/>
              <w:rPr>
                <w:b/>
                <w:bCs/>
                <w:sz w:val="26"/>
                <w:szCs w:val="26"/>
              </w:rPr>
            </w:pPr>
            <w:r>
              <w:rPr>
                <w:b/>
                <w:b/>
                <w:bCs/>
                <w:sz w:val="26"/>
                <w:sz w:val="26"/>
                <w:szCs w:val="26"/>
                <w:rtl w:val="true"/>
              </w:rPr>
              <w:t>כב</w:t>
            </w:r>
            <w:r>
              <w:rPr>
                <w:b/>
                <w:bCs/>
                <w:sz w:val="26"/>
                <w:szCs w:val="26"/>
                <w:rtl w:val="true"/>
              </w:rPr>
              <w:t xml:space="preserve">' </w:t>
            </w:r>
            <w:r>
              <w:rPr>
                <w:b/>
                <w:b/>
                <w:bCs/>
                <w:sz w:val="26"/>
                <w:sz w:val="26"/>
                <w:szCs w:val="26"/>
                <w:rtl w:val="true"/>
              </w:rPr>
              <w:t>ה</w:t>
            </w:r>
            <w:r>
              <w:rPr>
                <w:rtl w:val="true"/>
              </w:rPr>
              <w:t>נשיא אברהם טל</w:t>
            </w:r>
            <w:r>
              <w:rPr>
                <w:rtl w:val="true"/>
              </w:rPr>
              <w:t xml:space="preserve">, </w:t>
            </w:r>
            <w:r>
              <w:rPr>
                <w:rtl w:val="true"/>
              </w:rPr>
              <w:t>אב</w:t>
            </w:r>
            <w:r>
              <w:rPr>
                <w:rtl w:val="true"/>
              </w:rPr>
              <w:t>"</w:t>
            </w:r>
            <w:r>
              <w:rPr>
                <w:rtl w:val="true"/>
              </w:rPr>
              <w:t xml:space="preserve">ד </w:t>
            </w:r>
            <w:r>
              <w:rPr>
                <w:rtl w:val="true"/>
              </w:rPr>
              <w:br/>
            </w:r>
            <w:r>
              <w:rPr>
                <w:rtl w:val="true"/>
              </w:rPr>
              <w:t>כב</w:t>
            </w:r>
            <w:r>
              <w:rPr>
                <w:rtl w:val="true"/>
              </w:rPr>
              <w:t xml:space="preserve">' </w:t>
            </w:r>
            <w:r>
              <w:rPr>
                <w:rtl w:val="true"/>
              </w:rPr>
              <w:t>השופט ד</w:t>
            </w:r>
            <w:r>
              <w:rPr>
                <w:rtl w:val="true"/>
              </w:rPr>
              <w:t>"</w:t>
            </w:r>
            <w:r>
              <w:rPr>
                <w:rtl w:val="true"/>
              </w:rPr>
              <w:t xml:space="preserve">ר שמואל בורנשטין </w:t>
            </w:r>
            <w:r>
              <w:rPr>
                <w:rtl w:val="true"/>
              </w:rPr>
              <w:br/>
            </w:r>
            <w:r>
              <w:rPr>
                <w:rtl w:val="true"/>
              </w:rPr>
              <w:t>כב</w:t>
            </w:r>
            <w:r>
              <w:rPr>
                <w:rtl w:val="true"/>
              </w:rPr>
              <w:t xml:space="preserve">' </w:t>
            </w:r>
            <w:r>
              <w:rPr>
                <w:rtl w:val="true"/>
              </w:rPr>
              <w:t>השופטת דבורה עטר</w:t>
            </w:r>
            <w:r>
              <w:rPr>
                <w:rtl w:val="true"/>
              </w:rPr>
              <w:br/>
            </w:r>
            <w:r>
              <w:rPr>
                <w:b/>
                <w:bCs/>
                <w:sz w:val="26"/>
                <w:szCs w:val="26"/>
                <w:rtl w:val="true"/>
              </w:rPr>
              <w:t>-</w:t>
            </w:r>
          </w:p>
          <w:p>
            <w:pPr>
              <w:pStyle w:val="Normal"/>
              <w:ind w:end="0"/>
              <w:jc w:val="start"/>
              <w:rPr>
                <w:b/>
                <w:bCs/>
                <w:sz w:val="26"/>
                <w:szCs w:val="26"/>
              </w:rPr>
            </w:pPr>
            <w:r>
              <w:rPr>
                <w:b/>
                <w:bCs/>
                <w:sz w:val="26"/>
                <w:szCs w:val="26"/>
                <w:rtl w:val="true"/>
              </w:rPr>
            </w:r>
          </w:p>
        </w:tc>
        <w:tc>
          <w:tcPr>
            <w:tcW w:w="2660" w:type="dxa"/>
            <w:tcBorders/>
          </w:tcPr>
          <w:p>
            <w:pPr>
              <w:pStyle w:val="Header"/>
              <w:snapToGrid w:val="false"/>
              <w:ind w:end="0"/>
              <w:jc w:val="both"/>
              <w:rPr>
                <w:b/>
                <w:bCs/>
                <w:sz w:val="26"/>
                <w:szCs w:val="26"/>
              </w:rPr>
            </w:pPr>
            <w:r>
              <w:rPr>
                <w:b/>
                <w:bCs/>
                <w:sz w:val="26"/>
                <w:szCs w:val="26"/>
                <w:rtl w:val="true"/>
              </w:rPr>
            </w:r>
          </w:p>
        </w:tc>
      </w:tr>
    </w:tbl>
    <w:p>
      <w:pPr>
        <w:pStyle w:val="Normal"/>
        <w:ind w:end="0"/>
        <w:jc w:val="start"/>
        <w:rPr>
          <w:vanish/>
        </w:rPr>
      </w:pPr>
      <w:r>
        <w:rPr>
          <w:vanish/>
          <w:rtl w:val="true"/>
        </w:rPr>
      </w:r>
    </w:p>
    <w:tbl>
      <w:tblPr>
        <w:bidiVisual w:val="true"/>
        <w:tblW w:w="8802" w:type="dxa"/>
        <w:jc w:val="start"/>
        <w:tblInd w:w="-54" w:type="dxa"/>
        <w:tblLayout w:type="fixed"/>
        <w:tblCellMar>
          <w:top w:w="0" w:type="dxa"/>
          <w:start w:w="108" w:type="dxa"/>
          <w:bottom w:w="0" w:type="dxa"/>
          <w:end w:w="108" w:type="dxa"/>
        </w:tblCellMar>
      </w:tblPr>
      <w:tblGrid>
        <w:gridCol w:w="3240"/>
        <w:gridCol w:w="5562"/>
      </w:tblGrid>
      <w:tr>
        <w:trPr/>
        <w:tc>
          <w:tcPr>
            <w:tcW w:w="3240" w:type="dxa"/>
            <w:tcBorders/>
          </w:tcPr>
          <w:p>
            <w:pPr>
              <w:pStyle w:val="Normal"/>
              <w:ind w:start="26" w:end="0"/>
              <w:jc w:val="start"/>
              <w:rPr>
                <w:rFonts w:ascii="Times New Roman" w:hAnsi="Times New Roman" w:eastAsia="Times New Roman" w:cs="Times New Roman"/>
                <w:b/>
                <w:bCs/>
                <w:sz w:val="26"/>
                <w:szCs w:val="26"/>
              </w:rPr>
            </w:pPr>
            <w:bookmarkStart w:id="0" w:name="LastJudge"/>
            <w:bookmarkStart w:id="1" w:name="FirstAppellant"/>
            <w:bookmarkEnd w:id="0"/>
            <w:bookmarkEnd w:id="1"/>
            <w:r>
              <w:rPr>
                <w:rFonts w:ascii="Times New Roman" w:hAnsi="Times New Roman" w:eastAsia="Times New Roman" w:cs="Times New Roman"/>
                <w:b/>
                <w:b/>
                <w:bCs/>
                <w:sz w:val="26"/>
                <w:sz w:val="26"/>
                <w:szCs w:val="26"/>
                <w:rtl w:val="true"/>
              </w:rPr>
              <w:t>ה</w:t>
            </w:r>
            <w:r>
              <w:rPr>
                <w:rFonts w:ascii="Times New Roman" w:hAnsi="Times New Roman" w:eastAsia="Times New Roman" w:cs="Times New Roman"/>
                <w:rtl w:val="true"/>
              </w:rPr>
              <w:t>מערערת</w:t>
            </w:r>
          </w:p>
        </w:tc>
        <w:tc>
          <w:tcPr>
            <w:tcW w:w="5562" w:type="dxa"/>
            <w:tcBorders/>
          </w:tcPr>
          <w:p>
            <w:pPr>
              <w:pStyle w:val="Normal"/>
              <w:ind w:end="0"/>
              <w:jc w:val="start"/>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tl w:val="true"/>
              </w:rPr>
              <w:t xml:space="preserve"> </w:t>
            </w:r>
            <w:r>
              <w:rPr>
                <w:rFonts w:ascii="Times New Roman" w:hAnsi="Times New Roman" w:eastAsia="Times New Roman" w:cs="Times New Roman"/>
                <w:rtl w:val="true"/>
              </w:rPr>
              <w:t>מדינת ישראל</w:t>
            </w:r>
          </w:p>
        </w:tc>
      </w:tr>
      <w:tr>
        <w:trPr/>
        <w:tc>
          <w:tcPr>
            <w:tcW w:w="8802" w:type="dxa"/>
            <w:gridSpan w:val="2"/>
            <w:tcBorders/>
          </w:tcPr>
          <w:p>
            <w:pPr>
              <w:pStyle w:val="Normal"/>
              <w:snapToGrid w:val="false"/>
              <w:ind w:end="0"/>
              <w:jc w:val="both"/>
              <w:rPr>
                <w:rFonts w:ascii="Arial" w:hAnsi="Arial" w:eastAsia="Times New Roman" w:cs="Arial"/>
                <w:b/>
                <w:bCs/>
                <w:sz w:val="26"/>
                <w:szCs w:val="26"/>
              </w:rPr>
            </w:pPr>
            <w:r>
              <w:rPr>
                <w:rFonts w:eastAsia="Times New Roman" w:cs="Arial" w:ascii="Arial" w:hAnsi="Arial"/>
                <w:b/>
                <w:bCs/>
                <w:sz w:val="26"/>
                <w:szCs w:val="26"/>
                <w:rtl w:val="true"/>
              </w:rPr>
            </w:r>
          </w:p>
          <w:p>
            <w:pPr>
              <w:pStyle w:val="Normal"/>
              <w:ind w:end="0"/>
              <w:jc w:val="center"/>
              <w:rPr>
                <w:rFonts w:ascii="Arial" w:hAnsi="Arial" w:eastAsia="Times New Roman" w:cs="Arial"/>
                <w:b/>
                <w:bCs/>
                <w:sz w:val="26"/>
                <w:szCs w:val="26"/>
              </w:rPr>
            </w:pPr>
            <w:r>
              <w:rPr>
                <w:rFonts w:ascii="Arial" w:hAnsi="Arial" w:eastAsia="Times New Roman" w:cs="Arial"/>
                <w:b/>
                <w:b/>
                <w:bCs/>
                <w:sz w:val="26"/>
                <w:sz w:val="26"/>
                <w:szCs w:val="26"/>
                <w:rtl w:val="true"/>
              </w:rPr>
              <w:t>נגד</w:t>
            </w:r>
          </w:p>
          <w:p>
            <w:pPr>
              <w:pStyle w:val="Normal"/>
              <w:ind w:end="0"/>
              <w:jc w:val="center"/>
              <w:rPr>
                <w:rFonts w:ascii="Arial" w:hAnsi="Arial" w:eastAsia="Times New Roman" w:cs="Arial"/>
                <w:b/>
                <w:bCs/>
                <w:sz w:val="26"/>
                <w:szCs w:val="26"/>
              </w:rPr>
            </w:pPr>
            <w:r>
              <w:rPr>
                <w:rFonts w:eastAsia="Times New Roman" w:cs="Arial" w:ascii="Arial" w:hAnsi="Arial"/>
                <w:b/>
                <w:bCs/>
                <w:sz w:val="26"/>
                <w:szCs w:val="26"/>
                <w:rtl w:val="true"/>
              </w:rPr>
            </w:r>
          </w:p>
        </w:tc>
      </w:tr>
      <w:tr>
        <w:trPr/>
        <w:tc>
          <w:tcPr>
            <w:tcW w:w="3240" w:type="dxa"/>
            <w:tcBorders/>
          </w:tcPr>
          <w:p>
            <w:pPr>
              <w:pStyle w:val="Normal"/>
              <w:ind w:start="26" w:end="0"/>
              <w:jc w:val="start"/>
              <w:rPr>
                <w:rFonts w:ascii="Times New Roman" w:hAnsi="Times New Roman" w:eastAsia="Times New Roman" w:cs="Times New Roman"/>
                <w:b/>
                <w:bCs/>
                <w:sz w:val="26"/>
                <w:szCs w:val="26"/>
              </w:rPr>
            </w:pPr>
            <w:r>
              <w:rPr>
                <w:rFonts w:ascii="Times New Roman" w:hAnsi="Times New Roman" w:eastAsia="Times New Roman" w:cs="Times New Roman"/>
                <w:b/>
                <w:b/>
                <w:bCs/>
                <w:sz w:val="26"/>
                <w:sz w:val="26"/>
                <w:szCs w:val="26"/>
                <w:rtl w:val="true"/>
              </w:rPr>
              <w:t>ה</w:t>
            </w:r>
            <w:r>
              <w:rPr>
                <w:rFonts w:ascii="Times New Roman" w:hAnsi="Times New Roman" w:eastAsia="Times New Roman" w:cs="Times New Roman"/>
                <w:rtl w:val="true"/>
              </w:rPr>
              <w:t>משיב</w:t>
            </w:r>
          </w:p>
        </w:tc>
        <w:tc>
          <w:tcPr>
            <w:tcW w:w="5562" w:type="dxa"/>
            <w:tcBorders/>
          </w:tcPr>
          <w:p>
            <w:pPr>
              <w:pStyle w:val="Normal"/>
              <w:ind w:end="0"/>
              <w:jc w:val="start"/>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tl w:val="true"/>
              </w:rPr>
              <w:t xml:space="preserve"> </w:t>
            </w:r>
            <w:r>
              <w:rPr>
                <w:rFonts w:ascii="Times New Roman" w:hAnsi="Times New Roman" w:eastAsia="Times New Roman" w:cs="Times New Roman"/>
                <w:rtl w:val="true"/>
              </w:rPr>
              <w:t>ציון ניצן מדמון</w:t>
            </w:r>
          </w:p>
        </w:tc>
      </w:tr>
    </w:tbl>
    <w:p>
      <w:pPr>
        <w:pStyle w:val="Normal"/>
        <w:ind w:end="0"/>
        <w:jc w:val="start"/>
        <w:rPr>
          <w:rStyle w:val="LineNumber"/>
          <w:rFonts w:ascii="Arial" w:hAnsi="Arial" w:cs="Arial"/>
        </w:rPr>
      </w:pPr>
      <w:r>
        <w:rPr>
          <w:rtl w:val="true"/>
        </w:rPr>
      </w:r>
    </w:p>
    <w:p>
      <w:pPr>
        <w:pStyle w:val="Normal"/>
        <w:ind w:end="0"/>
        <w:jc w:val="start"/>
        <w:rPr>
          <w:rStyle w:val="LineNumber"/>
          <w:rFonts w:ascii="Arial" w:hAnsi="Arial" w:cs="Arial"/>
          <w:sz w:val="6"/>
          <w:szCs w:val="6"/>
        </w:rPr>
      </w:pPr>
      <w:r>
        <w:rPr>
          <w:rStyle w:val="LineNumber"/>
          <w:rFonts w:cs="Arial" w:ascii="Arial" w:hAnsi="Arial"/>
          <w:sz w:val="6"/>
          <w:szCs w:val="6"/>
          <w:rtl w:val="true"/>
        </w:rPr>
        <w:t>&lt;</w:t>
      </w:r>
      <w:r>
        <w:rPr>
          <w:rStyle w:val="LineNumber"/>
          <w:rFonts w:cs="Arial" w:ascii="Arial" w:hAnsi="Arial"/>
          <w:sz w:val="6"/>
          <w:szCs w:val="6"/>
        </w:rPr>
        <w:t>#2#</w:t>
      </w:r>
      <w:r>
        <w:rPr>
          <w:rStyle w:val="LineNumber"/>
          <w:rFonts w:cs="Arial" w:ascii="Arial" w:hAnsi="Arial"/>
          <w:sz w:val="6"/>
          <w:szCs w:val="6"/>
          <w:rtl w:val="true"/>
        </w:rPr>
        <w:t>&gt;</w:t>
      </w:r>
    </w:p>
    <w:p>
      <w:pPr>
        <w:pStyle w:val="12"/>
        <w:ind w:end="0"/>
        <w:jc w:val="start"/>
        <w:rPr>
          <w:u w:val="none"/>
        </w:rPr>
      </w:pPr>
      <w:r>
        <w:rPr>
          <w:u w:val="none"/>
          <w:rtl w:val="true"/>
        </w:rPr>
        <w:t>נוכחים</w:t>
      </w:r>
      <w:r>
        <w:rPr>
          <w:u w:val="none"/>
          <w:rtl w:val="true"/>
        </w:rPr>
        <w:t>:</w:t>
      </w:r>
    </w:p>
    <w:p>
      <w:pPr>
        <w:pStyle w:val="12"/>
        <w:ind w:end="0"/>
        <w:jc w:val="start"/>
        <w:rPr>
          <w:b w:val="false"/>
          <w:bCs w:val="false"/>
          <w:u w:val="none"/>
        </w:rPr>
      </w:pPr>
      <w:bookmarkStart w:id="2" w:name="FirstLawyer"/>
      <w:r>
        <w:rPr>
          <w:b w:val="false"/>
          <w:b w:val="false"/>
          <w:bCs w:val="false"/>
          <w:u w:val="none"/>
          <w:rtl w:val="true"/>
        </w:rPr>
        <w:t>ב</w:t>
      </w:r>
      <w:r>
        <w:rPr>
          <w:b w:val="false"/>
          <w:bCs w:val="false"/>
          <w:u w:val="none"/>
          <w:rtl w:val="true"/>
        </w:rPr>
        <w:t>"</w:t>
      </w:r>
      <w:r>
        <w:rPr>
          <w:b w:val="false"/>
          <w:b w:val="false"/>
          <w:bCs w:val="false"/>
          <w:u w:val="none"/>
          <w:rtl w:val="true"/>
        </w:rPr>
        <w:t>כ</w:t>
      </w:r>
      <w:bookmarkEnd w:id="2"/>
      <w:r>
        <w:rPr>
          <w:b w:val="false"/>
          <w:b w:val="false"/>
          <w:bCs w:val="false"/>
          <w:u w:val="none"/>
          <w:rtl w:val="true"/>
        </w:rPr>
        <w:t xml:space="preserve"> המערערת עו</w:t>
      </w:r>
      <w:r>
        <w:rPr>
          <w:b w:val="false"/>
          <w:bCs w:val="false"/>
          <w:u w:val="none"/>
          <w:rtl w:val="true"/>
        </w:rPr>
        <w:t>"</w:t>
      </w:r>
      <w:r>
        <w:rPr>
          <w:b w:val="false"/>
          <w:b w:val="false"/>
          <w:bCs w:val="false"/>
          <w:u w:val="none"/>
          <w:rtl w:val="true"/>
        </w:rPr>
        <w:t>ד גל רוזנצוויג</w:t>
      </w:r>
    </w:p>
    <w:p>
      <w:pPr>
        <w:pStyle w:val="12"/>
        <w:ind w:end="0"/>
        <w:jc w:val="start"/>
        <w:rPr>
          <w:b w:val="false"/>
          <w:bCs w:val="false"/>
          <w:u w:val="none"/>
        </w:rPr>
      </w:pPr>
      <w:r>
        <w:rPr>
          <w:b w:val="false"/>
          <w:b w:val="false"/>
          <w:bCs w:val="false"/>
          <w:u w:val="none"/>
          <w:rtl w:val="true"/>
        </w:rPr>
        <w:t>המשיב ובא כוחו עו</w:t>
      </w:r>
      <w:r>
        <w:rPr>
          <w:b w:val="false"/>
          <w:bCs w:val="false"/>
          <w:u w:val="none"/>
          <w:rtl w:val="true"/>
        </w:rPr>
        <w:t>"</w:t>
      </w:r>
      <w:r>
        <w:rPr>
          <w:b w:val="false"/>
          <w:b w:val="false"/>
          <w:bCs w:val="false"/>
          <w:u w:val="none"/>
          <w:rtl w:val="true"/>
        </w:rPr>
        <w:t>ד עדי כרמלי</w:t>
      </w:r>
    </w:p>
    <w:p>
      <w:pPr>
        <w:pStyle w:val="12"/>
        <w:ind w:end="0"/>
        <w:jc w:val="start"/>
        <w:rPr>
          <w:b w:val="false"/>
          <w:bCs w:val="false"/>
          <w:u w:val="none"/>
        </w:rPr>
      </w:pPr>
      <w:r>
        <w:rPr>
          <w:b w:val="false"/>
          <w:bCs w:val="false"/>
          <w:u w:val="none"/>
          <w:rtl w:val="true"/>
        </w:rPr>
      </w:r>
    </w:p>
    <w:p>
      <w:pPr>
        <w:pStyle w:val="Normal"/>
        <w:spacing w:lineRule="auto" w:line="360"/>
        <w:ind w:end="0"/>
        <w:jc w:val="center"/>
        <w:rPr>
          <w:rFonts w:ascii="Arial" w:hAnsi="Arial" w:cs="Arial"/>
          <w:b/>
          <w:bCs/>
          <w:sz w:val="28"/>
          <w:szCs w:val="28"/>
        </w:rPr>
      </w:pPr>
      <w:r>
        <w:rPr>
          <w:rFonts w:ascii="Arial" w:hAnsi="Arial" w:cs="Arial"/>
          <w:b/>
          <w:b/>
          <w:color w:val="FF0000"/>
          <w:sz w:val="28"/>
          <w:sz w:val="28"/>
          <w:rtl w:val="true"/>
        </w:rPr>
        <w:t>במסמך זה הושמטו פרוטוקולים</w:t>
      </w:r>
    </w:p>
    <w:p>
      <w:pPr>
        <w:pStyle w:val="Normal"/>
        <w:spacing w:lineRule="auto" w:line="360"/>
        <w:ind w:end="0"/>
        <w:jc w:val="center"/>
        <w:rPr>
          <w:rFonts w:ascii="Arial" w:hAnsi="Arial" w:cs="Arial"/>
          <w:b/>
          <w:bCs/>
          <w:sz w:val="28"/>
          <w:szCs w:val="28"/>
        </w:rPr>
      </w:pPr>
      <w:r>
        <w:rPr>
          <w:rFonts w:cs="Arial" w:ascii="Arial" w:hAnsi="Arial"/>
          <w:b/>
          <w:bCs/>
          <w:sz w:val="28"/>
          <w:szCs w:val="28"/>
          <w:rtl w:val="true"/>
        </w:rPr>
      </w:r>
    </w:p>
    <w:p>
      <w:pPr>
        <w:pStyle w:val="Normal"/>
        <w:spacing w:lineRule="auto" w:line="360"/>
        <w:ind w:end="0"/>
        <w:jc w:val="center"/>
        <w:rPr>
          <w:rFonts w:ascii="Arial" w:hAnsi="Arial" w:cs="Arial"/>
          <w:b/>
          <w:bCs/>
          <w:sz w:val="28"/>
          <w:szCs w:val="28"/>
          <w:u w:val="single"/>
        </w:rPr>
      </w:pPr>
      <w:bookmarkStart w:id="3" w:name="PsakDin"/>
      <w:bookmarkEnd w:id="3"/>
      <w:r>
        <w:rPr>
          <w:rFonts w:ascii="Arial" w:hAnsi="Arial" w:cs="Arial"/>
          <w:b/>
          <w:b/>
          <w:bCs/>
          <w:sz w:val="28"/>
          <w:sz w:val="28"/>
          <w:szCs w:val="28"/>
          <w:u w:val="single"/>
          <w:rtl w:val="true"/>
        </w:rPr>
        <w:t>פסק דין</w:t>
      </w:r>
    </w:p>
    <w:p>
      <w:pPr>
        <w:pStyle w:val="Normal"/>
        <w:spacing w:lineRule="auto" w:line="360"/>
        <w:ind w:end="0"/>
        <w:jc w:val="both"/>
        <w:rPr>
          <w:rFonts w:ascii="Arial" w:hAnsi="Arial" w:cs="Arial"/>
          <w:b/>
          <w:bCs/>
          <w:sz w:val="28"/>
          <w:szCs w:val="28"/>
          <w:u w:val="single"/>
        </w:rPr>
      </w:pPr>
      <w:r>
        <w:rPr>
          <w:rFonts w:cs="Arial" w:ascii="Arial" w:hAnsi="Arial"/>
          <w:b/>
          <w:bCs/>
          <w:sz w:val="28"/>
          <w:szCs w:val="28"/>
          <w:u w:val="single"/>
          <w:rtl w:val="true"/>
        </w:rPr>
      </w:r>
      <w:bookmarkStart w:id="4" w:name="PsakDin"/>
      <w:bookmarkStart w:id="5" w:name="PsakDin"/>
      <w:bookmarkEnd w:id="5"/>
    </w:p>
    <w:p>
      <w:pPr>
        <w:pStyle w:val="Normal"/>
        <w:spacing w:lineRule="auto" w:line="360"/>
        <w:ind w:end="0"/>
        <w:jc w:val="both"/>
        <w:rPr/>
      </w:pPr>
      <w:bookmarkStart w:id="6" w:name="ABSTRACT_START"/>
      <w:bookmarkEnd w:id="6"/>
      <w:r>
        <w:rPr>
          <w:rtl w:val="true"/>
        </w:rPr>
        <w:t>המשיב הורשע על פי הודאתו ב</w:t>
      </w:r>
      <w:hyperlink r:id="rId2">
        <w:r>
          <w:rPr>
            <w:rStyle w:val="Hyperlink"/>
            <w:color w:val="0000FF"/>
            <w:u w:val="single"/>
            <w:rtl w:val="true"/>
          </w:rPr>
          <w:t>ת</w:t>
        </w:r>
        <w:r>
          <w:rPr>
            <w:rStyle w:val="Hyperlink"/>
            <w:color w:val="0000FF"/>
            <w:u w:val="single"/>
            <w:rtl w:val="true"/>
          </w:rPr>
          <w:t>"</w:t>
        </w:r>
        <w:r>
          <w:rPr>
            <w:rStyle w:val="Hyperlink"/>
            <w:color w:val="0000FF"/>
            <w:u w:val="single"/>
            <w:rtl w:val="true"/>
          </w:rPr>
          <w:t xml:space="preserve">פ </w:t>
        </w:r>
        <w:r>
          <w:rPr>
            <w:rStyle w:val="Hyperlink"/>
            <w:color w:val="0000FF"/>
            <w:u w:val="single"/>
          </w:rPr>
          <w:t>24388-07-14</w:t>
        </w:r>
      </w:hyperlink>
      <w:r>
        <w:rPr>
          <w:rtl w:val="true"/>
        </w:rPr>
        <w:t xml:space="preserve"> (</w:t>
      </w:r>
      <w:r>
        <w:rPr>
          <w:rtl w:val="true"/>
        </w:rPr>
        <w:t>בית משפט השלום בראשל</w:t>
      </w:r>
      <w:r>
        <w:rPr>
          <w:rtl w:val="true"/>
        </w:rPr>
        <w:t>"</w:t>
      </w:r>
      <w:r>
        <w:rPr>
          <w:rtl w:val="true"/>
        </w:rPr>
        <w:t>צ</w:t>
      </w:r>
      <w:r>
        <w:rPr>
          <w:rtl w:val="true"/>
        </w:rPr>
        <w:t xml:space="preserve">) </w:t>
      </w:r>
      <w:r>
        <w:rPr>
          <w:rtl w:val="true"/>
        </w:rPr>
        <w:t xml:space="preserve">ב </w:t>
      </w:r>
      <w:r>
        <w:rPr>
          <w:rtl w:val="true"/>
        </w:rPr>
        <w:t>–</w:t>
      </w:r>
      <w:r>
        <w:rPr>
          <w:rtl w:val="true"/>
        </w:rPr>
        <w:t xml:space="preserve"> </w:t>
      </w:r>
      <w:r>
        <w:rPr/>
        <w:t>16</w:t>
      </w:r>
      <w:r>
        <w:rPr>
          <w:rtl w:val="true"/>
        </w:rPr>
        <w:t xml:space="preserve"> </w:t>
      </w:r>
      <w:r>
        <w:rPr>
          <w:rtl w:val="true"/>
        </w:rPr>
        <w:t>מכירות של חשיש וקנביס לאנשים שונים</w:t>
      </w:r>
      <w:r>
        <w:rPr>
          <w:rtl w:val="true"/>
        </w:rPr>
        <w:t xml:space="preserve">, </w:t>
      </w:r>
      <w:r>
        <w:rPr>
          <w:rtl w:val="true"/>
        </w:rPr>
        <w:t>לרבות לקטין</w:t>
      </w:r>
      <w:r>
        <w:rPr>
          <w:rtl w:val="true"/>
        </w:rPr>
        <w:t xml:space="preserve">, </w:t>
      </w:r>
      <w:r>
        <w:rPr>
          <w:rtl w:val="true"/>
        </w:rPr>
        <w:t xml:space="preserve">במהלך המחצית הראשונה של שנת </w:t>
      </w:r>
      <w:r>
        <w:rPr/>
        <w:t>2014</w:t>
      </w:r>
      <w:r>
        <w:rPr>
          <w:rtl w:val="true"/>
        </w:rPr>
        <w:t xml:space="preserve"> </w:t>
      </w:r>
      <w:r>
        <w:rPr>
          <w:rtl w:val="true"/>
        </w:rPr>
        <w:t xml:space="preserve">ונידון ל </w:t>
      </w:r>
      <w:r>
        <w:rPr>
          <w:rtl w:val="true"/>
        </w:rPr>
        <w:t>–</w:t>
      </w:r>
      <w:r>
        <w:rPr>
          <w:rtl w:val="true"/>
        </w:rPr>
        <w:t xml:space="preserve"> </w:t>
      </w:r>
      <w:r>
        <w:rPr/>
        <w:t>15</w:t>
      </w:r>
      <w:r>
        <w:rPr>
          <w:rtl w:val="true"/>
        </w:rPr>
        <w:t xml:space="preserve"> </w:t>
      </w:r>
      <w:r>
        <w:rPr>
          <w:rtl w:val="true"/>
        </w:rPr>
        <w:t>חודשי מאסר בפועל</w:t>
      </w:r>
      <w:r>
        <w:rPr>
          <w:rtl w:val="true"/>
        </w:rPr>
        <w:t xml:space="preserve">, </w:t>
      </w:r>
      <w:r>
        <w:rPr>
          <w:rtl w:val="true"/>
        </w:rPr>
        <w:t xml:space="preserve">ל </w:t>
      </w:r>
      <w:r>
        <w:rPr>
          <w:rtl w:val="true"/>
        </w:rPr>
        <w:t>–</w:t>
      </w:r>
      <w:r>
        <w:rPr>
          <w:rtl w:val="true"/>
        </w:rPr>
        <w:t xml:space="preserve"> </w:t>
      </w:r>
      <w:r>
        <w:rPr/>
        <w:t>5</w:t>
      </w:r>
      <w:r>
        <w:rPr>
          <w:rtl w:val="true"/>
        </w:rPr>
        <w:t xml:space="preserve"> </w:t>
      </w:r>
      <w:r>
        <w:rPr>
          <w:rtl w:val="true"/>
        </w:rPr>
        <w:t xml:space="preserve">חודשי מאסר על תנאי ו </w:t>
      </w:r>
      <w:r>
        <w:rPr>
          <w:rtl w:val="true"/>
        </w:rPr>
        <w:t>–</w:t>
      </w:r>
      <w:r>
        <w:rPr>
          <w:rtl w:val="true"/>
        </w:rPr>
        <w:t xml:space="preserve"> </w:t>
      </w:r>
      <w:r>
        <w:rPr/>
        <w:t>8</w:t>
      </w:r>
      <w:r>
        <w:rPr>
          <w:rtl w:val="true"/>
        </w:rPr>
        <w:t xml:space="preserve"> </w:t>
      </w:r>
      <w:r>
        <w:rPr>
          <w:rtl w:val="true"/>
        </w:rPr>
        <w:t>חודשי מאסר על תנאי בתנאים המפורטים בגזר הדין</w:t>
      </w:r>
      <w:r>
        <w:rPr>
          <w:rtl w:val="true"/>
        </w:rPr>
        <w:t xml:space="preserve">, </w:t>
      </w:r>
      <w:r>
        <w:rPr>
          <w:rtl w:val="true"/>
        </w:rPr>
        <w:t xml:space="preserve">לתשלום קנס בסך </w:t>
      </w:r>
      <w:r>
        <w:rPr/>
        <w:t>3,500</w:t>
      </w:r>
      <w:r>
        <w:rPr>
          <w:rtl w:val="true"/>
        </w:rPr>
        <w:t xml:space="preserve"> ₪, </w:t>
      </w:r>
      <w:r>
        <w:rPr>
          <w:rtl w:val="true"/>
        </w:rPr>
        <w:t>לפסילה מלקבל או להחזיק רישיון נהיגה בפועל למשך שישה חודשים משחרורו ממאסר ולשישה חודשי פסילה על תנאי בתנאים המפורטים בגזר הדין</w:t>
      </w:r>
      <w:r>
        <w:rPr>
          <w:rtl w:val="true"/>
        </w:rPr>
        <w:t>.</w:t>
      </w:r>
    </w:p>
    <w:p>
      <w:pPr>
        <w:pStyle w:val="Normal"/>
        <w:spacing w:lineRule="auto" w:line="360"/>
        <w:ind w:end="0"/>
        <w:jc w:val="both"/>
        <w:rPr/>
      </w:pPr>
      <w:bookmarkStart w:id="7" w:name="ABSTRACT_END"/>
      <w:bookmarkEnd w:id="7"/>
      <w:r>
        <w:rPr>
          <w:rtl w:val="true"/>
        </w:rPr>
        <w:t>הערעור מכוון כלפי קולת עונש המאסר בפועל וב</w:t>
      </w:r>
      <w:r>
        <w:rPr>
          <w:rtl w:val="true"/>
        </w:rPr>
        <w:t>"</w:t>
      </w:r>
      <w:r>
        <w:rPr>
          <w:rtl w:val="true"/>
        </w:rPr>
        <w:t>כ המערערת טוען בהודעת  ובטיעוניו בפנינו כי שגה בית המשפט קמא כאשר גזר על המשיב עונש מקל שסוטה ממדיניות הענישה הנוהגת ולא לוקח בחשבון את היקף העבירות</w:t>
      </w:r>
      <w:r>
        <w:rPr>
          <w:rtl w:val="true"/>
        </w:rPr>
        <w:t xml:space="preserve">, </w:t>
      </w:r>
      <w:r>
        <w:rPr>
          <w:rtl w:val="true"/>
        </w:rPr>
        <w:t>תדירותן וחומרתן</w:t>
      </w:r>
      <w:r>
        <w:rPr>
          <w:rtl w:val="true"/>
        </w:rPr>
        <w:t xml:space="preserve">, </w:t>
      </w:r>
      <w:r>
        <w:rPr>
          <w:rtl w:val="true"/>
        </w:rPr>
        <w:t>במיוחד כאשר באחד האישומים מכר המשיב קנאבוס לקטין</w:t>
      </w:r>
      <w:r>
        <w:rPr>
          <w:rtl w:val="true"/>
        </w:rPr>
        <w:t>.</w:t>
      </w:r>
    </w:p>
    <w:p>
      <w:pPr>
        <w:pStyle w:val="Normal"/>
        <w:spacing w:lineRule="auto" w:line="360"/>
        <w:ind w:end="0"/>
        <w:jc w:val="both"/>
        <w:rPr/>
      </w:pPr>
      <w:r>
        <w:rPr>
          <w:rtl w:val="true"/>
        </w:rPr>
        <w:t>המערערת טוענת כי בית המשפט קמא שגה כאשר נתן משקל לשיקולי השיקום של המשיב חרף התסקיר השלילי שהיה מונח לפניו</w:t>
      </w:r>
      <w:r>
        <w:rPr>
          <w:rtl w:val="true"/>
        </w:rPr>
        <w:t xml:space="preserve">, </w:t>
      </w:r>
      <w:r>
        <w:rPr>
          <w:rtl w:val="true"/>
        </w:rPr>
        <w:t>ואשר הוצג גם בפנינו</w:t>
      </w:r>
      <w:r>
        <w:rPr>
          <w:rtl w:val="true"/>
        </w:rPr>
        <w:t xml:space="preserve">, </w:t>
      </w:r>
      <w:r>
        <w:rPr>
          <w:rtl w:val="true"/>
        </w:rPr>
        <w:t>במיוחד כאשר המשיב הפר הוראה חוקית כאשר היה במעצר בית מלא תחת פיקוח אמו ודודתו</w:t>
      </w:r>
      <w:r>
        <w:rPr>
          <w:rtl w:val="true"/>
        </w:rPr>
        <w:t xml:space="preserve">. </w:t>
      </w:r>
    </w:p>
    <w:p>
      <w:pPr>
        <w:pStyle w:val="Normal"/>
        <w:spacing w:lineRule="auto" w:line="360"/>
        <w:ind w:end="0"/>
        <w:jc w:val="both"/>
        <w:rPr/>
      </w:pPr>
      <w:r>
        <w:rPr>
          <w:rtl w:val="true"/>
        </w:rPr>
        <w:t>לטענת המערערת</w:t>
      </w:r>
      <w:r>
        <w:rPr>
          <w:rtl w:val="true"/>
        </w:rPr>
        <w:t xml:space="preserve">, </w:t>
      </w:r>
      <w:r>
        <w:rPr>
          <w:rtl w:val="true"/>
        </w:rPr>
        <w:t xml:space="preserve">עונש מאסר לריצוי במשך </w:t>
      </w:r>
      <w:r>
        <w:rPr/>
        <w:t>15</w:t>
      </w:r>
      <w:r>
        <w:rPr>
          <w:rtl w:val="true"/>
        </w:rPr>
        <w:t xml:space="preserve"> </w:t>
      </w:r>
      <w:r>
        <w:rPr>
          <w:rtl w:val="true"/>
        </w:rPr>
        <w:t>חודש גבוה בשלושה חודשים בלבד מתקרת המתחם שקבע הוא עצמו לעבירה בודדת של סחר בסם</w:t>
      </w:r>
      <w:r>
        <w:rPr>
          <w:rtl w:val="true"/>
        </w:rPr>
        <w:t xml:space="preserve">. </w:t>
      </w:r>
    </w:p>
    <w:p>
      <w:pPr>
        <w:pStyle w:val="Normal"/>
        <w:spacing w:lineRule="auto" w:line="360"/>
        <w:ind w:end="0"/>
        <w:jc w:val="both"/>
        <w:rPr/>
      </w:pPr>
      <w:r>
        <w:rPr>
          <w:rtl w:val="true"/>
        </w:rPr>
        <w:t>ב</w:t>
      </w:r>
      <w:r>
        <w:rPr>
          <w:rtl w:val="true"/>
        </w:rPr>
        <w:t>"</w:t>
      </w:r>
      <w:r>
        <w:rPr>
          <w:rtl w:val="true"/>
        </w:rPr>
        <w:t>כ המשיב מתנגד להחמרה בעונש המאסר שהוטל על המשיב וטוען כי על סמך פסיקה שהציג בפנינו</w:t>
      </w:r>
      <w:r>
        <w:rPr>
          <w:rtl w:val="true"/>
        </w:rPr>
        <w:t xml:space="preserve">, </w:t>
      </w:r>
      <w:r>
        <w:rPr>
          <w:rtl w:val="true"/>
        </w:rPr>
        <w:t>שבה הוטלו עבודות של</w:t>
      </w:r>
      <w:r>
        <w:rPr>
          <w:rtl w:val="true"/>
        </w:rPr>
        <w:t>"</w:t>
      </w:r>
      <w:r>
        <w:rPr>
          <w:rtl w:val="true"/>
        </w:rPr>
        <w:t>צ על מי שמכרו סמים במס</w:t>
      </w:r>
      <w:r>
        <w:rPr>
          <w:rtl w:val="true"/>
        </w:rPr>
        <w:t xml:space="preserve">' </w:t>
      </w:r>
      <w:r>
        <w:rPr>
          <w:rtl w:val="true"/>
        </w:rPr>
        <w:t>הזדמנויות</w:t>
      </w:r>
      <w:r>
        <w:rPr>
          <w:rtl w:val="true"/>
        </w:rPr>
        <w:t xml:space="preserve">, </w:t>
      </w:r>
      <w:r>
        <w:rPr>
          <w:rtl w:val="true"/>
        </w:rPr>
        <w:t>בחלק מהמקרים ללא הרשעה ועל סמך הנימוקים לקולא שמנה בית המשפט קמא</w:t>
      </w:r>
      <w:r>
        <w:rPr>
          <w:rtl w:val="true"/>
        </w:rPr>
        <w:t xml:space="preserve">, </w:t>
      </w:r>
      <w:r>
        <w:rPr>
          <w:rtl w:val="true"/>
        </w:rPr>
        <w:t>במיוחד גילו הצעיר של המשיב ועברו הנקי</w:t>
      </w:r>
      <w:r>
        <w:rPr>
          <w:rtl w:val="true"/>
        </w:rPr>
        <w:t xml:space="preserve">, </w:t>
      </w:r>
      <w:r>
        <w:rPr>
          <w:rtl w:val="true"/>
        </w:rPr>
        <w:t>יש מקום לאמץ את גזר הדין של בית המשפט קמא</w:t>
      </w:r>
      <w:r>
        <w:rPr>
          <w:rtl w:val="true"/>
        </w:rPr>
        <w:t xml:space="preserve">. </w:t>
      </w:r>
    </w:p>
    <w:p>
      <w:pPr>
        <w:pStyle w:val="Normal"/>
        <w:spacing w:lineRule="auto" w:line="360"/>
        <w:ind w:end="0"/>
        <w:jc w:val="both"/>
        <w:rPr/>
      </w:pPr>
      <w:r>
        <w:rPr>
          <w:rtl w:val="true"/>
        </w:rPr>
        <w:t>עיון בגזר הדין של בית המשפט קמא מעלה שהוא לא התעלם כלל ועיקר מחומרת מעשיו של המשיב</w:t>
      </w:r>
      <w:r>
        <w:rPr>
          <w:rtl w:val="true"/>
        </w:rPr>
        <w:t xml:space="preserve">, </w:t>
      </w:r>
      <w:r>
        <w:rPr>
          <w:rtl w:val="true"/>
        </w:rPr>
        <w:t>אשר פגע בערך המוגן של הגנה על בריאות נפשם וגופם של המשתמשים בסמים ובערך החברתי שמבקש להגן על שלום הציבור מפני נגע הסמים והשלכותיו על החברה בכלל ועל קוני הסמים בפרט</w:t>
      </w:r>
      <w:r>
        <w:rPr>
          <w:rtl w:val="true"/>
        </w:rPr>
        <w:t xml:space="preserve">, </w:t>
      </w:r>
      <w:r>
        <w:rPr>
          <w:rtl w:val="true"/>
        </w:rPr>
        <w:t>במיוחד כאשר אחד מהם היה קטין</w:t>
      </w:r>
      <w:r>
        <w:rPr>
          <w:rtl w:val="true"/>
        </w:rPr>
        <w:t>.</w:t>
      </w:r>
    </w:p>
    <w:p>
      <w:pPr>
        <w:pStyle w:val="Normal"/>
        <w:spacing w:lineRule="auto" w:line="360"/>
        <w:ind w:end="0"/>
        <w:jc w:val="both"/>
        <w:rPr/>
      </w:pPr>
      <w:r>
        <w:rPr>
          <w:rtl w:val="true"/>
        </w:rPr>
        <w:t>בית המשפט קמא הביא את הפסיקה הנוהגת כאשר מדובר במי שמוכרים סמים לאחרים וקבע נכונה כי קיים פוטנציאל לנזק בריאותי קשה כתוצאה משימוש בסמים</w:t>
      </w:r>
      <w:r>
        <w:rPr>
          <w:rtl w:val="true"/>
        </w:rPr>
        <w:t xml:space="preserve">. </w:t>
      </w:r>
      <w:r>
        <w:rPr>
          <w:rtl w:val="true"/>
        </w:rPr>
        <w:t>כך גם קבע בית המשפט קמא נכונה כי המשיב הוא המבצע העיקרי והבלעדי של מכירת הסמים</w:t>
      </w:r>
      <w:r>
        <w:rPr>
          <w:rtl w:val="true"/>
        </w:rPr>
        <w:t xml:space="preserve">, </w:t>
      </w:r>
      <w:r>
        <w:rPr>
          <w:rtl w:val="true"/>
        </w:rPr>
        <w:t>וכן קבע כי סחר בסמים מסוכנים מסוג חשיש וקנבוס והחזיק לצריכתו העצמית חשיש</w:t>
      </w:r>
      <w:r>
        <w:rPr>
          <w:rtl w:val="true"/>
        </w:rPr>
        <w:t xml:space="preserve">. </w:t>
      </w:r>
    </w:p>
    <w:p>
      <w:pPr>
        <w:pStyle w:val="Normal"/>
        <w:spacing w:lineRule="auto" w:line="360"/>
        <w:ind w:end="0"/>
        <w:jc w:val="both"/>
        <w:rPr/>
      </w:pPr>
      <w:r>
        <w:rPr>
          <w:rtl w:val="true"/>
        </w:rPr>
        <w:t>בית המשפט קמא גם לא התעלם מהעבירה הנוספת של הפרת הוראה חוקית כאשר במהלך מעצר בית התקשר המשיב לאחד מקוני הסמים לתיאום גרסאות</w:t>
      </w:r>
      <w:r>
        <w:rPr>
          <w:rtl w:val="true"/>
        </w:rPr>
        <w:t xml:space="preserve">. </w:t>
      </w:r>
    </w:p>
    <w:p>
      <w:pPr>
        <w:pStyle w:val="Normal"/>
        <w:spacing w:lineRule="auto" w:line="360"/>
        <w:ind w:end="0"/>
        <w:jc w:val="both"/>
        <w:rPr/>
      </w:pPr>
      <w:r>
        <w:rPr>
          <w:rtl w:val="true"/>
        </w:rPr>
        <w:t>מה שגרם לבית המשפט קמא להקל בעונש המאסר שהוטל על המשיב</w:t>
      </w:r>
      <w:r>
        <w:rPr>
          <w:rtl w:val="true"/>
        </w:rPr>
        <w:t xml:space="preserve">, </w:t>
      </w:r>
      <w:r>
        <w:rPr>
          <w:rtl w:val="true"/>
        </w:rPr>
        <w:t>גם בהתחשב במתחם הענישה שקבע לגבי עבירה אחת של סחר בסמים</w:t>
      </w:r>
      <w:r>
        <w:rPr>
          <w:rtl w:val="true"/>
        </w:rPr>
        <w:t xml:space="preserve">, </w:t>
      </w:r>
      <w:r>
        <w:rPr>
          <w:rtl w:val="true"/>
        </w:rPr>
        <w:t>הוא עברו הנקי של המשיב והאמור בתסקיר לגבי נתונים התומכים באפשרות כי חרף קשיו של המשיב אין עסקינן במקרה אבוד אלא קיים פתח של תקווה לשיקומו</w:t>
      </w:r>
      <w:r>
        <w:rPr>
          <w:rtl w:val="true"/>
        </w:rPr>
        <w:t>.</w:t>
      </w:r>
    </w:p>
    <w:p>
      <w:pPr>
        <w:pStyle w:val="Normal"/>
        <w:spacing w:lineRule="auto" w:line="360"/>
        <w:ind w:end="0"/>
        <w:jc w:val="both"/>
        <w:rPr/>
      </w:pPr>
      <w:r>
        <w:rPr>
          <w:rtl w:val="true"/>
        </w:rPr>
        <w:t>בית המשפט קמא עמד על פגיעת המאסר במשיב שהוא צעיר לימים</w:t>
      </w:r>
      <w:r>
        <w:rPr>
          <w:rtl w:val="true"/>
        </w:rPr>
        <w:t xml:space="preserve">, </w:t>
      </w:r>
      <w:r>
        <w:rPr>
          <w:rtl w:val="true"/>
        </w:rPr>
        <w:t>וזה מאסרו הראשון</w:t>
      </w:r>
      <w:r>
        <w:rPr>
          <w:rtl w:val="true"/>
        </w:rPr>
        <w:t xml:space="preserve">, </w:t>
      </w:r>
      <w:r>
        <w:rPr>
          <w:rtl w:val="true"/>
        </w:rPr>
        <w:t>פגיעת המאסר במשפחתו של המשיב</w:t>
      </w:r>
      <w:r>
        <w:rPr>
          <w:rtl w:val="true"/>
        </w:rPr>
        <w:t xml:space="preserve">, </w:t>
      </w:r>
      <w:r>
        <w:rPr>
          <w:rtl w:val="true"/>
        </w:rPr>
        <w:t>על הודאתו במהלך שמיעת הראיות לאחר שנשמעו עדויותיהם של שניים האחרים ומבלי שהגיע להסדר טיעון עם המערערת ועל עברו הנקי</w:t>
      </w:r>
      <w:r>
        <w:rPr>
          <w:rtl w:val="true"/>
        </w:rPr>
        <w:t>.</w:t>
      </w:r>
    </w:p>
    <w:p>
      <w:pPr>
        <w:pStyle w:val="Normal"/>
        <w:spacing w:lineRule="auto" w:line="360"/>
        <w:ind w:end="0"/>
        <w:jc w:val="both"/>
        <w:rPr/>
      </w:pPr>
      <w:r>
        <w:rPr>
          <w:rtl w:val="true"/>
        </w:rPr>
        <w:t>אף אנו</w:t>
      </w:r>
      <w:r>
        <w:rPr>
          <w:rtl w:val="true"/>
        </w:rPr>
        <w:t xml:space="preserve">, </w:t>
      </w:r>
      <w:r>
        <w:rPr>
          <w:rtl w:val="true"/>
        </w:rPr>
        <w:t>כמו בית המשפט קמא</w:t>
      </w:r>
      <w:r>
        <w:rPr>
          <w:rtl w:val="true"/>
        </w:rPr>
        <w:t xml:space="preserve">, </w:t>
      </w:r>
      <w:r>
        <w:rPr>
          <w:rtl w:val="true"/>
        </w:rPr>
        <w:t>איננו מקלים ראש באמור בתסקירי שירות המבחן</w:t>
      </w:r>
      <w:r>
        <w:rPr>
          <w:rtl w:val="true"/>
        </w:rPr>
        <w:t xml:space="preserve">, </w:t>
      </w:r>
      <w:r>
        <w:rPr>
          <w:rtl w:val="true"/>
        </w:rPr>
        <w:t>הגם שאין לכנותם תסקירים חיוביים</w:t>
      </w:r>
      <w:r>
        <w:rPr>
          <w:rtl w:val="true"/>
        </w:rPr>
        <w:t xml:space="preserve">, </w:t>
      </w:r>
      <w:r>
        <w:rPr>
          <w:rtl w:val="true"/>
        </w:rPr>
        <w:t>וכך גם איננו מקלים ראש בנסיבות לקולא שמנה בית המשפט קמא</w:t>
      </w:r>
      <w:r>
        <w:rPr>
          <w:rtl w:val="true"/>
        </w:rPr>
        <w:t xml:space="preserve">, </w:t>
      </w:r>
      <w:r>
        <w:rPr>
          <w:rtl w:val="true"/>
        </w:rPr>
        <w:t>גם אם הודאתו של המשיב בעבירות נושא מאסרו לא הייתה הודאה מיידית אלא רק לאחר שנשמעו שלושה מקוני הסמים</w:t>
      </w:r>
      <w:r>
        <w:rPr>
          <w:rtl w:val="true"/>
        </w:rPr>
        <w:t xml:space="preserve">. </w:t>
      </w:r>
    </w:p>
    <w:p>
      <w:pPr>
        <w:pStyle w:val="Normal"/>
        <w:spacing w:lineRule="auto" w:line="360"/>
        <w:ind w:end="0"/>
        <w:jc w:val="both"/>
        <w:rPr/>
      </w:pPr>
      <w:r>
        <w:rPr>
          <w:rtl w:val="true"/>
        </w:rPr>
        <w:t xml:space="preserve">אין בכל הנסיבות המקלות כפי שהובאו על ידי בית המשפט קמא כדי להצדיק הטלת עונש מאסר לתקופה מצטברת של </w:t>
      </w:r>
      <w:r>
        <w:rPr/>
        <w:t>15</w:t>
      </w:r>
      <w:r>
        <w:rPr>
          <w:rtl w:val="true"/>
        </w:rPr>
        <w:t xml:space="preserve"> </w:t>
      </w:r>
      <w:r>
        <w:rPr>
          <w:rtl w:val="true"/>
        </w:rPr>
        <w:t>חודשים</w:t>
      </w:r>
      <w:r>
        <w:rPr>
          <w:rtl w:val="true"/>
        </w:rPr>
        <w:t xml:space="preserve">, </w:t>
      </w:r>
      <w:r>
        <w:rPr>
          <w:rtl w:val="true"/>
        </w:rPr>
        <w:t>אשר הולמת מס</w:t>
      </w:r>
      <w:r>
        <w:rPr>
          <w:rtl w:val="true"/>
        </w:rPr>
        <w:t xml:space="preserve">' </w:t>
      </w:r>
      <w:r>
        <w:rPr>
          <w:rtl w:val="true"/>
        </w:rPr>
        <w:t xml:space="preserve">מועט של מכירות סמים ולא מכירה ב </w:t>
      </w:r>
      <w:r>
        <w:rPr>
          <w:rtl w:val="true"/>
        </w:rPr>
        <w:t>–</w:t>
      </w:r>
      <w:r>
        <w:rPr>
          <w:rtl w:val="true"/>
        </w:rPr>
        <w:t xml:space="preserve"> </w:t>
      </w:r>
      <w:r>
        <w:rPr/>
        <w:t>16</w:t>
      </w:r>
      <w:r>
        <w:rPr>
          <w:rtl w:val="true"/>
        </w:rPr>
        <w:t xml:space="preserve"> </w:t>
      </w:r>
      <w:r>
        <w:rPr>
          <w:rtl w:val="true"/>
        </w:rPr>
        <w:t>הזדמנויות של חשיש וקנבוס לאחרים</w:t>
      </w:r>
      <w:r>
        <w:rPr>
          <w:rtl w:val="true"/>
        </w:rPr>
        <w:t xml:space="preserve">, </w:t>
      </w:r>
      <w:r>
        <w:rPr>
          <w:rtl w:val="true"/>
        </w:rPr>
        <w:t>שאינם סוכנים סמויים</w:t>
      </w:r>
      <w:r>
        <w:rPr>
          <w:rtl w:val="true"/>
        </w:rPr>
        <w:t xml:space="preserve">. </w:t>
      </w:r>
    </w:p>
    <w:p>
      <w:pPr>
        <w:pStyle w:val="Normal"/>
        <w:spacing w:lineRule="auto" w:line="360"/>
        <w:ind w:end="0"/>
        <w:jc w:val="both"/>
        <w:rPr/>
      </w:pPr>
      <w:r>
        <w:rPr>
          <w:rtl w:val="true"/>
        </w:rPr>
        <w:t>לאור כל האמור לעיל</w:t>
      </w:r>
      <w:r>
        <w:rPr>
          <w:rtl w:val="true"/>
        </w:rPr>
        <w:t xml:space="preserve">, </w:t>
      </w:r>
      <w:r>
        <w:rPr>
          <w:rtl w:val="true"/>
        </w:rPr>
        <w:t>עונש המאסר שהוטל על ידי בית המשפט קמא חורג ממדיניות הענישה הנוהגת</w:t>
      </w:r>
      <w:r>
        <w:rPr>
          <w:rtl w:val="true"/>
        </w:rPr>
        <w:t xml:space="preserve">, </w:t>
      </w:r>
      <w:r>
        <w:rPr>
          <w:rtl w:val="true"/>
        </w:rPr>
        <w:t>שהפסיקה שהוצגה על ידי ב</w:t>
      </w:r>
      <w:r>
        <w:rPr>
          <w:rtl w:val="true"/>
        </w:rPr>
        <w:t>"</w:t>
      </w:r>
      <w:r>
        <w:rPr>
          <w:rtl w:val="true"/>
        </w:rPr>
        <w:t>כ המשיב בפנינו היא חריגה לאותה מדיניות בשל נסיבות חריגות שאינן קיימות לגבי המשיב שלפנינו</w:t>
      </w:r>
      <w:r>
        <w:rPr>
          <w:rtl w:val="true"/>
        </w:rPr>
        <w:t xml:space="preserve">, </w:t>
      </w:r>
      <w:r>
        <w:rPr>
          <w:rtl w:val="true"/>
        </w:rPr>
        <w:t>ומשכך היא מצדיקה התערבותה של ערכאת ערעור חרף הנסיבות המקלות</w:t>
      </w:r>
      <w:r>
        <w:rPr>
          <w:rtl w:val="true"/>
        </w:rPr>
        <w:t xml:space="preserve">. </w:t>
      </w:r>
      <w:r>
        <w:br w:type="page"/>
      </w:r>
    </w:p>
    <w:p>
      <w:pPr>
        <w:pStyle w:val="Normal"/>
        <w:spacing w:lineRule="auto" w:line="360"/>
        <w:ind w:end="0"/>
        <w:jc w:val="both"/>
        <w:rPr/>
      </w:pPr>
      <w:r>
        <w:rPr>
          <w:rtl w:val="true"/>
        </w:rPr>
        <w:t>לאור כל האמור לעיל</w:t>
      </w:r>
      <w:r>
        <w:rPr>
          <w:rtl w:val="true"/>
        </w:rPr>
        <w:t xml:space="preserve">, </w:t>
      </w:r>
      <w:r>
        <w:rPr>
          <w:rtl w:val="true"/>
        </w:rPr>
        <w:t>ומבלי שאנו מתעלמים מההלכה הפסוקה לפיה ערכאת ערעור אינה ממצה את הדין עם נאשם שהחליטה להחמיר בעונשו</w:t>
      </w:r>
      <w:r>
        <w:rPr>
          <w:rtl w:val="true"/>
        </w:rPr>
        <w:t xml:space="preserve">, </w:t>
      </w:r>
      <w:r>
        <w:rPr>
          <w:rtl w:val="true"/>
        </w:rPr>
        <w:t xml:space="preserve">אנו מקבלים את הערעור ומחליטים כי המשיב ירצה שנתיים מאסר החל מיום מעצרו </w:t>
      </w:r>
      <w:r>
        <w:rPr>
          <w:rtl w:val="true"/>
        </w:rPr>
        <w:t>–</w:t>
      </w:r>
      <w:r>
        <w:rPr>
          <w:rtl w:val="true"/>
        </w:rPr>
        <w:t xml:space="preserve"> </w:t>
      </w:r>
      <w:r>
        <w:rPr/>
        <w:t>6.7.14</w:t>
      </w:r>
      <w:r>
        <w:rPr>
          <w:rtl w:val="true"/>
        </w:rPr>
        <w:t>.</w:t>
      </w:r>
    </w:p>
    <w:p>
      <w:pPr>
        <w:pStyle w:val="Normal"/>
        <w:spacing w:lineRule="auto" w:line="360"/>
        <w:ind w:end="0"/>
        <w:jc w:val="both"/>
        <w:rPr/>
      </w:pPr>
      <w:r>
        <w:rPr>
          <w:rtl w:val="true"/>
        </w:rPr>
      </w:r>
    </w:p>
    <w:p>
      <w:pPr>
        <w:pStyle w:val="Normal"/>
        <w:spacing w:lineRule="auto" w:line="360"/>
        <w:ind w:end="0"/>
        <w:jc w:val="both"/>
        <w:rPr/>
      </w:pPr>
      <w:r>
        <w:rPr>
          <w:rtl w:val="true"/>
        </w:rPr>
        <w:t>יתר חלקי גזר הדין ב</w:t>
      </w:r>
      <w:hyperlink r:id="rId3">
        <w:r>
          <w:rPr>
            <w:rStyle w:val="Hyperlink"/>
            <w:color w:val="0000FF"/>
            <w:u w:val="single"/>
            <w:rtl w:val="true"/>
          </w:rPr>
          <w:t>ת</w:t>
        </w:r>
        <w:r>
          <w:rPr>
            <w:rStyle w:val="Hyperlink"/>
            <w:color w:val="0000FF"/>
            <w:u w:val="single"/>
            <w:rtl w:val="true"/>
          </w:rPr>
          <w:t>"</w:t>
        </w:r>
        <w:r>
          <w:rPr>
            <w:rStyle w:val="Hyperlink"/>
            <w:color w:val="0000FF"/>
            <w:u w:val="single"/>
            <w:rtl w:val="true"/>
          </w:rPr>
          <w:t xml:space="preserve">פ </w:t>
        </w:r>
        <w:r>
          <w:rPr>
            <w:rStyle w:val="Hyperlink"/>
            <w:color w:val="0000FF"/>
            <w:u w:val="single"/>
          </w:rPr>
          <w:t>24388-07-14</w:t>
        </w:r>
      </w:hyperlink>
      <w:r>
        <w:rPr>
          <w:rtl w:val="true"/>
        </w:rPr>
        <w:t xml:space="preserve"> (</w:t>
      </w:r>
      <w:r>
        <w:rPr>
          <w:rtl w:val="true"/>
        </w:rPr>
        <w:t>בית משפט השלום בראשל</w:t>
      </w:r>
      <w:r>
        <w:rPr>
          <w:rtl w:val="true"/>
        </w:rPr>
        <w:t>"</w:t>
      </w:r>
      <w:r>
        <w:rPr>
          <w:rtl w:val="true"/>
        </w:rPr>
        <w:t>צ</w:t>
      </w:r>
      <w:r>
        <w:rPr>
          <w:rtl w:val="true"/>
        </w:rPr>
        <w:t xml:space="preserve">) </w:t>
      </w:r>
      <w:r>
        <w:rPr>
          <w:rtl w:val="true"/>
        </w:rPr>
        <w:t>יעמדו בתוקפם</w:t>
      </w:r>
      <w:r>
        <w:rPr>
          <w:rtl w:val="true"/>
        </w:rPr>
        <w:t xml:space="preserve">. </w:t>
      </w:r>
    </w:p>
    <w:p>
      <w:pPr>
        <w:pStyle w:val="Normal"/>
        <w:spacing w:lineRule="auto" w:line="276"/>
        <w:ind w:end="0"/>
        <w:jc w:val="both"/>
        <w:rPr>
          <w:rFonts w:ascii="Arial" w:hAnsi="Arial" w:eastAsia="Times New Roman" w:cs="Arial"/>
          <w:sz w:val="28"/>
          <w:szCs w:val="28"/>
        </w:rPr>
      </w:pPr>
      <w:r>
        <w:rPr>
          <w:rFonts w:eastAsia="Times New Roman" w:cs="Arial" w:ascii="Arial" w:hAnsi="Arial"/>
          <w:sz w:val="28"/>
          <w:szCs w:val="28"/>
          <w:rtl w:val="true"/>
        </w:rPr>
      </w:r>
    </w:p>
    <w:p>
      <w:pPr>
        <w:pStyle w:val="Normal"/>
        <w:spacing w:lineRule="auto" w:line="360"/>
        <w:ind w:end="0"/>
        <w:jc w:val="both"/>
        <w:rPr>
          <w:rFonts w:eastAsia="Times New Roman"/>
          <w:sz w:val="6"/>
          <w:szCs w:val="6"/>
        </w:rPr>
      </w:pPr>
      <w:r>
        <w:rPr>
          <w:rFonts w:eastAsia="Times New Roman"/>
          <w:sz w:val="6"/>
          <w:szCs w:val="6"/>
          <w:rtl w:val="true"/>
        </w:rPr>
        <w:t>&lt;</w:t>
      </w:r>
      <w:r>
        <w:rPr>
          <w:rFonts w:eastAsia="Times New Roman"/>
          <w:sz w:val="6"/>
          <w:szCs w:val="6"/>
        </w:rPr>
        <w:t>#4#</w:t>
      </w:r>
      <w:r>
        <w:rPr>
          <w:rFonts w:eastAsia="Times New Roman"/>
          <w:sz w:val="6"/>
          <w:szCs w:val="6"/>
          <w:rtl w:val="true"/>
        </w:rPr>
        <w:t>&gt;</w:t>
      </w:r>
    </w:p>
    <w:p>
      <w:pPr>
        <w:pStyle w:val="Normal"/>
        <w:spacing w:lineRule="auto" w:line="360"/>
        <w:ind w:end="0"/>
        <w:jc w:val="start"/>
        <w:rPr>
          <w:rFonts w:eastAsia="Times New Roman"/>
          <w:b/>
          <w:bCs/>
        </w:rPr>
      </w:pPr>
      <w:r>
        <w:rPr>
          <w:rFonts w:eastAsia="Times New Roman"/>
          <w:b/>
          <w:bCs/>
          <w:color w:val="FFFFFF"/>
          <w:sz w:val="2"/>
          <w:szCs w:val="2"/>
        </w:rPr>
        <w:t>5129371</w:t>
      </w:r>
      <w:r>
        <w:rPr>
          <w:rFonts w:eastAsia="Times New Roman"/>
          <w:b/>
          <w:b/>
          <w:bCs/>
          <w:sz w:val="28"/>
          <w:sz w:val="28"/>
          <w:szCs w:val="28"/>
          <w:rtl w:val="true"/>
        </w:rPr>
        <w:t>ניתן והודע היום ד</w:t>
      </w:r>
      <w:r>
        <w:rPr>
          <w:rFonts w:eastAsia="Times New Roman"/>
          <w:b/>
          <w:bCs/>
          <w:sz w:val="28"/>
          <w:szCs w:val="28"/>
          <w:rtl w:val="true"/>
        </w:rPr>
        <w:t xml:space="preserve">' </w:t>
      </w:r>
      <w:r>
        <w:rPr>
          <w:rFonts w:eastAsia="Times New Roman"/>
          <w:b/>
          <w:b/>
          <w:bCs/>
          <w:sz w:val="28"/>
          <w:sz w:val="28"/>
          <w:szCs w:val="28"/>
          <w:rtl w:val="true"/>
        </w:rPr>
        <w:t>תמוז תשע</w:t>
      </w:r>
      <w:r>
        <w:rPr>
          <w:rFonts w:eastAsia="Times New Roman"/>
          <w:b/>
          <w:bCs/>
          <w:sz w:val="28"/>
          <w:szCs w:val="28"/>
          <w:rtl w:val="true"/>
        </w:rPr>
        <w:t>"</w:t>
      </w:r>
      <w:r>
        <w:rPr>
          <w:rFonts w:eastAsia="Times New Roman"/>
          <w:b/>
          <w:b/>
          <w:bCs/>
          <w:sz w:val="28"/>
          <w:sz w:val="28"/>
          <w:szCs w:val="28"/>
          <w:rtl w:val="true"/>
        </w:rPr>
        <w:t>ה</w:t>
      </w:r>
      <w:r>
        <w:rPr>
          <w:rFonts w:eastAsia="Times New Roman"/>
          <w:b/>
          <w:bCs/>
          <w:sz w:val="28"/>
          <w:szCs w:val="28"/>
          <w:rtl w:val="true"/>
        </w:rPr>
        <w:t xml:space="preserve">, </w:t>
      </w:r>
      <w:r>
        <w:rPr>
          <w:rFonts w:eastAsia="Times New Roman"/>
          <w:b/>
          <w:bCs/>
          <w:sz w:val="28"/>
          <w:szCs w:val="28"/>
        </w:rPr>
        <w:t>21/06/2015</w:t>
      </w:r>
      <w:r>
        <w:rPr>
          <w:rFonts w:eastAsia="Times New Roman"/>
          <w:b/>
          <w:bCs/>
          <w:sz w:val="28"/>
          <w:szCs w:val="28"/>
          <w:rtl w:val="true"/>
        </w:rPr>
        <w:t xml:space="preserve"> </w:t>
      </w:r>
      <w:r>
        <w:rPr>
          <w:rFonts w:eastAsia="Times New Roman"/>
          <w:b/>
          <w:b/>
          <w:bCs/>
          <w:sz w:val="28"/>
          <w:sz w:val="28"/>
          <w:szCs w:val="28"/>
          <w:rtl w:val="true"/>
        </w:rPr>
        <w:t>במעמד ב</w:t>
      </w:r>
      <w:r>
        <w:rPr>
          <w:rFonts w:eastAsia="Times New Roman"/>
          <w:b/>
          <w:bCs/>
          <w:sz w:val="28"/>
          <w:szCs w:val="28"/>
          <w:rtl w:val="true"/>
        </w:rPr>
        <w:t>"</w:t>
      </w:r>
      <w:r>
        <w:rPr>
          <w:rFonts w:eastAsia="Times New Roman"/>
          <w:b/>
          <w:b/>
          <w:bCs/>
          <w:sz w:val="28"/>
          <w:sz w:val="28"/>
          <w:szCs w:val="28"/>
          <w:rtl w:val="true"/>
        </w:rPr>
        <w:t>כ הצדדים והמשיב</w:t>
      </w:r>
      <w:r>
        <w:rPr>
          <w:rFonts w:eastAsia="Times New Roman"/>
          <w:b/>
          <w:bCs/>
          <w:sz w:val="28"/>
          <w:szCs w:val="28"/>
          <w:rtl w:val="true"/>
        </w:rPr>
        <w:t xml:space="preserve">.  </w:t>
      </w:r>
    </w:p>
    <w:tbl>
      <w:tblPr>
        <w:bidiVisual w:val="true"/>
        <w:tblW w:w="8522" w:type="dxa"/>
        <w:jc w:val="end"/>
        <w:tblInd w:w="0" w:type="dxa"/>
        <w:tblLayout w:type="fixed"/>
        <w:tblCellMar>
          <w:top w:w="0" w:type="dxa"/>
          <w:start w:w="108" w:type="dxa"/>
          <w:bottom w:w="0" w:type="dxa"/>
          <w:end w:w="108" w:type="dxa"/>
        </w:tblCellMar>
      </w:tblPr>
      <w:tblGrid>
        <w:gridCol w:w="2834"/>
        <w:gridCol w:w="360"/>
        <w:gridCol w:w="2406"/>
        <w:gridCol w:w="346"/>
        <w:gridCol w:w="2576"/>
      </w:tblGrid>
      <w:tr>
        <w:trPr/>
        <w:tc>
          <w:tcPr>
            <w:tcW w:w="2834" w:type="dxa"/>
            <w:tcBorders>
              <w:bottom w:val="single" w:sz="4" w:space="0" w:color="000000"/>
            </w:tcBorders>
            <w:vAlign w:val="bottom"/>
          </w:tcPr>
          <w:p>
            <w:pPr>
              <w:pStyle w:val="Normal"/>
              <w:ind w:end="0"/>
              <w:jc w:val="center"/>
              <w:rPr>
                <w:rFonts w:ascii="Courier New" w:hAnsi="Courier New" w:eastAsia="Times New Roman" w:cs="Times New Roman"/>
                <w:b/>
                <w:bCs/>
                <w:color w:val="FFFFFF"/>
                <w:sz w:val="2"/>
                <w:szCs w:val="2"/>
              </w:rPr>
            </w:pPr>
            <w:r>
              <w:rPr>
                <w:rFonts w:eastAsia="Times New Roman" w:cs="Times New Roman" w:ascii="Courier New" w:hAnsi="Courier New"/>
                <w:b/>
                <w:bCs/>
                <w:color w:val="FFFFFF"/>
                <w:sz w:val="2"/>
                <w:szCs w:val="2"/>
              </w:rPr>
              <w:t>54678313</w:t>
            </w:r>
          </w:p>
        </w:tc>
        <w:tc>
          <w:tcPr>
            <w:tcW w:w="360" w:type="dxa"/>
            <w:tcBorders/>
            <w:vAlign w:val="bottom"/>
          </w:tcPr>
          <w:p>
            <w:pPr>
              <w:pStyle w:val="Normal"/>
              <w:snapToGrid w:val="false"/>
              <w:ind w:end="0"/>
              <w:jc w:val="center"/>
              <w:rPr>
                <w:rFonts w:ascii="Courier New" w:hAnsi="Courier New" w:eastAsia="Times New Roman" w:cs="Times New Roman"/>
                <w:b/>
                <w:bCs/>
                <w:color w:val="FFFFFF"/>
                <w:sz w:val="20"/>
                <w:szCs w:val="20"/>
              </w:rPr>
            </w:pPr>
            <w:r>
              <w:rPr>
                <w:rFonts w:eastAsia="Times New Roman" w:cs="Times New Roman" w:ascii="Courier New" w:hAnsi="Courier New"/>
                <w:b/>
                <w:bCs/>
                <w:color w:val="FFFFFF"/>
                <w:sz w:val="20"/>
                <w:szCs w:val="20"/>
                <w:rtl w:val="true"/>
              </w:rPr>
            </w:r>
          </w:p>
        </w:tc>
        <w:tc>
          <w:tcPr>
            <w:tcW w:w="2406" w:type="dxa"/>
            <w:tcBorders>
              <w:bottom w:val="single" w:sz="4" w:space="0" w:color="000000"/>
            </w:tcBorders>
            <w:vAlign w:val="bottom"/>
          </w:tcPr>
          <w:p>
            <w:pPr>
              <w:pStyle w:val="Normal"/>
              <w:snapToGrid w:val="false"/>
              <w:ind w:end="0"/>
              <w:jc w:val="center"/>
              <w:rPr>
                <w:rFonts w:ascii="Courier New" w:hAnsi="Courier New" w:eastAsia="Times New Roman" w:cs="Times New Roman"/>
                <w:b/>
                <w:bCs/>
                <w:sz w:val="20"/>
                <w:szCs w:val="20"/>
              </w:rPr>
            </w:pPr>
            <w:r>
              <w:rPr>
                <w:rFonts w:eastAsia="Times New Roman" w:cs="Times New Roman" w:ascii="Courier New" w:hAnsi="Courier New"/>
                <w:b/>
                <w:bCs/>
                <w:sz w:val="20"/>
                <w:szCs w:val="20"/>
                <w:rtl w:val="true"/>
              </w:rPr>
            </w:r>
          </w:p>
        </w:tc>
        <w:tc>
          <w:tcPr>
            <w:tcW w:w="346" w:type="dxa"/>
            <w:tcBorders/>
            <w:vAlign w:val="bottom"/>
          </w:tcPr>
          <w:p>
            <w:pPr>
              <w:pStyle w:val="Normal"/>
              <w:snapToGrid w:val="false"/>
              <w:ind w:end="0"/>
              <w:jc w:val="center"/>
              <w:rPr>
                <w:rFonts w:ascii="Courier New" w:hAnsi="Courier New" w:eastAsia="Times New Roman" w:cs="Times New Roman"/>
                <w:b/>
                <w:bCs/>
                <w:sz w:val="20"/>
                <w:szCs w:val="20"/>
              </w:rPr>
            </w:pPr>
            <w:r>
              <w:rPr>
                <w:rFonts w:eastAsia="Times New Roman" w:cs="Times New Roman" w:ascii="Courier New" w:hAnsi="Courier New"/>
                <w:b/>
                <w:bCs/>
                <w:sz w:val="20"/>
                <w:szCs w:val="20"/>
                <w:rtl w:val="true"/>
              </w:rPr>
            </w:r>
          </w:p>
        </w:tc>
        <w:tc>
          <w:tcPr>
            <w:tcW w:w="2576" w:type="dxa"/>
            <w:tcBorders>
              <w:bottom w:val="single" w:sz="4" w:space="0" w:color="000000"/>
            </w:tcBorders>
            <w:vAlign w:val="bottom"/>
          </w:tcPr>
          <w:p>
            <w:pPr>
              <w:pStyle w:val="Normal"/>
              <w:snapToGrid w:val="false"/>
              <w:ind w:end="0"/>
              <w:jc w:val="center"/>
              <w:rPr>
                <w:rFonts w:ascii="Courier New" w:hAnsi="Courier New" w:eastAsia="Times New Roman" w:cs="Times New Roman"/>
                <w:b/>
                <w:bCs/>
                <w:sz w:val="20"/>
                <w:szCs w:val="20"/>
              </w:rPr>
            </w:pPr>
            <w:r>
              <w:rPr>
                <w:rFonts w:eastAsia="Times New Roman" w:cs="Times New Roman" w:ascii="Courier New" w:hAnsi="Courier New"/>
                <w:b/>
                <w:bCs/>
                <w:sz w:val="20"/>
                <w:szCs w:val="20"/>
                <w:rtl w:val="true"/>
              </w:rPr>
            </w:r>
          </w:p>
        </w:tc>
      </w:tr>
      <w:tr>
        <w:trPr/>
        <w:tc>
          <w:tcPr>
            <w:tcW w:w="2834" w:type="dxa"/>
            <w:tcBorders>
              <w:top w:val="single" w:sz="4" w:space="0" w:color="000000"/>
            </w:tcBorders>
            <w:vAlign w:val="bottom"/>
          </w:tcPr>
          <w:p>
            <w:pPr>
              <w:pStyle w:val="Normal"/>
              <w:ind w:end="0"/>
              <w:jc w:val="center"/>
              <w:rPr>
                <w:rFonts w:ascii="Courier New" w:hAnsi="Courier New" w:eastAsia="Times New Roman" w:cs="Times New Roman"/>
              </w:rPr>
            </w:pPr>
            <w:r>
              <w:rPr>
                <w:rFonts w:ascii="Courier New" w:hAnsi="Courier New" w:eastAsia="Times New Roman" w:cs="Times New Roman"/>
                <w:rtl w:val="true"/>
              </w:rPr>
              <w:t>אברהם</w:t>
            </w:r>
            <w:r>
              <w:rPr>
                <w:rFonts w:ascii="Courier New" w:hAnsi="Courier New" w:eastAsia="Courier New" w:cs="Courier New"/>
                <w:rtl w:val="true"/>
              </w:rPr>
              <w:t xml:space="preserve"> </w:t>
            </w:r>
            <w:r>
              <w:rPr>
                <w:rFonts w:ascii="Courier New" w:hAnsi="Courier New" w:eastAsia="Times New Roman" w:cs="Times New Roman"/>
                <w:rtl w:val="true"/>
              </w:rPr>
              <w:t>טל</w:t>
            </w:r>
            <w:r>
              <w:rPr>
                <w:rFonts w:eastAsia="Times New Roman" w:cs="Times New Roman" w:ascii="Courier New" w:hAnsi="Courier New"/>
                <w:rtl w:val="true"/>
              </w:rPr>
              <w:t xml:space="preserve">, </w:t>
            </w:r>
            <w:r>
              <w:rPr>
                <w:rFonts w:ascii="Courier New" w:hAnsi="Courier New" w:eastAsia="Times New Roman" w:cs="Times New Roman"/>
                <w:rtl w:val="true"/>
              </w:rPr>
              <w:t>נשיא</w:t>
            </w:r>
          </w:p>
          <w:p>
            <w:pPr>
              <w:pStyle w:val="Normal"/>
              <w:ind w:end="0"/>
              <w:jc w:val="center"/>
              <w:rPr>
                <w:rFonts w:ascii="Courier New" w:hAnsi="Courier New" w:eastAsia="Times New Roman" w:cs="Times New Roman"/>
              </w:rPr>
            </w:pPr>
            <w:r>
              <w:rPr>
                <w:rFonts w:ascii="Courier New" w:hAnsi="Courier New" w:eastAsia="Times New Roman" w:cs="Times New Roman"/>
                <w:rtl w:val="true"/>
              </w:rPr>
              <w:t>אב</w:t>
            </w:r>
            <w:r>
              <w:rPr>
                <w:rFonts w:eastAsia="Times New Roman" w:cs="Times New Roman" w:ascii="Courier New" w:hAnsi="Courier New"/>
                <w:rtl w:val="true"/>
              </w:rPr>
              <w:t>"</w:t>
            </w:r>
            <w:r>
              <w:rPr>
                <w:rFonts w:ascii="Courier New" w:hAnsi="Courier New" w:eastAsia="Times New Roman" w:cs="Times New Roman"/>
                <w:rtl w:val="true"/>
              </w:rPr>
              <w:t>ד</w:t>
            </w:r>
          </w:p>
        </w:tc>
        <w:tc>
          <w:tcPr>
            <w:tcW w:w="360" w:type="dxa"/>
            <w:tcBorders/>
            <w:vAlign w:val="bottom"/>
          </w:tcPr>
          <w:p>
            <w:pPr>
              <w:pStyle w:val="Normal"/>
              <w:snapToGrid w:val="false"/>
              <w:ind w:end="0"/>
              <w:jc w:val="center"/>
              <w:rPr>
                <w:rFonts w:ascii="Courier New" w:hAnsi="Courier New" w:eastAsia="Times New Roman" w:cs="Times New Roman"/>
              </w:rPr>
            </w:pPr>
            <w:r>
              <w:rPr>
                <w:rFonts w:eastAsia="Times New Roman" w:cs="Times New Roman" w:ascii="Courier New" w:hAnsi="Courier New"/>
                <w:rtl w:val="true"/>
              </w:rPr>
            </w:r>
          </w:p>
        </w:tc>
        <w:tc>
          <w:tcPr>
            <w:tcW w:w="2406" w:type="dxa"/>
            <w:tcBorders>
              <w:top w:val="single" w:sz="4" w:space="0" w:color="000000"/>
            </w:tcBorders>
          </w:tcPr>
          <w:p>
            <w:pPr>
              <w:pStyle w:val="Normal"/>
              <w:ind w:end="0"/>
              <w:jc w:val="center"/>
              <w:rPr>
                <w:rFonts w:ascii="Courier New" w:hAnsi="Courier New" w:eastAsia="Times New Roman" w:cs="Times New Roman"/>
              </w:rPr>
            </w:pPr>
            <w:r>
              <w:rPr>
                <w:rFonts w:ascii="Times New Roman" w:hAnsi="Times New Roman" w:eastAsia="Times New Roman" w:cs="FrankRuehl"/>
                <w:rtl w:val="true"/>
              </w:rPr>
              <w:t>ד</w:t>
            </w:r>
            <w:r>
              <w:rPr>
                <w:rFonts w:eastAsia="Times New Roman" w:cs="FrankRuehl" w:ascii="Times New Roman" w:hAnsi="Times New Roman"/>
                <w:rtl w:val="true"/>
              </w:rPr>
              <w:t>"</w:t>
            </w:r>
            <w:r>
              <w:rPr>
                <w:rFonts w:ascii="Times New Roman" w:hAnsi="Times New Roman" w:eastAsia="Times New Roman" w:cs="FrankRuehl"/>
                <w:rtl w:val="true"/>
              </w:rPr>
              <w:t>ר</w:t>
            </w:r>
            <w:r>
              <w:rPr>
                <w:rFonts w:ascii="Times New Roman" w:hAnsi="Times New Roman" w:eastAsia="Times New Roman" w:cs="Times New Roman"/>
                <w:rtl w:val="true"/>
              </w:rPr>
              <w:t xml:space="preserve"> </w:t>
            </w:r>
            <w:r>
              <w:rPr>
                <w:rFonts w:ascii="Times New Roman" w:hAnsi="Times New Roman" w:eastAsia="Times New Roman" w:cs="FrankRuehl"/>
                <w:rtl w:val="true"/>
              </w:rPr>
              <w:t>שמואל</w:t>
            </w:r>
            <w:r>
              <w:rPr>
                <w:rFonts w:ascii="Times New Roman" w:hAnsi="Times New Roman" w:eastAsia="Times New Roman" w:cs="Times New Roman"/>
                <w:rtl w:val="true"/>
              </w:rPr>
              <w:t xml:space="preserve"> </w:t>
            </w:r>
            <w:r>
              <w:rPr>
                <w:rFonts w:ascii="Times New Roman" w:hAnsi="Times New Roman" w:eastAsia="Times New Roman" w:cs="FrankRuehl"/>
                <w:rtl w:val="true"/>
              </w:rPr>
              <w:t>בורנשטין</w:t>
            </w:r>
            <w:r>
              <w:rPr>
                <w:rFonts w:eastAsia="Times New Roman" w:cs="FrankRuehl" w:ascii="Times New Roman" w:hAnsi="Times New Roman"/>
                <w:rtl w:val="true"/>
              </w:rPr>
              <w:t xml:space="preserve">, </w:t>
            </w:r>
            <w:r>
              <w:rPr>
                <w:rFonts w:ascii="Times New Roman" w:hAnsi="Times New Roman" w:eastAsia="Times New Roman" w:cs="FrankRuehl"/>
                <w:rtl w:val="true"/>
              </w:rPr>
              <w:t>שופט</w:t>
            </w:r>
          </w:p>
        </w:tc>
        <w:tc>
          <w:tcPr>
            <w:tcW w:w="346" w:type="dxa"/>
            <w:tcBorders/>
          </w:tcPr>
          <w:p>
            <w:pPr>
              <w:pStyle w:val="Normal"/>
              <w:snapToGrid w:val="false"/>
              <w:ind w:end="0"/>
              <w:jc w:val="center"/>
              <w:rPr>
                <w:rFonts w:ascii="Courier New" w:hAnsi="Courier New" w:eastAsia="Times New Roman" w:cs="Times New Roman"/>
              </w:rPr>
            </w:pPr>
            <w:r>
              <w:rPr>
                <w:rFonts w:eastAsia="Times New Roman" w:cs="Times New Roman" w:ascii="Courier New" w:hAnsi="Courier New"/>
                <w:rtl w:val="true"/>
              </w:rPr>
            </w:r>
          </w:p>
        </w:tc>
        <w:tc>
          <w:tcPr>
            <w:tcW w:w="2576" w:type="dxa"/>
            <w:tcBorders>
              <w:top w:val="single" w:sz="4" w:space="0" w:color="000000"/>
            </w:tcBorders>
          </w:tcPr>
          <w:p>
            <w:pPr>
              <w:pStyle w:val="Normal"/>
              <w:ind w:end="0"/>
              <w:jc w:val="center"/>
              <w:rPr>
                <w:rFonts w:ascii="Courier New" w:hAnsi="Courier New" w:eastAsia="Times New Roman" w:cs="Times New Roman"/>
              </w:rPr>
            </w:pPr>
            <w:r>
              <w:rPr>
                <w:rFonts w:ascii="Courier New" w:hAnsi="Courier New" w:eastAsia="Times New Roman" w:cs="Times New Roman"/>
                <w:rtl w:val="true"/>
              </w:rPr>
              <w:t>דבורה</w:t>
            </w:r>
            <w:r>
              <w:rPr>
                <w:rFonts w:ascii="Courier New" w:hAnsi="Courier New" w:eastAsia="Courier New" w:cs="Courier New"/>
                <w:rtl w:val="true"/>
              </w:rPr>
              <w:t xml:space="preserve"> </w:t>
            </w:r>
            <w:r>
              <w:rPr>
                <w:rFonts w:ascii="Courier New" w:hAnsi="Courier New" w:eastAsia="Times New Roman" w:cs="Times New Roman"/>
                <w:rtl w:val="true"/>
              </w:rPr>
              <w:t>עטר</w:t>
            </w:r>
            <w:r>
              <w:rPr>
                <w:rFonts w:eastAsia="Times New Roman" w:cs="Times New Roman" w:ascii="Courier New" w:hAnsi="Courier New"/>
                <w:rtl w:val="true"/>
              </w:rPr>
              <w:t xml:space="preserve">, </w:t>
            </w:r>
            <w:r>
              <w:rPr>
                <w:rFonts w:ascii="Courier New" w:hAnsi="Courier New" w:eastAsia="Times New Roman" w:cs="Times New Roman"/>
                <w:rtl w:val="true"/>
              </w:rPr>
              <w:t>שופטת</w:t>
            </w:r>
          </w:p>
        </w:tc>
      </w:tr>
    </w:tbl>
    <w:p>
      <w:pPr>
        <w:pStyle w:val="Normal"/>
        <w:spacing w:lineRule="auto" w:line="360"/>
        <w:ind w:end="0"/>
        <w:jc w:val="both"/>
        <w:rPr>
          <w:rStyle w:val="LineNumber"/>
        </w:rPr>
      </w:pPr>
      <w:r>
        <w:rPr>
          <w:rStyle w:val="LineNumber"/>
          <w:rtl w:val="true"/>
        </w:rPr>
        <w:t xml:space="preserve">  </w:t>
      </w:r>
    </w:p>
    <w:p>
      <w:pPr>
        <w:pStyle w:val="Normal"/>
        <w:keepNext w:val="true"/>
        <w:ind w:end="0"/>
        <w:jc w:val="start"/>
        <w:rPr>
          <w:rStyle w:val="LineNumber"/>
          <w:color w:val="000000"/>
          <w:sz w:val="22"/>
          <w:szCs w:val="22"/>
        </w:rPr>
      </w:pPr>
      <w:r>
        <w:rPr>
          <w:rtl w:val="true"/>
        </w:rPr>
      </w:r>
    </w:p>
    <w:p>
      <w:pPr>
        <w:pStyle w:val="Normal"/>
        <w:keepNext w:val="true"/>
        <w:ind w:end="0"/>
        <w:jc w:val="start"/>
        <w:rPr>
          <w:color w:val="000000"/>
          <w:sz w:val="22"/>
          <w:szCs w:val="22"/>
        </w:rPr>
      </w:pPr>
      <w:r>
        <w:rPr>
          <w:color w:val="000000"/>
          <w:sz w:val="22"/>
          <w:sz w:val="22"/>
          <w:szCs w:val="22"/>
          <w:rtl w:val="true"/>
        </w:rPr>
        <w:t xml:space="preserve">אברהם טל </w:t>
      </w:r>
      <w:r>
        <w:rPr>
          <w:color w:val="000000"/>
          <w:sz w:val="22"/>
          <w:szCs w:val="22"/>
        </w:rPr>
        <w:t>54678313</w:t>
      </w:r>
    </w:p>
    <w:p>
      <w:pPr>
        <w:pStyle w:val="Normal"/>
        <w:ind w:end="0"/>
        <w:jc w:val="start"/>
        <w:rPr>
          <w:color w:val="000000"/>
        </w:rPr>
      </w:pPr>
      <w:r>
        <w:rPr>
          <w:color w:val="000000"/>
          <w:rtl w:val="true"/>
        </w:rPr>
        <w:t>נוסח מסמך זה כפוף לשינויי ניסוח ועריכה</w:t>
      </w:r>
    </w:p>
    <w:p>
      <w:pPr>
        <w:pStyle w:val="Normal"/>
        <w:ind w:end="0"/>
        <w:jc w:val="start"/>
        <w:rPr/>
      </w:pPr>
      <w:r>
        <w:rPr>
          <w:rtl w:val="true"/>
        </w:rPr>
      </w:r>
    </w:p>
    <w:p>
      <w:pPr>
        <w:pStyle w:val="Normal"/>
        <w:ind w:end="0"/>
        <w:jc w:val="center"/>
        <w:rPr>
          <w:color w:val="0000FF"/>
          <w:u w:val="single"/>
        </w:rPr>
      </w:pPr>
      <w:hyperlink r:id="rId4">
        <w:r>
          <w:rPr>
            <w:rStyle w:val="Hyperlink"/>
            <w:color w:val="0000FF"/>
            <w:u w:val="single"/>
            <w:rtl w:val="true"/>
          </w:rPr>
          <w:t>בעניין עריכה ושינויים במסמכי פסיקה</w:t>
        </w:r>
        <w:r>
          <w:rPr>
            <w:rStyle w:val="Hyperlink"/>
            <w:color w:val="0000FF"/>
            <w:u w:val="single"/>
            <w:rtl w:val="true"/>
          </w:rPr>
          <w:t xml:space="preserve">, </w:t>
        </w:r>
        <w:r>
          <w:rPr>
            <w:rStyle w:val="Hyperlink"/>
            <w:color w:val="0000FF"/>
            <w:u w:val="single"/>
            <w:rtl w:val="true"/>
          </w:rPr>
          <w:t>חקיקה ועוד באתר נבו – הקש כאן</w:t>
        </w:r>
      </w:hyperlink>
    </w:p>
    <w:p>
      <w:pPr>
        <w:pStyle w:val="Normal"/>
        <w:ind w:end="0"/>
        <w:jc w:val="center"/>
        <w:rPr>
          <w:color w:val="0000FF"/>
          <w:u w:val="single"/>
        </w:rPr>
      </w:pPr>
      <w:r>
        <w:rPr>
          <w:color w:val="0000FF"/>
          <w:u w:val="single"/>
          <w:rtl w:val="true"/>
        </w:rPr>
      </w:r>
    </w:p>
    <w:sectPr>
      <w:headerReference w:type="default" r:id="rId5"/>
      <w:footerReference w:type="default" r:id="rId6"/>
      <w:type w:val="nextPage"/>
      <w:pgSz w:w="11906" w:h="16838"/>
      <w:pgMar w:left="1701" w:right="1701" w:gutter="0" w:header="1077" w:top="1701" w:footer="1157" w:bottom="1440"/>
      <w:pgNumType w:start="1" w:fmt="decimal"/>
      <w:formProt w:val="false"/>
      <w:textDirection w:val="lrTb"/>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David">
    <w:charset w:val="b1" w:characterSet="windows-1255"/>
    <w:family w:val="swiss"/>
    <w:pitch w:val="variable"/>
  </w:font>
  <w:font w:name="Liberation Sans">
    <w:altName w:val="Arial"/>
    <w:charset w:val="01" w:characterSet="utf-8"/>
    <w:family w:val="swiss"/>
    <w:pitch w:val="variable"/>
  </w:font>
  <w:font w:name="Tahoma">
    <w:charset w:val="00" w:characterSet="windows-1252"/>
    <w:family w:val="swiss"/>
    <w:pitch w:val="variable"/>
  </w:font>
  <w:font w:name="Courier New">
    <w:charset w:val="00" w:characterSet="windows-1252"/>
    <w:family w:val="modern"/>
    <w:pitch w:val="default"/>
  </w:font>
  <w:font w:name="FrankRuehl">
    <w:charset w:val="b1" w:characterSet="windows-1255"/>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center"/>
      <w:rPr>
        <w:rFonts w:ascii="FrankRuehl" w:hAnsi="FrankRuehl" w:cs="FrankRuehl"/>
      </w:rPr>
    </w:pPr>
    <w:r>
      <w:rPr>
        <w:rFonts w:cs="FrankRuehl" w:ascii="FrankRuehl" w:hAnsi="FrankRuehl"/>
        <w:rtl w:val="true"/>
      </w:rPr>
      <w:fldChar w:fldCharType="begin"/>
    </w:r>
    <w:r>
      <w:rPr>
        <w:rtl w:val="true"/>
        <w:rFonts w:cs="FrankRuehl" w:ascii="FrankRuehl" w:hAnsi="FrankRuehl"/>
      </w:rPr>
      <w:instrText xml:space="preserve"> PAGE </w:instrText>
    </w:r>
    <w:r>
      <w:rPr>
        <w:rtl w:val="true"/>
        <w:rFonts w:cs="FrankRuehl" w:ascii="FrankRuehl" w:hAnsi="FrankRuehl"/>
      </w:rPr>
      <w:fldChar w:fldCharType="separate"/>
    </w:r>
    <w:r>
      <w:rPr>
        <w:rtl w:val="true"/>
        <w:rFonts w:cs="FrankRuehl" w:ascii="FrankRuehl" w:hAnsi="FrankRuehl"/>
      </w:rPr>
      <w:t>4</w:t>
    </w:r>
    <w:r>
      <w:rPr>
        <w:rtl w:val="true"/>
        <w:rFonts w:cs="FrankRuehl" w:ascii="FrankRuehl" w:hAnsi="FrankRuehl"/>
      </w:rPr>
      <w:fldChar w:fldCharType="end"/>
    </w:r>
  </w:p>
  <w:p>
    <w:pPr>
      <w:pStyle w:val="Footer"/>
      <w:pBdr>
        <w:top w:val="single" w:sz="4" w:space="1" w:color="000000"/>
      </w:pBdr>
      <w:spacing w:before="0" w:after="60"/>
      <w:ind w:end="0"/>
      <w:jc w:val="center"/>
      <w:rPr>
        <w:rFonts w:ascii="FrankRuehl" w:hAnsi="FrankRuehl" w:cs="FrankRuehl"/>
        <w:color w:val="000000"/>
      </w:rPr>
    </w:pPr>
    <w:r>
      <w:rPr>
        <w:rFonts w:cs="FrankRuehl" w:ascii="FrankRuehl" w:hAnsi="FrankRuehl"/>
        <w:color w:val="000000"/>
        <w:rtl w:val="true"/>
      </w:rPr>
      <w:drawing>
        <wp:inline distT="0" distB="0" distL="0" distR="0">
          <wp:extent cx="554990" cy="2254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65" t="-159" r="-65" b="-159"/>
                  <a:stretch>
                    <a:fillRect/>
                  </a:stretch>
                </pic:blipFill>
                <pic:spPr bwMode="auto">
                  <a:xfrm>
                    <a:off x="0" y="0"/>
                    <a:ext cx="554990" cy="225425"/>
                  </a:xfrm>
                  <a:prstGeom prst="rect">
                    <a:avLst/>
                  </a:prstGeom>
                  <a:noFill/>
                </pic:spPr>
              </pic:pic>
            </a:graphicData>
          </a:graphic>
        </wp:inline>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tabs>
        <w:tab w:val="clear" w:pos="720"/>
        <w:tab w:val="right" w:pos="8311" w:leader="none"/>
      </w:tabs>
      <w:spacing w:lineRule="exact" w:line="220"/>
      <w:ind w:end="0"/>
      <w:jc w:val="start"/>
      <w:rPr>
        <w:color w:val="000000"/>
        <w:sz w:val="22"/>
        <w:szCs w:val="22"/>
      </w:rPr>
    </w:pPr>
    <w:r>
      <w:rPr>
        <w:color w:val="000000"/>
        <w:sz w:val="22"/>
        <w:sz w:val="22"/>
        <w:szCs w:val="22"/>
        <w:rtl w:val="true"/>
      </w:rPr>
      <w:t xml:space="preserve">עפג </w:t>
    </w:r>
    <w:r>
      <w:rPr>
        <w:color w:val="000000"/>
        <w:sz w:val="22"/>
        <w:szCs w:val="22"/>
        <w:rtl w:val="true"/>
      </w:rPr>
      <w:t>(</w:t>
    </w:r>
    <w:r>
      <w:rPr>
        <w:color w:val="000000"/>
        <w:sz w:val="22"/>
        <w:sz w:val="22"/>
        <w:szCs w:val="22"/>
        <w:rtl w:val="true"/>
      </w:rPr>
      <w:t>מרכז</w:t>
    </w:r>
    <w:r>
      <w:rPr>
        <w:color w:val="000000"/>
        <w:sz w:val="22"/>
        <w:szCs w:val="22"/>
        <w:rtl w:val="true"/>
      </w:rPr>
      <w:t xml:space="preserve">) </w:t>
    </w:r>
    <w:r>
      <w:rPr>
        <w:color w:val="000000"/>
        <w:sz w:val="22"/>
        <w:szCs w:val="22"/>
      </w:rPr>
      <w:t>23775-04-15</w:t>
    </w:r>
    <w:r>
      <w:rPr>
        <w:color w:val="000000"/>
        <w:sz w:val="22"/>
        <w:szCs w:val="22"/>
        <w:rtl w:val="true"/>
      </w:rPr>
      <w:tab/>
      <w:t xml:space="preserve"> </w:t>
    </w:r>
    <w:r>
      <w:rPr>
        <w:color w:val="000000"/>
        <w:sz w:val="22"/>
        <w:sz w:val="22"/>
        <w:szCs w:val="22"/>
        <w:rtl w:val="true"/>
      </w:rPr>
      <w:t>מדינת ישראל נ</w:t>
    </w:r>
    <w:r>
      <w:rPr>
        <w:color w:val="000000"/>
        <w:sz w:val="22"/>
        <w:szCs w:val="22"/>
        <w:rtl w:val="true"/>
      </w:rPr>
      <w:t xml:space="preserve">' </w:t>
    </w:r>
    <w:r>
      <w:rPr>
        <w:color w:val="000000"/>
        <w:sz w:val="22"/>
        <w:sz w:val="22"/>
        <w:szCs w:val="22"/>
        <w:rtl w:val="true"/>
      </w:rPr>
      <w:t>ציון ניצן מדמון</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MyInfo" w:val="This document was extracted from Nevo's site"/>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L" w:eastAsia="zh-CN" w:bidi="hi-IN"/>
      </w:rPr>
    </w:rPrDefault>
    <w:pPrDefault>
      <w:pPr>
        <w:suppressAutoHyphens w:val="true"/>
      </w:pPr>
    </w:pPrDefault>
  </w:docDefaults>
  <w:style w:type="paragraph" w:styleId="Normal">
    <w:name w:val="Normal"/>
    <w:qFormat/>
    <w:pPr>
      <w:widowControl/>
      <w:bidi w:val="1"/>
    </w:pPr>
    <w:rPr>
      <w:rFonts w:ascii="David" w:hAnsi="David" w:eastAsia="David" w:cs="David"/>
      <w:color w:val="auto"/>
      <w:sz w:val="24"/>
      <w:szCs w:val="24"/>
      <w:lang w:val="en-US" w:bidi="he-IL" w:eastAsia="zh-CN"/>
    </w:rPr>
  </w:style>
  <w:style w:type="character" w:styleId="DefaultParagraphFont">
    <w:name w:val="Default Paragraph Font"/>
    <w:qFormat/>
    <w:rPr/>
  </w:style>
  <w:style w:type="character" w:styleId="LineNumber">
    <w:name w:val="line number"/>
    <w:basedOn w:val="DefaultParagraphFont"/>
    <w:rPr/>
  </w:style>
  <w:style w:type="character" w:styleId="PageNumber">
    <w:name w:val="page number"/>
    <w:basedOn w:val="DefaultParagraphFont"/>
    <w:rPr/>
  </w:style>
  <w:style w:type="character" w:styleId="HeaderChar">
    <w:name w:val="Header Char"/>
    <w:qFormat/>
    <w:rPr>
      <w:rFonts w:ascii="David" w:hAnsi="David" w:eastAsia="David" w:cs="David"/>
      <w:sz w:val="24"/>
      <w:szCs w:val="24"/>
      <w:lang w:val="en-US" w:bidi="he-IL"/>
    </w:rPr>
  </w:style>
  <w:style w:type="character" w:styleId="Hyperlink">
    <w:name w:val="Hyperlink"/>
    <w:basedOn w:val="DefaultParagraphFont"/>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12">
    <w:name w:val="רגיל + ‏12 נק'"/>
    <w:basedOn w:val="Normal"/>
    <w:qFormat/>
    <w:pPr/>
    <w:rPr>
      <w:rFonts w:ascii="Times New Roman" w:hAnsi="Times New Roman" w:eastAsia="Times New Roman" w:cs="Times New Roman"/>
      <w:b/>
      <w:bCs/>
      <w:u w:val="single"/>
    </w:rPr>
  </w:style>
  <w:style w:type="paragraph" w:styleId="David">
    <w:name w:val="סגנון (עברית ושפות אחרות) David מיושר לשני הצדדים מרווח בין שורות..."/>
    <w:basedOn w:val="Normal"/>
    <w:qFormat/>
    <w:pPr>
      <w:spacing w:lineRule="auto" w:line="360"/>
      <w:jc w:val="both"/>
    </w:pPr>
    <w:rPr>
      <w:rFonts w:ascii="Times New Roman" w:hAnsi="Times New Roman" w:eastAsia="Times New Roman" w:cs="Times New Roma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evo.co.il/case/17045299" TargetMode="External"/><Relationship Id="rId3" Type="http://schemas.openxmlformats.org/officeDocument/2006/relationships/hyperlink" Target="http://www.nevo.co.il/case/17045299" TargetMode="External"/><Relationship Id="rId4" Type="http://schemas.openxmlformats.org/officeDocument/2006/relationships/hyperlink" Target="http://www.nevo.co.il/advertisements/nevo-100.doc"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2015-06-30T08:09:00Z</dcterms:created>
  <dc:creator> </dc:creator>
  <dc:description/>
  <cp:keywords/>
  <dc:language>en-IL</dc:language>
  <cp:lastModifiedBy>hofit</cp:lastModifiedBy>
  <dcterms:modified xsi:type="dcterms:W3CDTF">2015-06-30T08:09:00Z</dcterms:modified>
  <cp:revision>2</cp:revision>
  <dc:subject> </dc:subject>
  <dc:title>nevo.co.il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ELLANT">
    <vt:lpwstr>מדינת ישראל</vt:lpwstr>
  </property>
  <property fmtid="{D5CDD505-2E9C-101B-9397-08002B2CF9AE}" pid="3" name="APPELLEE">
    <vt:lpwstr>ציון ניצן מדמון</vt:lpwstr>
  </property>
  <property fmtid="{D5CDD505-2E9C-101B-9397-08002B2CF9AE}" pid="4" name="CASESLISTTMP1">
    <vt:lpwstr>17045299:2</vt:lpwstr>
  </property>
  <property fmtid="{D5CDD505-2E9C-101B-9397-08002B2CF9AE}" pid="5" name="CITY">
    <vt:lpwstr>מרכז</vt:lpwstr>
  </property>
  <property fmtid="{D5CDD505-2E9C-101B-9397-08002B2CF9AE}" pid="6" name="DATE">
    <vt:lpwstr>20150621</vt:lpwstr>
  </property>
  <property fmtid="{D5CDD505-2E9C-101B-9397-08002B2CF9AE}" pid="7" name="ISABSTRACT">
    <vt:lpwstr>Y</vt:lpwstr>
  </property>
  <property fmtid="{D5CDD505-2E9C-101B-9397-08002B2CF9AE}" pid="8" name="JUDGE">
    <vt:lpwstr>אברהם טל;ד"ר שמואל בורנשטין דבורה עטר</vt:lpwstr>
  </property>
  <property fmtid="{D5CDD505-2E9C-101B-9397-08002B2CF9AE}" pid="9" name="LAWYER">
    <vt:lpwstr>גל רוזנצוויג</vt:lpwstr>
  </property>
  <property fmtid="{D5CDD505-2E9C-101B-9397-08002B2CF9AE}" pid="10" name="NEWPARTA">
    <vt:lpwstr>23775</vt:lpwstr>
  </property>
  <property fmtid="{D5CDD505-2E9C-101B-9397-08002B2CF9AE}" pid="11" name="NEWPARTB">
    <vt:lpwstr>04</vt:lpwstr>
  </property>
  <property fmtid="{D5CDD505-2E9C-101B-9397-08002B2CF9AE}" pid="12" name="NEWPARTC">
    <vt:lpwstr>15</vt:lpwstr>
  </property>
  <property fmtid="{D5CDD505-2E9C-101B-9397-08002B2CF9AE}" pid="13" name="NEWPROC">
    <vt:lpwstr>עפג</vt:lpwstr>
  </property>
  <property fmtid="{D5CDD505-2E9C-101B-9397-08002B2CF9AE}" pid="14" name="PSAKDIN">
    <vt:lpwstr>פסק-דין</vt:lpwstr>
  </property>
  <property fmtid="{D5CDD505-2E9C-101B-9397-08002B2CF9AE}" pid="15" name="TYPE">
    <vt:lpwstr>2</vt:lpwstr>
  </property>
  <property fmtid="{D5CDD505-2E9C-101B-9397-08002B2CF9AE}" pid="16" name="TYPE_ABS_DATE">
    <vt:lpwstr>390020150621</vt:lpwstr>
  </property>
  <property fmtid="{D5CDD505-2E9C-101B-9397-08002B2CF9AE}" pid="17" name="TYPE_N_DATE">
    <vt:lpwstr>39020150621</vt:lpwstr>
  </property>
  <property fmtid="{D5CDD505-2E9C-101B-9397-08002B2CF9AE}" pid="18" name="WORDNUMPAGES">
    <vt:lpwstr>3</vt:lpwstr>
  </property>
</Properties>
</file>