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6"/>
        <w:gridCol w:w="239"/>
        <w:gridCol w:w="2085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6396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24112-09-17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טוט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עציר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085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10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דצמבר </w:t>
            </w:r>
            <w:r>
              <w:rPr>
                <w:b/>
                <w:bCs/>
                <w:sz w:val="26"/>
                <w:szCs w:val="26"/>
              </w:rPr>
              <w:t>2017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uppressLineNumbers/>
        <w:ind w:end="0"/>
        <w:jc w:val="start"/>
        <w:rPr>
          <w:rFonts w:ascii="Arial" w:hAnsi="Arial" w:cs="Arial"/>
          <w:b/>
          <w:bCs/>
          <w:color w:val="000080"/>
          <w:sz w:val="20"/>
          <w:szCs w:val="20"/>
        </w:rPr>
      </w:pPr>
      <w:r>
        <w:rPr>
          <w:rFonts w:cs="Arial" w:ascii="Arial" w:hAnsi="Arial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4"/>
        <w:gridCol w:w="2796"/>
        <w:gridCol w:w="5922"/>
      </w:tblGrid>
      <w:tr>
        <w:trPr/>
        <w:tc>
          <w:tcPr>
            <w:tcW w:w="84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8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כבוד 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נשיא אברהם טל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>-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 שמואל בורנשטין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נאוה בכור</w:t>
            </w:r>
            <w:r>
              <w:rPr>
                <w:rStyle w:val="TimesNewRomanTimesNewRoman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Style w:val="TimesNewRomanTimesNewRoman"/>
                <w:b/>
                <w:bCs/>
                <w:sz w:val="26"/>
                <w:szCs w:val="26"/>
              </w:rPr>
            </w:pPr>
            <w:r>
              <w:rPr>
                <w:rtl w:val="true"/>
              </w:rPr>
            </w:r>
          </w:p>
        </w:tc>
      </w:tr>
      <w:tr>
        <w:trPr>
          <w:trHeight w:val="224" w:hRule="atLeast"/>
          <w:cantSplit w:val="true"/>
        </w:trPr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/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מערער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ריצ</w:t>
            </w:r>
            <w:r>
              <w:rPr>
                <w:b/>
                <w:bCs/>
                <w:sz w:val="26"/>
                <w:szCs w:val="26"/>
                <w:rtl w:val="true"/>
              </w:rPr>
              <w:t>'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רד טוט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</w:rPr>
              <w:t>.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ז</w:t>
            </w:r>
            <w:r>
              <w:rPr>
                <w:b/>
                <w:bCs/>
                <w:sz w:val="26"/>
                <w:szCs w:val="26"/>
                <w:rtl w:val="true"/>
              </w:rPr>
              <w:t>.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xxxxxxxxx</w:t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משיב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</w:tc>
      </w:tr>
    </w:tbl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bookmarkStart w:id="2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2"/>
      <w:r>
        <w:rPr>
          <w:b w:val="false"/>
          <w:b w:val="false"/>
          <w:bCs w:val="false"/>
          <w:u w:val="none"/>
          <w:rtl w:val="true"/>
        </w:rPr>
        <w:t xml:space="preserve"> המערער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משה אלון ועו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הישאם קבלאן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המשיבה 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אילן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המערער הובא באמצעות שב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ס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PsakDin"/>
      <w:bookmarkEnd w:id="3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4" w:name="PsakDin"/>
      <w:bookmarkStart w:id="5" w:name="PsakDin"/>
      <w:bookmarkEnd w:id="5"/>
    </w:p>
    <w:p>
      <w:pPr>
        <w:pStyle w:val="Normal"/>
        <w:spacing w:lineRule="auto" w:line="360"/>
        <w:ind w:end="0"/>
        <w:jc w:val="both"/>
        <w:rPr/>
      </w:pPr>
      <w:bookmarkStart w:id="6" w:name="ABSTRACT_START"/>
      <w:bookmarkEnd w:id="6"/>
      <w:r>
        <w:rPr>
          <w:rtl w:val="true"/>
        </w:rPr>
        <w:t>המערער הורשע על פי הודאתו ב</w:t>
      </w:r>
      <w:hyperlink r:id="rId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.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. </w:t>
        </w:r>
        <w:r>
          <w:rPr>
            <w:rStyle w:val="Hyperlink"/>
            <w:color w:val="0000FF"/>
            <w:u w:val="single"/>
          </w:rPr>
          <w:t>46039-04-17</w:t>
        </w:r>
      </w:hyperlink>
      <w:r>
        <w:rPr>
          <w:rtl w:val="true"/>
        </w:rPr>
        <w:t xml:space="preserve"> (</w:t>
      </w:r>
      <w:r>
        <w:rPr>
          <w:rtl w:val="true"/>
        </w:rPr>
        <w:t>בית משפט השלום בראשל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), </w:t>
      </w:r>
      <w:r>
        <w:rPr>
          <w:rtl w:val="true"/>
        </w:rPr>
        <w:t>במכירת עשרות מנות של קנאבוס</w:t>
      </w:r>
      <w:r>
        <w:rPr>
          <w:rtl w:val="true"/>
        </w:rPr>
        <w:t xml:space="preserve">, </w:t>
      </w:r>
      <w:r>
        <w:rPr>
          <w:rtl w:val="true"/>
        </w:rPr>
        <w:t xml:space="preserve">במשקל לא ידוע ובסכומים שנעו בין </w:t>
      </w:r>
      <w:r>
        <w:rPr/>
        <w:t>50</w:t>
      </w:r>
      <w:r>
        <w:rPr>
          <w:rtl w:val="true"/>
        </w:rPr>
        <w:t xml:space="preserve"> ₪ </w:t>
      </w:r>
      <w:r>
        <w:rPr>
          <w:rtl w:val="true"/>
        </w:rPr>
        <w:t xml:space="preserve">ל </w:t>
      </w:r>
      <w:r>
        <w:rPr>
          <w:rtl w:val="true"/>
        </w:rPr>
        <w:t xml:space="preserve">- </w:t>
      </w:r>
      <w:r>
        <w:rPr/>
        <w:t>600</w:t>
      </w:r>
      <w:r>
        <w:rPr>
          <w:rtl w:val="true"/>
        </w:rPr>
        <w:t xml:space="preserve"> ₪ </w:t>
      </w:r>
      <w:r>
        <w:rPr>
          <w:rtl w:val="true"/>
        </w:rPr>
        <w:t>למנה</w:t>
      </w:r>
      <w:r>
        <w:rPr>
          <w:rtl w:val="true"/>
        </w:rPr>
        <w:t xml:space="preserve">, </w:t>
      </w:r>
      <w:r>
        <w:rPr>
          <w:rtl w:val="true"/>
        </w:rPr>
        <w:t xml:space="preserve">במהלך החודשים ספטמבר </w:t>
      </w:r>
      <w:r>
        <w:rPr/>
        <w:t>2016</w:t>
      </w:r>
      <w:r>
        <w:rPr>
          <w:rtl w:val="true"/>
        </w:rPr>
        <w:t xml:space="preserve"> </w:t>
      </w:r>
      <w:r>
        <w:rPr>
          <w:rtl w:val="true"/>
        </w:rPr>
        <w:t xml:space="preserve">עד אפריל </w:t>
      </w:r>
      <w:r>
        <w:rPr/>
        <w:t>2017</w:t>
      </w:r>
      <w:r>
        <w:rPr>
          <w:rtl w:val="true"/>
        </w:rPr>
        <w:t xml:space="preserve">, </w:t>
      </w:r>
      <w:r>
        <w:rPr>
          <w:rtl w:val="true"/>
        </w:rPr>
        <w:t xml:space="preserve">ונידון ל </w:t>
      </w:r>
      <w:r>
        <w:rPr>
          <w:rtl w:val="true"/>
        </w:rPr>
        <w:t xml:space="preserve">- </w:t>
      </w:r>
      <w:r>
        <w:rPr/>
        <w:t>21</w:t>
      </w:r>
      <w:r>
        <w:rPr>
          <w:rtl w:val="true"/>
        </w:rPr>
        <w:t xml:space="preserve"> </w:t>
      </w:r>
      <w:r>
        <w:rPr>
          <w:rtl w:val="true"/>
        </w:rPr>
        <w:t>חודשי מאסר בפועל בניכוי ימי מעצרו</w:t>
      </w:r>
      <w:r>
        <w:rPr>
          <w:rtl w:val="true"/>
        </w:rPr>
        <w:t xml:space="preserve">,  </w:t>
      </w:r>
      <w:r>
        <w:rPr>
          <w:rtl w:val="true"/>
        </w:rPr>
        <w:t xml:space="preserve">ל </w:t>
      </w:r>
      <w:r>
        <w:rPr>
          <w:rtl w:val="true"/>
        </w:rPr>
        <w:t xml:space="preserve">-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חודשי מאסר על תנאי</w:t>
      </w:r>
      <w:r>
        <w:rPr>
          <w:rtl w:val="true"/>
        </w:rPr>
        <w:t xml:space="preserve">, </w:t>
      </w:r>
      <w:r>
        <w:rPr>
          <w:rtl w:val="true"/>
        </w:rPr>
        <w:t xml:space="preserve">ל </w:t>
      </w:r>
      <w:r>
        <w:rPr>
          <w:rtl w:val="true"/>
        </w:rPr>
        <w:t xml:space="preserve">-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חודשי מאסר על תנאי</w:t>
      </w:r>
      <w:r>
        <w:rPr>
          <w:rtl w:val="true"/>
        </w:rPr>
        <w:t xml:space="preserve">, </w:t>
      </w:r>
      <w:r>
        <w:rPr>
          <w:rtl w:val="true"/>
        </w:rPr>
        <w:t>בתנאים המפורטים בגזר הדין</w:t>
      </w:r>
      <w:r>
        <w:rPr>
          <w:rtl w:val="true"/>
        </w:rPr>
        <w:t xml:space="preserve">, </w:t>
      </w:r>
      <w:r>
        <w:rPr>
          <w:rtl w:val="true"/>
        </w:rPr>
        <w:t xml:space="preserve">ולתשלום קנס בסך </w:t>
      </w:r>
      <w:r>
        <w:rPr/>
        <w:t>3,500</w:t>
      </w:r>
      <w:r>
        <w:rPr>
          <w:rtl w:val="true"/>
        </w:rPr>
        <w:t xml:space="preserve"> ₪.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7" w:name="ABSTRACT_END"/>
      <w:bookmarkStart w:id="8" w:name="ABSTRACT_END"/>
      <w:bookmarkEnd w:id="8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הערעור מופנה כלפי חומרת עונש המאסר בפועל וגובה הקנס</w:t>
      </w:r>
      <w:r>
        <w:rPr>
          <w:rtl w:val="true"/>
        </w:rPr>
        <w:t xml:space="preserve">, </w:t>
      </w:r>
      <w:r>
        <w:rPr>
          <w:rtl w:val="true"/>
        </w:rPr>
        <w:t>וב</w:t>
      </w:r>
      <w:r>
        <w:rPr>
          <w:rtl w:val="true"/>
        </w:rPr>
        <w:t>"</w:t>
      </w:r>
      <w:r>
        <w:rPr>
          <w:rtl w:val="true"/>
        </w:rPr>
        <w:t>כ המערער טוען בהודעת הערעור ובטיעוניו לפנינו כי שגה בית המשפט קמא כאשר החמיר בעונש המאסר שהטיל על המערער שכן מדובר בבגיר</w:t>
      </w:r>
      <w:r>
        <w:rPr>
          <w:rtl w:val="true"/>
        </w:rPr>
        <w:t>-</w:t>
      </w:r>
      <w:r>
        <w:rPr>
          <w:rtl w:val="true"/>
        </w:rPr>
        <w:t>צעיר</w:t>
      </w:r>
      <w:r>
        <w:rPr>
          <w:rtl w:val="true"/>
        </w:rPr>
        <w:t xml:space="preserve">, </w:t>
      </w:r>
      <w:r>
        <w:rPr>
          <w:rtl w:val="true"/>
        </w:rPr>
        <w:t>שביצע חלק מהמכירות כאשר היה קטין ומכר סמים בין השאר לקטינים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כן טוען ב</w:t>
      </w:r>
      <w:r>
        <w:rPr>
          <w:rtl w:val="true"/>
        </w:rPr>
        <w:t>"</w:t>
      </w:r>
      <w:r>
        <w:rPr>
          <w:rtl w:val="true"/>
        </w:rPr>
        <w:t>כ המערער שבית משפט קמא לא התחשב בנסיבות חייו הקשות של המערער</w:t>
      </w:r>
      <w:r>
        <w:rPr>
          <w:rtl w:val="true"/>
        </w:rPr>
        <w:t xml:space="preserve">, </w:t>
      </w:r>
      <w:r>
        <w:rPr>
          <w:rtl w:val="true"/>
        </w:rPr>
        <w:t>כמתואר בתסקיר שירות המבחן</w:t>
      </w:r>
      <w:r>
        <w:rPr>
          <w:rtl w:val="true"/>
        </w:rPr>
        <w:t xml:space="preserve">, </w:t>
      </w:r>
      <w:r>
        <w:rPr>
          <w:rtl w:val="true"/>
        </w:rPr>
        <w:t>בקשיים הכלכליים מהם סובלת משפחתו ובחוסר התמיכה המשפחתית מטעם אמו של המערער</w:t>
      </w:r>
      <w:r>
        <w:rPr>
          <w:rtl w:val="true"/>
        </w:rPr>
        <w:t xml:space="preserve">, </w:t>
      </w:r>
      <w:r>
        <w:rPr>
          <w:rtl w:val="true"/>
        </w:rPr>
        <w:t>שנסעה לחו</w:t>
      </w:r>
      <w:r>
        <w:rPr>
          <w:rtl w:val="true"/>
        </w:rPr>
        <w:t>"</w:t>
      </w:r>
      <w:r>
        <w:rPr>
          <w:rtl w:val="true"/>
        </w:rPr>
        <w:t>ל ובשל כך חזר המערער לבית המעצר בהעדר חלופת מעצר ראויה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 xml:space="preserve">כ המערער טוען עוד כי הסם שנמכר איננו נמנה על הסמים הקשים אלא מדובר בסם </w:t>
      </w:r>
      <w:r>
        <w:rPr>
          <w:rtl w:val="true"/>
        </w:rPr>
        <w:t>"</w:t>
      </w:r>
      <w:r>
        <w:rPr>
          <w:rtl w:val="true"/>
        </w:rPr>
        <w:t>קל</w:t>
      </w:r>
      <w:r>
        <w:rPr>
          <w:rtl w:val="true"/>
        </w:rPr>
        <w:t xml:space="preserve">", </w:t>
      </w:r>
      <w:r>
        <w:rPr>
          <w:rtl w:val="true"/>
        </w:rPr>
        <w:t>ואין לראות בו כפוגע באופן חמור בערכים החברתיים שמוסכמים עליו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לטענת ב</w:t>
      </w:r>
      <w:r>
        <w:rPr>
          <w:rtl w:val="true"/>
        </w:rPr>
        <w:t>"</w:t>
      </w:r>
      <w:r>
        <w:rPr>
          <w:rtl w:val="true"/>
        </w:rPr>
        <w:t>כ המערער</w:t>
      </w:r>
      <w:r>
        <w:rPr>
          <w:rtl w:val="true"/>
        </w:rPr>
        <w:t xml:space="preserve">, </w:t>
      </w:r>
      <w:r>
        <w:rPr>
          <w:rtl w:val="true"/>
        </w:rPr>
        <w:t>בניגוד לדברים שאמר המערער לשירות המבחן</w:t>
      </w:r>
      <w:r>
        <w:rPr>
          <w:rtl w:val="true"/>
        </w:rPr>
        <w:t xml:space="preserve">, </w:t>
      </w:r>
      <w:r>
        <w:rPr>
          <w:rtl w:val="true"/>
        </w:rPr>
        <w:t>המכירות לא נעשו למטרת רווח אלא למימון סמים לשימושו העצמי של המערער</w:t>
      </w:r>
      <w:r>
        <w:rPr>
          <w:rtl w:val="true"/>
        </w:rPr>
        <w:t xml:space="preserve">, </w:t>
      </w:r>
      <w:r>
        <w:rPr>
          <w:rtl w:val="true"/>
        </w:rPr>
        <w:t xml:space="preserve">שהיום הוא נקי מסמים ונמצא בהליך טיפולי בכלא </w:t>
      </w:r>
      <w:r>
        <w:rPr>
          <w:rtl w:val="true"/>
        </w:rPr>
        <w:t>"</w:t>
      </w:r>
      <w:r>
        <w:rPr>
          <w:rtl w:val="true"/>
        </w:rPr>
        <w:t>חרמון</w:t>
      </w:r>
      <w:r>
        <w:rPr>
          <w:rtl w:val="true"/>
        </w:rPr>
        <w:t xml:space="preserve">".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 ביקשנו תשובת המשיבה שכן נראה לנו שנימוקי גזר הדין מבוססים ומוצדקים</w:t>
      </w:r>
      <w:r>
        <w:rPr>
          <w:rtl w:val="true"/>
        </w:rPr>
        <w:t xml:space="preserve">, </w:t>
      </w:r>
      <w:r>
        <w:rPr>
          <w:rtl w:val="true"/>
        </w:rPr>
        <w:t>הן מבחינת מתחם הענישה והן מבחינת מיקומו של המערער בתוך המתחם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עיון בתסקיר שירות המבחן שהיה בפני בית משפט קמא מעלה כי הוא התרשם שהמערער הוא צעיר בלתי מגובש</w:t>
      </w:r>
      <w:r>
        <w:rPr>
          <w:rtl w:val="true"/>
        </w:rPr>
        <w:t xml:space="preserve">, </w:t>
      </w:r>
      <w:r>
        <w:rPr>
          <w:rtl w:val="true"/>
        </w:rPr>
        <w:t>מצוי בקשרים שוליים עם עוברי חוק בעיקר בתחום הסמים</w:t>
      </w:r>
      <w:r>
        <w:rPr>
          <w:rtl w:val="true"/>
        </w:rPr>
        <w:t xml:space="preserve">, </w:t>
      </w:r>
      <w:r>
        <w:rPr>
          <w:rtl w:val="true"/>
        </w:rPr>
        <w:t>ונעדר מערכת תמיכה דומיננטית ויציבה</w:t>
      </w:r>
      <w:r>
        <w:rPr>
          <w:rtl w:val="true"/>
        </w:rPr>
        <w:t xml:space="preserve">, </w:t>
      </w:r>
      <w:r>
        <w:rPr>
          <w:rtl w:val="true"/>
        </w:rPr>
        <w:t>ואינו מגלה נכונות להימנע מצריכת סמים</w:t>
      </w:r>
      <w:r>
        <w:rPr>
          <w:rtl w:val="true"/>
        </w:rPr>
        <w:t xml:space="preserve">. </w:t>
      </w:r>
      <w:r>
        <w:rPr>
          <w:rtl w:val="true"/>
        </w:rPr>
        <w:t>המערער השליך את הבעייתיות במצבו על גורמי אכיפת החוק</w:t>
      </w:r>
      <w:r>
        <w:rPr>
          <w:rtl w:val="true"/>
        </w:rPr>
        <w:t xml:space="preserve">, </w:t>
      </w:r>
      <w:r>
        <w:rPr>
          <w:rtl w:val="true"/>
        </w:rPr>
        <w:t>הוא נעדר הרתעה מגורמי סמכות ולא הגיע לבדיקות שתן</w:t>
      </w:r>
      <w:r>
        <w:rPr>
          <w:rtl w:val="true"/>
        </w:rPr>
        <w:t xml:space="preserve">, </w:t>
      </w:r>
      <w:r>
        <w:rPr>
          <w:rtl w:val="true"/>
        </w:rPr>
        <w:t>למעט בדיקה אחת שנמצאה נקיה מסמים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שירות המבחן התרשם כי המערער הפנים דפוסי חשיבה עברייניים</w:t>
      </w:r>
      <w:r>
        <w:rPr>
          <w:rtl w:val="true"/>
        </w:rPr>
        <w:t xml:space="preserve">, </w:t>
      </w:r>
      <w:r>
        <w:rPr>
          <w:rtl w:val="true"/>
        </w:rPr>
        <w:t>דבר שמגביר את הסיכון להישנות עבירות בעתיד ולכן המליץ על הטלת עונש קונקרטי</w:t>
      </w:r>
      <w:r>
        <w:rPr>
          <w:rtl w:val="true"/>
        </w:rPr>
        <w:t xml:space="preserve">, </w:t>
      </w:r>
      <w:r>
        <w:rPr>
          <w:rtl w:val="true"/>
        </w:rPr>
        <w:t>מציב גבול ברור שישקף למערער את הצורך בהליך טיפולי</w:t>
      </w:r>
      <w:r>
        <w:rPr>
          <w:rtl w:val="true"/>
        </w:rPr>
        <w:t xml:space="preserve">, </w:t>
      </w:r>
      <w:r>
        <w:rPr>
          <w:rtl w:val="true"/>
        </w:rPr>
        <w:t>שלדבריו החל בו במהלך מאסרו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בית משפט קמא עמד נכונה על הערכים המוגנים שבהם פגע המערער באופן משמעותי ואין בעובדה שמכר קנאבוס</w:t>
      </w:r>
      <w:r>
        <w:rPr>
          <w:rtl w:val="true"/>
        </w:rPr>
        <w:t xml:space="preserve">, </w:t>
      </w:r>
      <w:r>
        <w:rPr>
          <w:rtl w:val="true"/>
        </w:rPr>
        <w:t>שנחשב לסם קל</w:t>
      </w:r>
      <w:r>
        <w:rPr>
          <w:rtl w:val="true"/>
        </w:rPr>
        <w:t xml:space="preserve">, </w:t>
      </w:r>
      <w:r>
        <w:rPr>
          <w:rtl w:val="true"/>
        </w:rPr>
        <w:t>כדי למזער את הפגיעה ממעשי המערער</w:t>
      </w:r>
      <w:r>
        <w:rPr>
          <w:rtl w:val="true"/>
        </w:rPr>
        <w:t xml:space="preserve">. </w:t>
      </w:r>
      <w:r>
        <w:rPr>
          <w:rtl w:val="true"/>
        </w:rPr>
        <w:t>כך קבע בית המשפט קמא</w:t>
      </w:r>
      <w:r>
        <w:rPr>
          <w:rtl w:val="true"/>
        </w:rPr>
        <w:t xml:space="preserve">, </w:t>
      </w:r>
      <w:r>
        <w:rPr>
          <w:rtl w:val="true"/>
        </w:rPr>
        <w:t>לאור תסקיר המבחן כפי שתמציתו הובאה לעיל</w:t>
      </w:r>
      <w:r>
        <w:rPr>
          <w:rtl w:val="true"/>
        </w:rPr>
        <w:t xml:space="preserve">, </w:t>
      </w:r>
      <w:r>
        <w:rPr>
          <w:rtl w:val="true"/>
        </w:rPr>
        <w:t>כי קיים סיכון להישנות המכירות של הסמים על</w:t>
      </w:r>
      <w:r>
        <w:rPr>
          <w:rtl w:val="true"/>
        </w:rPr>
        <w:t>-</w:t>
      </w:r>
      <w:r>
        <w:rPr>
          <w:rtl w:val="true"/>
        </w:rPr>
        <w:t>ידי המערער באם ייגזר עליו עונש קל</w:t>
      </w:r>
      <w:r>
        <w:rPr>
          <w:rtl w:val="true"/>
        </w:rPr>
        <w:t xml:space="preserve">, </w:t>
      </w:r>
      <w:r>
        <w:rPr>
          <w:rtl w:val="true"/>
        </w:rPr>
        <w:t>וזאת גם בהתחשב בעובדה שמדובר במאסרו הראשון של המערער מאחורי סורג ובריח</w:t>
      </w:r>
      <w:r>
        <w:rPr>
          <w:rtl w:val="true"/>
        </w:rPr>
        <w:t xml:space="preserve">, </w:t>
      </w:r>
      <w:r>
        <w:rPr>
          <w:rtl w:val="true"/>
        </w:rPr>
        <w:t>שכן בהיותו נער הורשע בהחזקת סמים שלא לצריכה עצמית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מתחם הענישה שנקבע על</w:t>
      </w:r>
      <w:r>
        <w:rPr>
          <w:rtl w:val="true"/>
        </w:rPr>
        <w:t>-</w:t>
      </w:r>
      <w:r>
        <w:rPr>
          <w:rtl w:val="true"/>
        </w:rPr>
        <w:t>ידי בית המשפט קמא הולם את נסיבות ביצוע המכירות על</w:t>
      </w:r>
      <w:r>
        <w:rPr>
          <w:rtl w:val="true"/>
        </w:rPr>
        <w:t>-</w:t>
      </w:r>
      <w:r>
        <w:rPr>
          <w:rtl w:val="true"/>
        </w:rPr>
        <w:t>ידי המערער</w:t>
      </w:r>
      <w:r>
        <w:rPr>
          <w:rtl w:val="true"/>
        </w:rPr>
        <w:t xml:space="preserve">, </w:t>
      </w:r>
      <w:r>
        <w:rPr>
          <w:rtl w:val="true"/>
        </w:rPr>
        <w:t>הן מבחינת תדירותן והן מבחינת חלק מקוני הסמים</w:t>
      </w:r>
      <w:r>
        <w:rPr>
          <w:rtl w:val="true"/>
        </w:rPr>
        <w:t xml:space="preserve">, </w:t>
      </w:r>
      <w:r>
        <w:rPr>
          <w:rtl w:val="true"/>
        </w:rPr>
        <w:t>שהיו קטינים</w:t>
      </w:r>
      <w:r>
        <w:rPr>
          <w:rtl w:val="true"/>
        </w:rPr>
        <w:t xml:space="preserve">, </w:t>
      </w:r>
      <w:r>
        <w:rPr>
          <w:rtl w:val="true"/>
        </w:rPr>
        <w:t>וגובה הסכומים שקיבל המערער תמורת מכירת הסמים אינו משקף נכונה את מטרת הרווח שלשמה מכר את הסמים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לאור כל האמור לעיל</w:t>
      </w:r>
      <w:r>
        <w:rPr>
          <w:rtl w:val="true"/>
        </w:rPr>
        <w:t xml:space="preserve">, </w:t>
      </w:r>
      <w:r>
        <w:rPr>
          <w:rtl w:val="true"/>
        </w:rPr>
        <w:t>עונש המאסר שנגזר על המערער הוא עונש מידתי וסביר</w:t>
      </w:r>
      <w:r>
        <w:rPr>
          <w:rtl w:val="true"/>
        </w:rPr>
        <w:t xml:space="preserve">, </w:t>
      </w:r>
      <w:r>
        <w:rPr>
          <w:rtl w:val="true"/>
        </w:rPr>
        <w:t>ואיננו רואים מקום להתערב בו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שונה המצב לגבי עונש הקנס שהוטל על המערער</w:t>
      </w:r>
      <w:r>
        <w:rPr>
          <w:rtl w:val="true"/>
        </w:rPr>
        <w:t xml:space="preserve">, </w:t>
      </w:r>
      <w:r>
        <w:rPr>
          <w:rtl w:val="true"/>
        </w:rPr>
        <w:t>שגם אם העבירות נועדו לשם השגת רווח על חשבון בריאותם של הקטינים ושל הקונים האחרים</w:t>
      </w:r>
      <w:r>
        <w:rPr>
          <w:rtl w:val="true"/>
        </w:rPr>
        <w:t xml:space="preserve">, </w:t>
      </w:r>
      <w:r>
        <w:rPr>
          <w:rtl w:val="true"/>
        </w:rPr>
        <w:t>מן הראוי להתחשב במשך תקופת המאסר הארוכה יחסית ובהעדר משפחה תומכת המצדיקים את הפחתת סכום הקנס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לאור כל האור לעיל</w:t>
      </w:r>
      <w:r>
        <w:rPr>
          <w:rtl w:val="true"/>
        </w:rPr>
        <w:t xml:space="preserve">, </w:t>
      </w:r>
      <w:r>
        <w:rPr>
          <w:rtl w:val="true"/>
        </w:rPr>
        <w:t>אנו דוחים את הערעור כלפי עונש המאסר בפועל</w:t>
      </w:r>
      <w:r>
        <w:rPr>
          <w:rtl w:val="true"/>
        </w:rPr>
        <w:t xml:space="preserve">, </w:t>
      </w:r>
      <w:r>
        <w:rPr>
          <w:rtl w:val="true"/>
        </w:rPr>
        <w:t>ומקבלים את הערעור לגבי הקנס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אנו קובעים כי חלף הקנס שהוטל על</w:t>
      </w:r>
      <w:r>
        <w:rPr>
          <w:rtl w:val="true"/>
        </w:rPr>
        <w:t>-</w:t>
      </w:r>
      <w:r>
        <w:rPr>
          <w:rtl w:val="true"/>
        </w:rPr>
        <w:t>ידי בית משפט קמא</w:t>
      </w:r>
      <w:r>
        <w:rPr>
          <w:rtl w:val="true"/>
        </w:rPr>
        <w:t xml:space="preserve">, </w:t>
      </w:r>
      <w:r>
        <w:rPr>
          <w:rtl w:val="true"/>
        </w:rPr>
        <w:t xml:space="preserve">ישלם המערער קנס בגובה של </w:t>
      </w:r>
      <w:r>
        <w:rPr/>
        <w:t>1,500</w:t>
      </w:r>
      <w:r>
        <w:rPr>
          <w:rtl w:val="true"/>
        </w:rPr>
        <w:t xml:space="preserve"> ₪ </w:t>
      </w:r>
      <w:r>
        <w:rPr>
          <w:rtl w:val="true"/>
        </w:rPr>
        <w:t xml:space="preserve">שישולם ב </w:t>
      </w:r>
      <w:r>
        <w:rPr>
          <w:rtl w:val="true"/>
        </w:rPr>
        <w:t xml:space="preserve">-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תשלומים רצופים ושווים של </w:t>
      </w:r>
      <w:r>
        <w:rPr/>
        <w:t>300</w:t>
      </w:r>
      <w:r>
        <w:rPr>
          <w:rtl w:val="true"/>
        </w:rPr>
        <w:t xml:space="preserve"> ₪ </w:t>
      </w:r>
      <w:r>
        <w:rPr>
          <w:rtl w:val="true"/>
        </w:rPr>
        <w:t>כל אחד</w:t>
      </w:r>
      <w:r>
        <w:rPr>
          <w:rtl w:val="true"/>
        </w:rPr>
        <w:t xml:space="preserve">, </w:t>
      </w:r>
      <w:r>
        <w:rPr>
          <w:rtl w:val="true"/>
        </w:rPr>
        <w:t xml:space="preserve">החל מיום </w:t>
      </w:r>
      <w:r>
        <w:rPr/>
        <w:t>2.6.2018</w:t>
      </w:r>
      <w:r>
        <w:rPr>
          <w:rtl w:val="true"/>
        </w:rPr>
        <w:t xml:space="preserve">, </w:t>
      </w:r>
      <w:r>
        <w:rPr>
          <w:rtl w:val="true"/>
        </w:rPr>
        <w:t xml:space="preserve">ובכל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לחודש עד לפרעון המלא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לא ישולמו שני תשלומים</w:t>
      </w:r>
      <w:r>
        <w:rPr>
          <w:rtl w:val="true"/>
        </w:rPr>
        <w:t xml:space="preserve">, </w:t>
      </w:r>
      <w:r>
        <w:rPr>
          <w:rtl w:val="true"/>
        </w:rPr>
        <w:t>יועבר הקנס לגביה על</w:t>
      </w:r>
      <w:r>
        <w:rPr>
          <w:rtl w:val="true"/>
        </w:rPr>
        <w:t>-</w:t>
      </w:r>
      <w:r>
        <w:rPr>
          <w:rtl w:val="true"/>
        </w:rPr>
        <w:t>ידי המרכז לגביית קנסות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יתר חלקי גזר הדין ב</w:t>
      </w:r>
      <w:hyperlink r:id="rId3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.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. </w:t>
        </w:r>
        <w:r>
          <w:rPr>
            <w:rStyle w:val="Hyperlink"/>
            <w:color w:val="0000FF"/>
            <w:u w:val="single"/>
          </w:rPr>
          <w:t>46039-04-17</w:t>
        </w:r>
      </w:hyperlink>
      <w:r>
        <w:rPr>
          <w:rtl w:val="true"/>
        </w:rPr>
        <w:t xml:space="preserve"> (</w:t>
      </w:r>
      <w:r>
        <w:rPr>
          <w:rtl w:val="true"/>
        </w:rPr>
        <w:t>בית משפט השלום בראשל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), </w:t>
      </w:r>
      <w:r>
        <w:rPr>
          <w:rtl w:val="true"/>
        </w:rPr>
        <w:t>יעמדו בתוקפם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color w:val="FFFFFF"/>
          <w:sz w:val="6"/>
          <w:szCs w:val="6"/>
        </w:rPr>
        <w:t>5129371</w:t>
      </w:r>
      <w:r>
        <w:rPr>
          <w:rtl w:val="true"/>
        </w:rPr>
        <w:t>&lt;</w:t>
      </w:r>
      <w:r>
        <w:rPr/>
        <w:t>#3#</w:t>
      </w:r>
      <w:r>
        <w:rPr>
          <w:rtl w:val="true"/>
        </w:rPr>
        <w:t>&gt;</w:t>
      </w:r>
    </w:p>
    <w:tbl>
      <w:tblPr>
        <w:bidiVisual w:val="true"/>
        <w:tblW w:w="8516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4"/>
        <w:gridCol w:w="11"/>
        <w:gridCol w:w="272"/>
        <w:gridCol w:w="2540"/>
        <w:gridCol w:w="12"/>
        <w:gridCol w:w="229"/>
        <w:gridCol w:w="12"/>
        <w:gridCol w:w="2724"/>
        <w:gridCol w:w="12"/>
      </w:tblGrid>
      <w:tr>
        <w:trPr/>
        <w:tc>
          <w:tcPr>
            <w:tcW w:w="270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1244" w:leader="none"/>
              </w:tabs>
              <w:ind w:end="0"/>
              <w:jc w:val="start"/>
              <w:rPr/>
            </w:pPr>
            <w:r>
              <w:rPr>
                <w:b/>
                <w:bCs/>
                <w:color w:val="FFFFFF"/>
                <w:sz w:val="2"/>
                <w:szCs w:val="2"/>
              </w:rPr>
              <w:t>54678313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ניתן והודע היום כ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ב כסלו תשע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ח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>10/12/2017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במעמד ב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 הצדדים והמערער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. </w:t>
            </w:r>
            <w:r>
              <w:rPr>
                <w:rtl w:val="true"/>
              </w:rPr>
              <w:tab/>
            </w:r>
          </w:p>
        </w:tc>
        <w:tc>
          <w:tcPr>
            <w:tcW w:w="283" w:type="dxa"/>
            <w:gridSpan w:val="2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52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41" w:type="dxa"/>
            <w:gridSpan w:val="2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3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715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אברהם  טל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אב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ד</w:t>
            </w:r>
          </w:p>
        </w:tc>
        <w:tc>
          <w:tcPr>
            <w:tcW w:w="272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40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שמואל בורנשטין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</w:t>
            </w:r>
          </w:p>
        </w:tc>
        <w:tc>
          <w:tcPr>
            <w:tcW w:w="241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73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/>
            </w:pPr>
            <w:r>
              <w:rPr>
                <w:b/>
                <w:b/>
                <w:bCs/>
                <w:rtl w:val="true"/>
              </w:rPr>
              <w:t>נאוה</w:t>
            </w:r>
            <w:r>
              <w:rPr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בכור</w:t>
            </w:r>
            <w:r>
              <w:rPr>
                <w:b/>
                <w:bCs/>
                <w:rtl w:val="true"/>
              </w:rPr>
              <w:t xml:space="preserve">, </w:t>
            </w:r>
            <w:r>
              <w:rPr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אברהם טל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4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5"/>
      <w:footerReference w:type="default" r:id="rId6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24112-09-17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ריצ</w:t>
    </w:r>
    <w:r>
      <w:rPr>
        <w:color w:val="000000"/>
        <w:sz w:val="22"/>
        <w:szCs w:val="22"/>
        <w:rtl w:val="true"/>
      </w:rPr>
      <w:t>'</w:t>
    </w:r>
    <w:r>
      <w:rPr>
        <w:color w:val="000000"/>
        <w:sz w:val="22"/>
        <w:sz w:val="22"/>
        <w:szCs w:val="22"/>
        <w:rtl w:val="true"/>
      </w:rPr>
      <w:t>רד טוט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Style14">
    <w:name w:val="כותרת עליונה תו"/>
    <w:qFormat/>
    <w:rPr>
      <w:rFonts w:ascii="David" w:hAnsi="David" w:eastAsia="David" w:cs="David"/>
      <w:sz w:val="24"/>
      <w:szCs w:val="24"/>
    </w:rPr>
  </w:style>
  <w:style w:type="character" w:styleId="Style15">
    <w:name w:val="כותרת תחתונה תו"/>
    <w:qFormat/>
    <w:rPr>
      <w:rFonts w:ascii="David" w:hAnsi="David" w:eastAsia="David" w:cs="David"/>
      <w:sz w:val="24"/>
      <w:szCs w:val="24"/>
    </w:rPr>
  </w:style>
  <w:style w:type="character" w:styleId="PageNumber">
    <w:name w:val="page number"/>
    <w:rPr/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2554482" TargetMode="External"/><Relationship Id="rId3" Type="http://schemas.openxmlformats.org/officeDocument/2006/relationships/hyperlink" Target="http://www.nevo.co.il/case/22554482" TargetMode="External"/><Relationship Id="rId4" Type="http://schemas.openxmlformats.org/officeDocument/2006/relationships/hyperlink" Target="http://www.nevo.co.il/advertisements/nevo-100.doc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2017-12-18T13:06:00Z</dcterms:created>
  <dc:creator> </dc:creator>
  <dc:description/>
  <cp:keywords/>
  <dc:language>en-IL</dc:language>
  <cp:lastModifiedBy>run</cp:lastModifiedBy>
  <dcterms:modified xsi:type="dcterms:W3CDTF">2017-12-18T13:06:00Z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ריצ'רד טוט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22554482:2</vt:lpwstr>
  </property>
  <property fmtid="{D5CDD505-2E9C-101B-9397-08002B2CF9AE}" pid="9" name="CITY">
    <vt:lpwstr>מרכז</vt:lpwstr>
  </property>
  <property fmtid="{D5CDD505-2E9C-101B-9397-08002B2CF9AE}" pid="10" name="DATE">
    <vt:lpwstr>20171210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אברהם טל;שמואל בורנשטין;נאוה בכור</vt:lpwstr>
  </property>
  <property fmtid="{D5CDD505-2E9C-101B-9397-08002B2CF9AE}" pid="14" name="LAWYER">
    <vt:lpwstr>משה אלון הישאם קבלאן;אילן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NEWPARTA">
    <vt:lpwstr>24112</vt:lpwstr>
  </property>
  <property fmtid="{D5CDD505-2E9C-101B-9397-08002B2CF9AE}" pid="21" name="NEWPARTB">
    <vt:lpwstr>09</vt:lpwstr>
  </property>
  <property fmtid="{D5CDD505-2E9C-101B-9397-08002B2CF9AE}" pid="22" name="NEWPARTC">
    <vt:lpwstr>17</vt:lpwstr>
  </property>
  <property fmtid="{D5CDD505-2E9C-101B-9397-08002B2CF9AE}" pid="23" name="NEWPROC">
    <vt:lpwstr>עפג</vt:lpwstr>
  </property>
  <property fmtid="{D5CDD505-2E9C-101B-9397-08002B2CF9AE}" pid="24" name="PADIMAIL">
    <vt:lpwstr/>
  </property>
  <property fmtid="{D5CDD505-2E9C-101B-9397-08002B2CF9AE}" pid="25" name="PAGE">
    <vt:lpwstr/>
  </property>
  <property fmtid="{D5CDD505-2E9C-101B-9397-08002B2CF9AE}" pid="26" name="PART">
    <vt:lpwstr/>
  </property>
  <property fmtid="{D5CDD505-2E9C-101B-9397-08002B2CF9AE}" pid="27" name="PROCESS">
    <vt:lpwstr/>
  </property>
  <property fmtid="{D5CDD505-2E9C-101B-9397-08002B2CF9AE}" pid="28" name="PROCNUM">
    <vt:lpwstr/>
  </property>
  <property fmtid="{D5CDD505-2E9C-101B-9397-08002B2CF9AE}" pid="29" name="PROCYEAR">
    <vt:lpwstr/>
  </property>
  <property fmtid="{D5CDD505-2E9C-101B-9397-08002B2CF9AE}" pid="30" name="PSAKDIN">
    <vt:lpwstr>פסק-דין</vt:lpwstr>
  </property>
  <property fmtid="{D5CDD505-2E9C-101B-9397-08002B2CF9AE}" pid="31" name="TYPE">
    <vt:lpwstr>2</vt:lpwstr>
  </property>
  <property fmtid="{D5CDD505-2E9C-101B-9397-08002B2CF9AE}" pid="32" name="TYPE_ABS_DATE">
    <vt:lpwstr>390020171210</vt:lpwstr>
  </property>
  <property fmtid="{D5CDD505-2E9C-101B-9397-08002B2CF9AE}" pid="33" name="TYPE_N_DATE">
    <vt:lpwstr>39020171210</vt:lpwstr>
  </property>
  <property fmtid="{D5CDD505-2E9C-101B-9397-08002B2CF9AE}" pid="34" name="VOLUME">
    <vt:lpwstr/>
  </property>
  <property fmtid="{D5CDD505-2E9C-101B-9397-08002B2CF9AE}" pid="35" name="WORDNUMPAGES">
    <vt:lpwstr>3</vt:lpwstr>
  </property>
</Properties>
</file>