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word/fontTable.xml" ContentType="application/vnd.openxmlformats-officedocument.wordprocessingml.fontTable+xml"/>
  <Override PartName="/word/_rels/document.xml.rels" ContentType="application/vnd.openxmlformats-package.relationships+xml"/>
  <Override PartName="/word/_rels/footer1.xml.rels" ContentType="application/vnd.openxmlformats-package.relationships+xml"/>
  <Override PartName="/word/media/image1.jpeg" ContentType="image/jpeg"/>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bidiVisual w:val="true"/>
        <w:tblW w:w="8721" w:type="dxa"/>
        <w:jc w:val="center"/>
        <w:tblInd w:w="0" w:type="dxa"/>
        <w:tblLayout w:type="fixed"/>
        <w:tblCellMar>
          <w:top w:w="0" w:type="dxa"/>
          <w:start w:w="108" w:type="dxa"/>
          <w:bottom w:w="0" w:type="dxa"/>
          <w:end w:w="108" w:type="dxa"/>
        </w:tblCellMar>
      </w:tblPr>
      <w:tblGrid>
        <w:gridCol w:w="5047"/>
        <w:gridCol w:w="3674"/>
      </w:tblGrid>
      <w:tr>
        <w:trPr>
          <w:trHeight w:val="418" w:hRule="exact"/>
        </w:trPr>
        <w:tc>
          <w:tcPr>
            <w:tcW w:w="8721" w:type="dxa"/>
            <w:gridSpan w:val="2"/>
            <w:tcBorders/>
          </w:tcPr>
          <w:p>
            <w:pPr>
              <w:pStyle w:val="Header"/>
              <w:ind w:end="0"/>
              <w:jc w:val="center"/>
              <w:rPr>
                <w:rFonts w:ascii="Tahoma" w:hAnsi="Tahoma" w:cs="Tahoma"/>
                <w:b/>
                <w:bCs/>
                <w:color w:val="000080"/>
                <w:lang w:val="en-US" w:eastAsia="en-US"/>
              </w:rPr>
            </w:pPr>
            <w:r>
              <w:rPr>
                <w:rFonts w:ascii="Tahoma" w:hAnsi="Tahoma" w:cs="Tahoma"/>
                <w:b/>
                <w:b/>
                <w:bCs/>
                <w:color w:val="000080"/>
                <w:rtl w:val="true"/>
                <w:lang w:val="en-US" w:eastAsia="en-US"/>
              </w:rPr>
              <w:t>בית המשפט המחוזי בחיפה בשבתו כבית</w:t>
            </w:r>
            <w:r>
              <w:rPr>
                <w:rFonts w:cs="Tahoma" w:ascii="Tahoma" w:hAnsi="Tahoma"/>
                <w:b/>
                <w:bCs/>
                <w:color w:val="000080"/>
                <w:rtl w:val="true"/>
                <w:lang w:val="en-US" w:eastAsia="en-US"/>
              </w:rPr>
              <w:t>-</w:t>
            </w:r>
            <w:r>
              <w:rPr>
                <w:rFonts w:ascii="Tahoma" w:hAnsi="Tahoma" w:cs="Tahoma"/>
                <w:b/>
                <w:b/>
                <w:bCs/>
                <w:color w:val="000080"/>
                <w:rtl w:val="true"/>
                <w:lang w:val="en-US" w:eastAsia="en-US"/>
              </w:rPr>
              <w:t>משפט לערעורים פליליים</w:t>
            </w:r>
          </w:p>
        </w:tc>
      </w:tr>
      <w:tr>
        <w:trPr>
          <w:trHeight w:val="337" w:hRule="atLeast"/>
        </w:trPr>
        <w:tc>
          <w:tcPr>
            <w:tcW w:w="5047" w:type="dxa"/>
            <w:tcBorders/>
          </w:tcPr>
          <w:p>
            <w:pPr>
              <w:pStyle w:val="Normal"/>
              <w:snapToGrid w:val="false"/>
              <w:ind w:end="0"/>
              <w:jc w:val="start"/>
              <w:rPr>
                <w:rFonts w:ascii="Tahoma" w:hAnsi="Tahoma" w:cs="Tahoma"/>
                <w:b/>
                <w:bCs/>
                <w:color w:val="000080"/>
                <w:sz w:val="26"/>
                <w:szCs w:val="26"/>
                <w:lang w:val="en-US" w:eastAsia="en-US"/>
              </w:rPr>
            </w:pPr>
            <w:r>
              <w:rPr>
                <w:rFonts w:cs="Tahoma" w:ascii="Tahoma" w:hAnsi="Tahoma"/>
                <w:b/>
                <w:bCs/>
                <w:color w:val="000080"/>
                <w:sz w:val="26"/>
                <w:szCs w:val="26"/>
                <w:rtl w:val="true"/>
                <w:lang w:val="en-US" w:eastAsia="en-US"/>
              </w:rPr>
            </w:r>
          </w:p>
        </w:tc>
        <w:tc>
          <w:tcPr>
            <w:tcW w:w="3674" w:type="dxa"/>
            <w:tcBorders/>
          </w:tcPr>
          <w:p>
            <w:pPr>
              <w:pStyle w:val="Header"/>
              <w:ind w:end="0"/>
              <w:jc w:val="end"/>
              <w:rPr>
                <w:b/>
                <w:bCs/>
                <w:sz w:val="26"/>
                <w:szCs w:val="26"/>
                <w:lang w:val="en-US" w:eastAsia="en-US"/>
              </w:rPr>
            </w:pPr>
            <w:r>
              <w:rPr>
                <w:b/>
                <w:bCs/>
                <w:sz w:val="26"/>
                <w:szCs w:val="26"/>
                <w:lang w:val="en-US" w:eastAsia="en-US"/>
              </w:rPr>
              <w:t>17</w:t>
            </w:r>
            <w:r>
              <w:rPr>
                <w:b/>
                <w:bCs/>
                <w:sz w:val="26"/>
                <w:szCs w:val="26"/>
                <w:rtl w:val="true"/>
                <w:lang w:val="en-US" w:eastAsia="en-US"/>
              </w:rPr>
              <w:t xml:space="preserve"> </w:t>
            </w:r>
            <w:r>
              <w:rPr>
                <w:b/>
                <w:b/>
                <w:bCs/>
                <w:sz w:val="26"/>
                <w:sz w:val="26"/>
                <w:szCs w:val="26"/>
                <w:rtl w:val="true"/>
                <w:lang w:val="en-US" w:eastAsia="en-US"/>
              </w:rPr>
              <w:t>דצמבר</w:t>
            </w:r>
            <w:r>
              <w:rPr>
                <w:rFonts w:cs="Times New Roman"/>
                <w:b/>
                <w:b/>
                <w:bCs/>
                <w:sz w:val="26"/>
                <w:sz w:val="26"/>
                <w:szCs w:val="26"/>
                <w:rtl w:val="true"/>
                <w:lang w:val="en-US" w:eastAsia="en-US"/>
              </w:rPr>
              <w:t xml:space="preserve"> </w:t>
            </w:r>
            <w:r>
              <w:rPr>
                <w:b/>
                <w:bCs/>
                <w:sz w:val="26"/>
                <w:szCs w:val="26"/>
                <w:lang w:val="en-US" w:eastAsia="en-US"/>
              </w:rPr>
              <w:t>2015</w:t>
            </w:r>
          </w:p>
        </w:tc>
      </w:tr>
      <w:tr>
        <w:trPr>
          <w:trHeight w:val="337" w:hRule="atLeast"/>
        </w:trPr>
        <w:tc>
          <w:tcPr>
            <w:tcW w:w="8721" w:type="dxa"/>
            <w:gridSpan w:val="2"/>
            <w:tcBorders/>
          </w:tcPr>
          <w:p>
            <w:pPr>
              <w:pStyle w:val="Normal"/>
              <w:ind w:end="0"/>
              <w:jc w:val="start"/>
              <w:rPr>
                <w:b/>
                <w:bCs/>
                <w:sz w:val="26"/>
                <w:szCs w:val="26"/>
                <w:lang w:val="en-US" w:eastAsia="en-US"/>
              </w:rPr>
            </w:pPr>
            <w:r>
              <w:rPr>
                <w:b/>
                <w:b/>
                <w:bCs/>
                <w:sz w:val="26"/>
                <w:sz w:val="26"/>
                <w:szCs w:val="26"/>
                <w:rtl w:val="true"/>
                <w:lang w:val="en-US" w:eastAsia="en-US"/>
              </w:rPr>
              <w:t>עפ</w:t>
            </w:r>
            <w:r>
              <w:rPr>
                <w:b/>
                <w:bCs/>
                <w:sz w:val="26"/>
                <w:szCs w:val="26"/>
                <w:rtl w:val="true"/>
                <w:lang w:val="en-US" w:eastAsia="en-US"/>
              </w:rPr>
              <w:t>"</w:t>
            </w:r>
            <w:r>
              <w:rPr>
                <w:b/>
                <w:b/>
                <w:bCs/>
                <w:sz w:val="26"/>
                <w:sz w:val="26"/>
                <w:szCs w:val="26"/>
                <w:rtl w:val="true"/>
                <w:lang w:val="en-US" w:eastAsia="en-US"/>
              </w:rPr>
              <w:t>ג</w:t>
            </w:r>
            <w:r>
              <w:rPr>
                <w:rFonts w:cs="Times New Roman"/>
                <w:b/>
                <w:b/>
                <w:bCs/>
                <w:sz w:val="26"/>
                <w:sz w:val="26"/>
                <w:szCs w:val="26"/>
                <w:rtl w:val="true"/>
                <w:lang w:val="en-US" w:eastAsia="en-US"/>
              </w:rPr>
              <w:t xml:space="preserve"> </w:t>
            </w:r>
            <w:r>
              <w:rPr>
                <w:b/>
                <w:bCs/>
                <w:sz w:val="26"/>
                <w:szCs w:val="26"/>
                <w:lang w:val="en-US" w:eastAsia="en-US"/>
              </w:rPr>
              <w:t>28110-10-15</w:t>
            </w:r>
            <w:r>
              <w:rPr>
                <w:b/>
                <w:bCs/>
                <w:sz w:val="26"/>
                <w:szCs w:val="26"/>
                <w:rtl w:val="true"/>
                <w:lang w:val="en-US" w:eastAsia="en-US"/>
              </w:rPr>
              <w:t xml:space="preserve"> </w:t>
            </w:r>
            <w:r>
              <w:rPr>
                <w:b/>
                <w:b/>
                <w:bCs/>
                <w:sz w:val="26"/>
                <w:sz w:val="26"/>
                <w:szCs w:val="26"/>
                <w:rtl w:val="true"/>
                <w:lang w:val="en-US" w:eastAsia="en-US"/>
              </w:rPr>
              <w:t>מדינת</w:t>
            </w:r>
            <w:r>
              <w:rPr>
                <w:rFonts w:cs="Times New Roman"/>
                <w:b/>
                <w:b/>
                <w:bCs/>
                <w:sz w:val="26"/>
                <w:sz w:val="26"/>
                <w:szCs w:val="26"/>
                <w:rtl w:val="true"/>
                <w:lang w:val="en-US" w:eastAsia="en-US"/>
              </w:rPr>
              <w:t xml:space="preserve"> </w:t>
            </w:r>
            <w:r>
              <w:rPr>
                <w:b/>
                <w:b/>
                <w:bCs/>
                <w:sz w:val="26"/>
                <w:sz w:val="26"/>
                <w:szCs w:val="26"/>
                <w:rtl w:val="true"/>
                <w:lang w:val="en-US" w:eastAsia="en-US"/>
              </w:rPr>
              <w:t>ישראל</w:t>
            </w:r>
            <w:r>
              <w:rPr>
                <w:rFonts w:cs="Times New Roman"/>
                <w:b/>
                <w:b/>
                <w:bCs/>
                <w:sz w:val="26"/>
                <w:sz w:val="26"/>
                <w:szCs w:val="26"/>
                <w:rtl w:val="true"/>
                <w:lang w:val="en-US" w:eastAsia="en-US"/>
              </w:rPr>
              <w:t xml:space="preserve"> </w:t>
            </w:r>
            <w:r>
              <w:rPr>
                <w:b/>
                <w:b/>
                <w:bCs/>
                <w:sz w:val="26"/>
                <w:sz w:val="26"/>
                <w:szCs w:val="26"/>
                <w:rtl w:val="true"/>
                <w:lang w:val="en-US" w:eastAsia="en-US"/>
              </w:rPr>
              <w:t>נ</w:t>
            </w:r>
            <w:r>
              <w:rPr>
                <w:b/>
                <w:bCs/>
                <w:sz w:val="26"/>
                <w:szCs w:val="26"/>
                <w:rtl w:val="true"/>
                <w:lang w:val="en-US" w:eastAsia="en-US"/>
              </w:rPr>
              <w:t xml:space="preserve">' </w:t>
            </w:r>
            <w:r>
              <w:rPr>
                <w:b/>
                <w:b/>
                <w:bCs/>
                <w:sz w:val="26"/>
                <w:sz w:val="26"/>
                <w:szCs w:val="26"/>
                <w:rtl w:val="true"/>
                <w:lang w:val="en-US" w:eastAsia="en-US"/>
              </w:rPr>
              <w:t>דוד</w:t>
            </w:r>
          </w:p>
          <w:p>
            <w:pPr>
              <w:pStyle w:val="Normal"/>
              <w:ind w:end="0"/>
              <w:jc w:val="start"/>
              <w:rPr>
                <w:b/>
                <w:bCs/>
                <w:sz w:val="26"/>
                <w:szCs w:val="26"/>
                <w:lang w:val="en-US" w:eastAsia="en-US"/>
              </w:rPr>
            </w:pPr>
            <w:r>
              <w:rPr>
                <w:b/>
                <w:bCs/>
                <w:sz w:val="26"/>
                <w:szCs w:val="26"/>
                <w:rtl w:val="true"/>
                <w:lang w:val="en-US" w:eastAsia="en-US"/>
              </w:rPr>
            </w:r>
          </w:p>
        </w:tc>
      </w:tr>
    </w:tbl>
    <w:p>
      <w:pPr>
        <w:pStyle w:val="Header"/>
        <w:ind w:end="0"/>
        <w:jc w:val="start"/>
        <w:rPr>
          <w:lang w:val="en-US" w:eastAsia="en-US"/>
        </w:rPr>
      </w:pPr>
      <w:r>
        <w:rPr>
          <w:rFonts w:cs="Times New Roman"/>
          <w:rtl w:val="true"/>
          <w:lang w:val="en-US" w:eastAsia="en-US"/>
        </w:rPr>
        <w:t xml:space="preserve"> </w:t>
      </w:r>
    </w:p>
    <w:p>
      <w:pPr>
        <w:pStyle w:val="Normal"/>
        <w:ind w:end="0"/>
        <w:jc w:val="start"/>
        <w:rPr>
          <w:lang w:val="en-US" w:eastAsia="en-US"/>
        </w:rPr>
      </w:pPr>
      <w:r>
        <w:rPr>
          <w:rtl w:val="true"/>
          <w:lang w:val="en-US" w:eastAsia="en-US"/>
        </w:rPr>
      </w:r>
    </w:p>
    <w:tbl>
      <w:tblPr>
        <w:bidiVisual w:val="true"/>
        <w:tblW w:w="8802" w:type="dxa"/>
        <w:jc w:val="start"/>
        <w:tblInd w:w="-162" w:type="dxa"/>
        <w:tblLayout w:type="fixed"/>
        <w:tblCellMar>
          <w:top w:w="0" w:type="dxa"/>
          <w:start w:w="0" w:type="dxa"/>
          <w:bottom w:w="0" w:type="dxa"/>
          <w:end w:w="0" w:type="dxa"/>
        </w:tblCellMar>
      </w:tblPr>
      <w:tblGrid>
        <w:gridCol w:w="83"/>
        <w:gridCol w:w="2797"/>
        <w:gridCol w:w="5922"/>
      </w:tblGrid>
      <w:tr>
        <w:trPr/>
        <w:tc>
          <w:tcPr>
            <w:tcW w:w="83" w:type="dxa"/>
            <w:tcBorders/>
          </w:tcPr>
          <w:p>
            <w:pPr>
              <w:pStyle w:val="TableHeading"/>
              <w:rPr/>
            </w:pPr>
            <w:r>
              <w:rPr>
                <w:rtl w:val="true"/>
              </w:rPr>
            </w:r>
          </w:p>
        </w:tc>
        <w:tc>
          <w:tcPr>
            <w:tcW w:w="8719" w:type="dxa"/>
            <w:gridSpan w:val="2"/>
            <w:tcBorders/>
            <w:tcMar>
              <w:start w:w="108" w:type="dxa"/>
              <w:end w:w="108" w:type="dxa"/>
            </w:tcMar>
          </w:tcPr>
          <w:p>
            <w:pPr>
              <w:pStyle w:val="Normal"/>
              <w:spacing w:lineRule="auto" w:line="360"/>
              <w:ind w:end="0"/>
              <w:jc w:val="start"/>
              <w:rPr>
                <w:b/>
                <w:bCs/>
                <w:sz w:val="26"/>
                <w:szCs w:val="26"/>
              </w:rPr>
            </w:pPr>
            <w:r>
              <w:rPr>
                <w:b/>
                <w:b/>
                <w:bCs/>
                <w:sz w:val="26"/>
                <w:sz w:val="26"/>
                <w:szCs w:val="26"/>
                <w:rtl w:val="true"/>
              </w:rPr>
              <w:t>בפני</w:t>
            </w:r>
            <w:r>
              <w:rPr>
                <w:rFonts w:cs="Times New Roman"/>
                <w:b/>
                <w:b/>
                <w:bCs/>
                <w:sz w:val="26"/>
                <w:sz w:val="26"/>
                <w:szCs w:val="26"/>
                <w:rtl w:val="true"/>
              </w:rPr>
              <w:t xml:space="preserve"> </w:t>
            </w:r>
            <w:r>
              <w:rPr>
                <w:b/>
                <w:b/>
                <w:bCs/>
                <w:sz w:val="26"/>
                <w:sz w:val="26"/>
                <w:szCs w:val="26"/>
                <w:rtl w:val="true"/>
              </w:rPr>
              <w:t>הרכב</w:t>
            </w:r>
            <w:r>
              <w:rPr>
                <w:rFonts w:cs="Times New Roman"/>
                <w:b/>
                <w:b/>
                <w:bCs/>
                <w:sz w:val="26"/>
                <w:sz w:val="26"/>
                <w:szCs w:val="26"/>
                <w:rtl w:val="true"/>
              </w:rPr>
              <w:t xml:space="preserve"> </w:t>
            </w:r>
            <w:r>
              <w:rPr>
                <w:b/>
                <w:b/>
                <w:bCs/>
                <w:sz w:val="26"/>
                <w:sz w:val="26"/>
                <w:szCs w:val="26"/>
                <w:rtl w:val="true"/>
              </w:rPr>
              <w:t>כב</w:t>
            </w:r>
            <w:r>
              <w:rPr>
                <w:b/>
                <w:bCs/>
                <w:sz w:val="26"/>
                <w:szCs w:val="26"/>
                <w:rtl w:val="true"/>
              </w:rPr>
              <w:t xml:space="preserve">' </w:t>
            </w:r>
            <w:r>
              <w:rPr>
                <w:b/>
                <w:b/>
                <w:bCs/>
                <w:sz w:val="26"/>
                <w:sz w:val="26"/>
                <w:szCs w:val="26"/>
                <w:rtl w:val="true"/>
              </w:rPr>
              <w:t>השופטים</w:t>
            </w:r>
            <w:r>
              <w:rPr>
                <w:b/>
                <w:bCs/>
                <w:sz w:val="26"/>
                <w:szCs w:val="26"/>
                <w:rtl w:val="true"/>
              </w:rPr>
              <w:t>:</w:t>
            </w:r>
          </w:p>
          <w:p>
            <w:pPr>
              <w:pStyle w:val="Normal"/>
              <w:spacing w:lineRule="auto" w:line="360"/>
              <w:ind w:end="0"/>
              <w:jc w:val="start"/>
              <w:rPr>
                <w:b/>
                <w:bCs/>
                <w:sz w:val="26"/>
                <w:szCs w:val="26"/>
              </w:rPr>
            </w:pPr>
            <w:r>
              <w:rPr>
                <w:rFonts w:cs="Times New Roman"/>
                <w:b/>
                <w:bCs/>
                <w:sz w:val="26"/>
                <w:szCs w:val="26"/>
                <w:rtl w:val="true"/>
              </w:rPr>
              <w:t xml:space="preserve">      </w:t>
            </w:r>
            <w:r>
              <w:rPr>
                <w:b/>
                <w:b/>
                <w:bCs/>
                <w:sz w:val="26"/>
                <w:sz w:val="26"/>
                <w:szCs w:val="26"/>
                <w:rtl w:val="true"/>
              </w:rPr>
              <w:t>רון</w:t>
            </w:r>
            <w:r>
              <w:rPr>
                <w:rFonts w:cs="Times New Roman"/>
                <w:b/>
                <w:b/>
                <w:bCs/>
                <w:sz w:val="26"/>
                <w:sz w:val="26"/>
                <w:szCs w:val="26"/>
                <w:rtl w:val="true"/>
              </w:rPr>
              <w:t xml:space="preserve"> </w:t>
            </w:r>
            <w:r>
              <w:rPr>
                <w:b/>
                <w:b/>
                <w:bCs/>
                <w:sz w:val="26"/>
                <w:sz w:val="26"/>
                <w:szCs w:val="26"/>
                <w:rtl w:val="true"/>
              </w:rPr>
              <w:t>שפירא</w:t>
            </w:r>
            <w:r>
              <w:rPr>
                <w:b/>
                <w:bCs/>
                <w:sz w:val="26"/>
                <w:szCs w:val="26"/>
                <w:rtl w:val="true"/>
              </w:rPr>
              <w:t xml:space="preserve">, </w:t>
            </w:r>
            <w:r>
              <w:rPr>
                <w:b/>
                <w:b/>
                <w:bCs/>
                <w:sz w:val="26"/>
                <w:sz w:val="26"/>
                <w:szCs w:val="26"/>
                <w:rtl w:val="true"/>
              </w:rPr>
              <w:t>סגן</w:t>
            </w:r>
            <w:r>
              <w:rPr>
                <w:rFonts w:cs="Times New Roman"/>
                <w:b/>
                <w:b/>
                <w:bCs/>
                <w:sz w:val="26"/>
                <w:sz w:val="26"/>
                <w:szCs w:val="26"/>
                <w:rtl w:val="true"/>
              </w:rPr>
              <w:t xml:space="preserve"> </w:t>
            </w:r>
            <w:r>
              <w:rPr>
                <w:b/>
                <w:b/>
                <w:bCs/>
                <w:sz w:val="26"/>
                <w:sz w:val="26"/>
                <w:szCs w:val="26"/>
                <w:rtl w:val="true"/>
              </w:rPr>
              <w:t>נשיא</w:t>
            </w:r>
            <w:r>
              <w:rPr>
                <w:rFonts w:cs="Times New Roman"/>
                <w:b/>
                <w:b/>
                <w:bCs/>
                <w:sz w:val="26"/>
                <w:sz w:val="26"/>
                <w:szCs w:val="26"/>
                <w:rtl w:val="true"/>
              </w:rPr>
              <w:t xml:space="preserve"> </w:t>
            </w:r>
            <w:r>
              <w:rPr>
                <w:b/>
                <w:bCs/>
                <w:sz w:val="26"/>
                <w:szCs w:val="26"/>
                <w:rtl w:val="true"/>
              </w:rPr>
              <w:t>[</w:t>
            </w:r>
            <w:r>
              <w:rPr>
                <w:b/>
                <w:b/>
                <w:bCs/>
                <w:sz w:val="26"/>
                <w:sz w:val="26"/>
                <w:szCs w:val="26"/>
                <w:rtl w:val="true"/>
              </w:rPr>
              <w:t>אב</w:t>
            </w:r>
            <w:r>
              <w:rPr>
                <w:b/>
                <w:bCs/>
                <w:sz w:val="26"/>
                <w:szCs w:val="26"/>
                <w:rtl w:val="true"/>
              </w:rPr>
              <w:t>"</w:t>
            </w:r>
            <w:r>
              <w:rPr>
                <w:b/>
                <w:b/>
                <w:bCs/>
                <w:sz w:val="26"/>
                <w:sz w:val="26"/>
                <w:szCs w:val="26"/>
                <w:rtl w:val="true"/>
              </w:rPr>
              <w:t>ד</w:t>
            </w:r>
            <w:r>
              <w:rPr>
                <w:b/>
                <w:bCs/>
                <w:sz w:val="26"/>
                <w:szCs w:val="26"/>
                <w:rtl w:val="true"/>
              </w:rPr>
              <w:t>]</w:t>
            </w:r>
          </w:p>
          <w:p>
            <w:pPr>
              <w:pStyle w:val="Normal"/>
              <w:spacing w:lineRule="auto" w:line="360"/>
              <w:ind w:end="0"/>
              <w:jc w:val="start"/>
              <w:rPr>
                <w:b/>
                <w:bCs/>
                <w:sz w:val="26"/>
                <w:szCs w:val="26"/>
              </w:rPr>
            </w:pPr>
            <w:r>
              <w:rPr>
                <w:rFonts w:cs="Times New Roman"/>
                <w:b/>
                <w:bCs/>
                <w:sz w:val="26"/>
                <w:szCs w:val="26"/>
                <w:rtl w:val="true"/>
              </w:rPr>
              <w:t xml:space="preserve">      </w:t>
            </w:r>
            <w:r>
              <w:rPr>
                <w:b/>
                <w:b/>
                <w:bCs/>
                <w:sz w:val="26"/>
                <w:sz w:val="26"/>
                <w:szCs w:val="26"/>
                <w:rtl w:val="true"/>
              </w:rPr>
              <w:t>בטינה</w:t>
            </w:r>
            <w:r>
              <w:rPr>
                <w:rFonts w:cs="Times New Roman"/>
                <w:b/>
                <w:b/>
                <w:bCs/>
                <w:sz w:val="26"/>
                <w:sz w:val="26"/>
                <w:szCs w:val="26"/>
                <w:rtl w:val="true"/>
              </w:rPr>
              <w:t xml:space="preserve"> </w:t>
            </w:r>
            <w:r>
              <w:rPr>
                <w:b/>
                <w:b/>
                <w:bCs/>
                <w:sz w:val="26"/>
                <w:sz w:val="26"/>
                <w:szCs w:val="26"/>
                <w:rtl w:val="true"/>
              </w:rPr>
              <w:t>טאובר</w:t>
            </w:r>
          </w:p>
          <w:p>
            <w:pPr>
              <w:pStyle w:val="Normal"/>
              <w:spacing w:lineRule="auto" w:line="360"/>
              <w:ind w:end="0"/>
              <w:jc w:val="start"/>
              <w:rPr>
                <w:b/>
                <w:bCs/>
                <w:sz w:val="26"/>
                <w:szCs w:val="26"/>
              </w:rPr>
            </w:pPr>
            <w:r>
              <w:rPr>
                <w:rFonts w:cs="Times New Roman"/>
                <w:b/>
                <w:bCs/>
                <w:sz w:val="26"/>
                <w:szCs w:val="26"/>
                <w:rtl w:val="true"/>
              </w:rPr>
              <w:t xml:space="preserve">      </w:t>
            </w:r>
            <w:r>
              <w:rPr>
                <w:b/>
                <w:b/>
                <w:bCs/>
                <w:sz w:val="26"/>
                <w:sz w:val="26"/>
                <w:szCs w:val="26"/>
                <w:rtl w:val="true"/>
              </w:rPr>
              <w:t>תמר</w:t>
            </w:r>
            <w:r>
              <w:rPr>
                <w:rFonts w:cs="Times New Roman"/>
                <w:b/>
                <w:b/>
                <w:bCs/>
                <w:sz w:val="26"/>
                <w:sz w:val="26"/>
                <w:szCs w:val="26"/>
                <w:rtl w:val="true"/>
              </w:rPr>
              <w:t xml:space="preserve"> </w:t>
            </w:r>
            <w:r>
              <w:rPr>
                <w:b/>
                <w:b/>
                <w:bCs/>
                <w:sz w:val="26"/>
                <w:sz w:val="26"/>
                <w:szCs w:val="26"/>
                <w:rtl w:val="true"/>
              </w:rPr>
              <w:t>נאות</w:t>
            </w:r>
            <w:r>
              <w:rPr>
                <w:rFonts w:cs="Times New Roman"/>
                <w:b/>
                <w:b/>
                <w:bCs/>
                <w:sz w:val="26"/>
                <w:sz w:val="26"/>
                <w:szCs w:val="26"/>
                <w:rtl w:val="true"/>
              </w:rPr>
              <w:t xml:space="preserve"> </w:t>
            </w:r>
            <w:r>
              <w:rPr>
                <w:b/>
                <w:b/>
                <w:bCs/>
                <w:sz w:val="26"/>
                <w:sz w:val="26"/>
                <w:szCs w:val="26"/>
                <w:rtl w:val="true"/>
              </w:rPr>
              <w:t>פרי</w:t>
            </w:r>
          </w:p>
        </w:tc>
      </w:tr>
      <w:tr>
        <w:trPr/>
        <w:tc>
          <w:tcPr>
            <w:tcW w:w="2880" w:type="dxa"/>
            <w:gridSpan w:val="2"/>
            <w:tcBorders/>
            <w:tcMar>
              <w:start w:w="108" w:type="dxa"/>
              <w:end w:w="108" w:type="dxa"/>
            </w:tcMar>
          </w:tcPr>
          <w:p>
            <w:pPr>
              <w:pStyle w:val="Normal"/>
              <w:ind w:start="26" w:end="0"/>
              <w:jc w:val="start"/>
              <w:rPr>
                <w:b/>
                <w:bCs/>
                <w:sz w:val="26"/>
                <w:szCs w:val="26"/>
              </w:rPr>
            </w:pPr>
            <w:bookmarkStart w:id="0" w:name="LastJudge"/>
            <w:bookmarkStart w:id="1" w:name="FirstAppellant"/>
            <w:bookmarkEnd w:id="0"/>
            <w:bookmarkEnd w:id="1"/>
            <w:r>
              <w:rPr>
                <w:b/>
                <w:b/>
                <w:bCs/>
                <w:sz w:val="26"/>
                <w:sz w:val="26"/>
                <w:szCs w:val="26"/>
                <w:rtl w:val="true"/>
              </w:rPr>
              <w:t>המערערת</w:t>
            </w:r>
          </w:p>
        </w:tc>
        <w:tc>
          <w:tcPr>
            <w:tcW w:w="5922" w:type="dxa"/>
            <w:tcBorders/>
            <w:tcMar>
              <w:start w:w="108" w:type="dxa"/>
              <w:end w:w="108" w:type="dxa"/>
            </w:tcMar>
          </w:tcPr>
          <w:p>
            <w:pPr>
              <w:pStyle w:val="Normal"/>
              <w:ind w:end="0"/>
              <w:jc w:val="start"/>
              <w:rPr>
                <w:b/>
                <w:bCs/>
                <w:sz w:val="26"/>
                <w:szCs w:val="26"/>
              </w:rPr>
            </w:pPr>
            <w:r>
              <w:rPr>
                <w:b/>
                <w:b/>
                <w:bCs/>
                <w:sz w:val="26"/>
                <w:sz w:val="26"/>
                <w:szCs w:val="26"/>
                <w:rtl w:val="true"/>
              </w:rPr>
              <w:t>מדינת</w:t>
            </w:r>
            <w:r>
              <w:rPr>
                <w:rFonts w:cs="Times New Roman"/>
                <w:b/>
                <w:b/>
                <w:bCs/>
                <w:sz w:val="26"/>
                <w:sz w:val="26"/>
                <w:szCs w:val="26"/>
                <w:rtl w:val="true"/>
              </w:rPr>
              <w:t xml:space="preserve"> </w:t>
            </w:r>
            <w:r>
              <w:rPr>
                <w:b/>
                <w:b/>
                <w:bCs/>
                <w:sz w:val="26"/>
                <w:sz w:val="26"/>
                <w:szCs w:val="26"/>
                <w:rtl w:val="true"/>
              </w:rPr>
              <w:t>ישראל</w:t>
            </w:r>
          </w:p>
          <w:p>
            <w:pPr>
              <w:pStyle w:val="Normal"/>
              <w:ind w:end="0"/>
              <w:jc w:val="start"/>
              <w:rPr/>
            </w:pPr>
            <w:r>
              <w:rPr>
                <w:rtl w:val="true"/>
              </w:rPr>
              <w:t>ע</w:t>
            </w:r>
            <w:r>
              <w:rPr>
                <w:rtl w:val="true"/>
              </w:rPr>
              <w:t>"</w:t>
            </w:r>
            <w:r>
              <w:rPr>
                <w:rtl w:val="true"/>
              </w:rPr>
              <w:t>י</w:t>
            </w:r>
            <w:r>
              <w:rPr>
                <w:rFonts w:cs="Times New Roman"/>
                <w:rtl w:val="true"/>
              </w:rPr>
              <w:t xml:space="preserve"> </w:t>
            </w:r>
            <w:r>
              <w:rPr>
                <w:rtl w:val="true"/>
              </w:rPr>
              <w:t>פרקליטות</w:t>
            </w:r>
            <w:r>
              <w:rPr>
                <w:rFonts w:cs="Times New Roman"/>
                <w:rtl w:val="true"/>
              </w:rPr>
              <w:t xml:space="preserve"> </w:t>
            </w:r>
            <w:r>
              <w:rPr>
                <w:rtl w:val="true"/>
              </w:rPr>
              <w:t>פלילית</w:t>
            </w:r>
            <w:r>
              <w:rPr>
                <w:rFonts w:cs="Times New Roman"/>
                <w:rtl w:val="true"/>
              </w:rPr>
              <w:t xml:space="preserve"> </w:t>
            </w:r>
            <w:r>
              <w:rPr>
                <w:rtl w:val="true"/>
              </w:rPr>
              <w:t>מחוז</w:t>
            </w:r>
            <w:r>
              <w:rPr>
                <w:rFonts w:cs="Times New Roman"/>
                <w:rtl w:val="true"/>
              </w:rPr>
              <w:t xml:space="preserve"> </w:t>
            </w:r>
            <w:r>
              <w:rPr>
                <w:rtl w:val="true"/>
              </w:rPr>
              <w:t>חיפה</w:t>
            </w:r>
          </w:p>
          <w:p>
            <w:pPr>
              <w:pStyle w:val="Normal"/>
              <w:ind w:end="0"/>
              <w:jc w:val="start"/>
              <w:rPr>
                <w:b/>
                <w:bCs/>
                <w:sz w:val="26"/>
                <w:szCs w:val="26"/>
              </w:rPr>
            </w:pPr>
            <w:r>
              <w:rPr>
                <w:b/>
                <w:bCs/>
                <w:sz w:val="26"/>
                <w:szCs w:val="26"/>
                <w:rtl w:val="true"/>
              </w:rPr>
            </w:r>
          </w:p>
        </w:tc>
      </w:tr>
      <w:tr>
        <w:trPr/>
        <w:tc>
          <w:tcPr>
            <w:tcW w:w="8802" w:type="dxa"/>
            <w:gridSpan w:val="3"/>
            <w:tcBorders/>
            <w:tcMar>
              <w:start w:w="108" w:type="dxa"/>
              <w:end w:w="108" w:type="dxa"/>
            </w:tcMar>
          </w:tcPr>
          <w:p>
            <w:pPr>
              <w:pStyle w:val="Normal"/>
              <w:ind w:end="0"/>
              <w:jc w:val="center"/>
              <w:rPr>
                <w:rFonts w:ascii="Arial" w:hAnsi="Arial" w:cs="Arial"/>
                <w:b/>
                <w:bCs/>
                <w:sz w:val="26"/>
                <w:szCs w:val="26"/>
              </w:rPr>
            </w:pPr>
            <w:r>
              <w:rPr>
                <w:rFonts w:ascii="Arial" w:hAnsi="Arial" w:cs="Arial"/>
                <w:b/>
                <w:b/>
                <w:bCs/>
                <w:sz w:val="26"/>
                <w:sz w:val="26"/>
                <w:szCs w:val="26"/>
                <w:rtl w:val="true"/>
              </w:rPr>
              <w:t>נגד</w:t>
            </w:r>
          </w:p>
          <w:p>
            <w:pPr>
              <w:pStyle w:val="Normal"/>
              <w:ind w:end="0"/>
              <w:jc w:val="center"/>
              <w:rPr>
                <w:rFonts w:ascii="Arial" w:hAnsi="Arial" w:cs="Arial"/>
                <w:b/>
                <w:bCs/>
                <w:sz w:val="26"/>
                <w:szCs w:val="26"/>
              </w:rPr>
            </w:pPr>
            <w:r>
              <w:rPr>
                <w:rFonts w:cs="Arial" w:ascii="Arial" w:hAnsi="Arial"/>
                <w:b/>
                <w:bCs/>
                <w:sz w:val="26"/>
                <w:szCs w:val="26"/>
                <w:rtl w:val="true"/>
              </w:rPr>
            </w:r>
          </w:p>
        </w:tc>
      </w:tr>
      <w:tr>
        <w:trPr/>
        <w:tc>
          <w:tcPr>
            <w:tcW w:w="2880" w:type="dxa"/>
            <w:gridSpan w:val="2"/>
            <w:tcBorders/>
            <w:tcMar>
              <w:start w:w="108" w:type="dxa"/>
              <w:end w:w="108" w:type="dxa"/>
            </w:tcMar>
          </w:tcPr>
          <w:p>
            <w:pPr>
              <w:pStyle w:val="Normal"/>
              <w:ind w:start="26" w:end="0"/>
              <w:jc w:val="start"/>
              <w:rPr>
                <w:b/>
                <w:bCs/>
                <w:sz w:val="26"/>
                <w:szCs w:val="26"/>
              </w:rPr>
            </w:pPr>
            <w:bookmarkStart w:id="2" w:name="FirstLawyer"/>
            <w:bookmarkEnd w:id="2"/>
            <w:r>
              <w:rPr>
                <w:b/>
                <w:b/>
                <w:bCs/>
                <w:sz w:val="26"/>
                <w:sz w:val="26"/>
                <w:szCs w:val="26"/>
                <w:rtl w:val="true"/>
              </w:rPr>
              <w:t>המשיב</w:t>
            </w:r>
          </w:p>
        </w:tc>
        <w:tc>
          <w:tcPr>
            <w:tcW w:w="5922" w:type="dxa"/>
            <w:tcBorders/>
            <w:tcMar>
              <w:start w:w="108" w:type="dxa"/>
              <w:end w:w="108" w:type="dxa"/>
            </w:tcMar>
          </w:tcPr>
          <w:p>
            <w:pPr>
              <w:pStyle w:val="Normal"/>
              <w:ind w:end="0"/>
              <w:jc w:val="start"/>
              <w:rPr>
                <w:b/>
                <w:bCs/>
                <w:sz w:val="26"/>
                <w:szCs w:val="26"/>
              </w:rPr>
            </w:pPr>
            <w:r>
              <w:rPr>
                <w:b/>
                <w:b/>
                <w:bCs/>
                <w:sz w:val="26"/>
                <w:sz w:val="26"/>
                <w:szCs w:val="26"/>
                <w:rtl w:val="true"/>
              </w:rPr>
              <w:t>עידן</w:t>
            </w:r>
            <w:r>
              <w:rPr>
                <w:rFonts w:cs="Times New Roman"/>
                <w:b/>
                <w:b/>
                <w:bCs/>
                <w:sz w:val="26"/>
                <w:sz w:val="26"/>
                <w:szCs w:val="26"/>
                <w:rtl w:val="true"/>
              </w:rPr>
              <w:t xml:space="preserve"> </w:t>
            </w:r>
            <w:r>
              <w:rPr>
                <w:b/>
                <w:b/>
                <w:bCs/>
                <w:sz w:val="26"/>
                <w:sz w:val="26"/>
                <w:szCs w:val="26"/>
                <w:rtl w:val="true"/>
              </w:rPr>
              <w:t>דוד</w:t>
            </w:r>
            <w:r>
              <w:rPr>
                <w:b/>
                <w:bCs/>
                <w:sz w:val="26"/>
                <w:szCs w:val="26"/>
                <w:rtl w:val="true"/>
              </w:rPr>
              <w:t xml:space="preserve">, </w:t>
            </w:r>
            <w:r>
              <w:rPr>
                <w:b/>
                <w:b/>
                <w:bCs/>
                <w:sz w:val="26"/>
                <w:sz w:val="26"/>
                <w:szCs w:val="26"/>
                <w:rtl w:val="true"/>
              </w:rPr>
              <w:t>ת</w:t>
            </w:r>
            <w:r>
              <w:rPr>
                <w:b/>
                <w:bCs/>
                <w:sz w:val="26"/>
                <w:szCs w:val="26"/>
                <w:rtl w:val="true"/>
              </w:rPr>
              <w:t>"</w:t>
            </w:r>
            <w:r>
              <w:rPr>
                <w:b/>
                <w:b/>
                <w:bCs/>
                <w:sz w:val="26"/>
                <w:sz w:val="26"/>
                <w:szCs w:val="26"/>
                <w:rtl w:val="true"/>
              </w:rPr>
              <w:t>ז</w:t>
            </w:r>
            <w:r>
              <w:rPr>
                <w:rFonts w:cs="Times New Roman"/>
                <w:b/>
                <w:b/>
                <w:bCs/>
                <w:sz w:val="26"/>
                <w:sz w:val="26"/>
                <w:szCs w:val="26"/>
                <w:rtl w:val="true"/>
              </w:rPr>
              <w:t xml:space="preserve"> </w:t>
            </w:r>
            <w:r>
              <w:rPr>
                <w:b/>
                <w:bCs/>
                <w:sz w:val="26"/>
                <w:szCs w:val="26"/>
              </w:rPr>
              <w:t>xxxxxxxxx</w:t>
            </w:r>
          </w:p>
          <w:p>
            <w:pPr>
              <w:pStyle w:val="Normal"/>
              <w:ind w:end="0"/>
              <w:jc w:val="start"/>
              <w:rPr/>
            </w:pPr>
            <w:r>
              <w:rPr>
                <w:rtl w:val="true"/>
              </w:rPr>
              <w:t>ע</w:t>
            </w:r>
            <w:r>
              <w:rPr>
                <w:rtl w:val="true"/>
              </w:rPr>
              <w:t>"</w:t>
            </w:r>
            <w:r>
              <w:rPr>
                <w:rtl w:val="true"/>
              </w:rPr>
              <w:t>י</w:t>
            </w:r>
            <w:r>
              <w:rPr>
                <w:rFonts w:cs="Times New Roman"/>
                <w:rtl w:val="true"/>
              </w:rPr>
              <w:t xml:space="preserve"> </w:t>
            </w:r>
            <w:r>
              <w:rPr>
                <w:rtl w:val="true"/>
              </w:rPr>
              <w:t>ב</w:t>
            </w:r>
            <w:r>
              <w:rPr>
                <w:rtl w:val="true"/>
              </w:rPr>
              <w:t>"</w:t>
            </w:r>
            <w:r>
              <w:rPr>
                <w:rtl w:val="true"/>
              </w:rPr>
              <w:t>כ</w:t>
            </w:r>
            <w:r>
              <w:rPr>
                <w:rFonts w:cs="Times New Roman"/>
                <w:rtl w:val="true"/>
              </w:rPr>
              <w:t xml:space="preserve"> </w:t>
            </w:r>
            <w:r>
              <w:rPr>
                <w:rtl w:val="true"/>
              </w:rPr>
              <w:t>עו</w:t>
            </w:r>
            <w:r>
              <w:rPr>
                <w:rtl w:val="true"/>
              </w:rPr>
              <w:t>"</w:t>
            </w:r>
            <w:r>
              <w:rPr>
                <w:rtl w:val="true"/>
              </w:rPr>
              <w:t>ד</w:t>
            </w:r>
            <w:r>
              <w:rPr>
                <w:rFonts w:cs="Times New Roman"/>
                <w:rtl w:val="true"/>
              </w:rPr>
              <w:t xml:space="preserve"> </w:t>
            </w:r>
            <w:r>
              <w:rPr>
                <w:rtl w:val="true"/>
              </w:rPr>
              <w:t>יאיר</w:t>
            </w:r>
            <w:r>
              <w:rPr>
                <w:rFonts w:cs="Times New Roman"/>
                <w:rtl w:val="true"/>
              </w:rPr>
              <w:t xml:space="preserve"> </w:t>
            </w:r>
            <w:r>
              <w:rPr>
                <w:rtl w:val="true"/>
              </w:rPr>
              <w:t>נדשי</w:t>
            </w:r>
            <w:r>
              <w:rPr>
                <w:rFonts w:cs="Times New Roman"/>
                <w:rtl w:val="true"/>
              </w:rPr>
              <w:t xml:space="preserve"> </w:t>
            </w:r>
            <w:r>
              <w:rPr>
                <w:rtl w:val="true"/>
              </w:rPr>
              <w:t>(</w:t>
            </w:r>
            <w:r>
              <w:rPr>
                <w:rtl w:val="true"/>
              </w:rPr>
              <w:t>סנגוריה</w:t>
            </w:r>
            <w:r>
              <w:rPr>
                <w:rFonts w:cs="Times New Roman"/>
                <w:rtl w:val="true"/>
              </w:rPr>
              <w:t xml:space="preserve"> </w:t>
            </w:r>
            <w:r>
              <w:rPr>
                <w:rtl w:val="true"/>
              </w:rPr>
              <w:t>ציבורית</w:t>
            </w:r>
            <w:r>
              <w:rPr>
                <w:rtl w:val="true"/>
              </w:rPr>
              <w:t>)</w:t>
            </w:r>
          </w:p>
        </w:tc>
      </w:tr>
    </w:tbl>
    <w:p>
      <w:pPr>
        <w:pStyle w:val="Normal"/>
        <w:ind w:end="0"/>
        <w:jc w:val="start"/>
        <w:rPr/>
      </w:pPr>
      <w:r>
        <w:rPr>
          <w:rtl w:val="true"/>
        </w:rPr>
      </w:r>
      <w:bookmarkStart w:id="3" w:name="LawTable"/>
      <w:bookmarkStart w:id="4" w:name="LawTable"/>
      <w:bookmarkEnd w:id="4"/>
    </w:p>
    <w:p>
      <w:pPr>
        <w:pStyle w:val="Normal"/>
        <w:spacing w:lineRule="exact" w:line="240" w:before="0" w:after="120"/>
        <w:ind w:hanging="283" w:start="283" w:end="0"/>
        <w:jc w:val="both"/>
        <w:rPr>
          <w:rFonts w:ascii="FrankRuehl" w:hAnsi="FrankRuehl" w:cs="FrankRuehl"/>
        </w:rPr>
      </w:pPr>
      <w:r>
        <w:rPr>
          <w:rFonts w:cs="FrankRuehl" w:ascii="FrankRuehl" w:hAnsi="FrankRuehl"/>
          <w:rtl w:val="true"/>
        </w:rPr>
      </w:r>
    </w:p>
    <w:p>
      <w:pPr>
        <w:pStyle w:val="Normal"/>
        <w:spacing w:lineRule="exact" w:line="240" w:before="0" w:after="120"/>
        <w:ind w:hanging="283" w:start="283" w:end="0"/>
        <w:jc w:val="both"/>
        <w:rPr>
          <w:rFonts w:ascii="FrankRuehl" w:hAnsi="FrankRuehl" w:cs="FrankRuehl"/>
        </w:rPr>
      </w:pPr>
      <w:r>
        <w:rPr>
          <w:rFonts w:ascii="FrankRuehl" w:hAnsi="FrankRuehl" w:cs="FrankRuehl"/>
          <w:rtl w:val="true"/>
        </w:rPr>
        <w:t>חקיקה שאוזכרה</w:t>
      </w:r>
      <w:r>
        <w:rPr>
          <w:rFonts w:cs="FrankRuehl" w:ascii="FrankRuehl" w:hAnsi="FrankRuehl"/>
          <w:rtl w:val="true"/>
        </w:rPr>
        <w:t xml:space="preserve">: </w:t>
      </w:r>
    </w:p>
    <w:p>
      <w:pPr>
        <w:pStyle w:val="Normal"/>
        <w:spacing w:lineRule="exact" w:line="240" w:before="0" w:after="120"/>
        <w:ind w:hanging="283" w:start="283" w:end="0"/>
        <w:jc w:val="both"/>
        <w:rPr>
          <w:rFonts w:ascii="FrankRuehl" w:hAnsi="FrankRuehl" w:cs="FrankRuehl"/>
        </w:rPr>
      </w:pPr>
      <w:hyperlink r:id="rId2">
        <w:r>
          <w:rPr>
            <w:rStyle w:val="Hyperlink"/>
            <w:rFonts w:ascii="FrankRuehl" w:hAnsi="FrankRuehl" w:cs="FrankRuehl"/>
            <w:color w:val="0000FF"/>
            <w:u w:val="single"/>
            <w:rtl w:val="true"/>
          </w:rPr>
          <w:t xml:space="preserve">פקודת הסמים המסוכנים </w:t>
        </w:r>
        <w:r>
          <w:rPr>
            <w:rStyle w:val="Hyperlink"/>
            <w:rFonts w:cs="FrankRuehl" w:ascii="FrankRuehl" w:hAnsi="FrankRuehl"/>
            <w:color w:val="0000FF"/>
            <w:u w:val="single"/>
            <w:rtl w:val="true"/>
          </w:rPr>
          <w:t>[</w:t>
        </w:r>
        <w:r>
          <w:rPr>
            <w:rStyle w:val="Hyperlink"/>
            <w:rFonts w:ascii="FrankRuehl" w:hAnsi="FrankRuehl" w:cs="FrankRuehl"/>
            <w:color w:val="0000FF"/>
            <w:u w:val="single"/>
            <w:rtl w:val="true"/>
          </w:rPr>
          <w:t>נוסח חדש</w:t>
        </w:r>
        <w:r>
          <w:rPr>
            <w:rStyle w:val="Hyperlink"/>
            <w:rFonts w:cs="FrankRuehl" w:ascii="FrankRuehl" w:hAnsi="FrankRuehl"/>
            <w:color w:val="0000FF"/>
            <w:u w:val="single"/>
            <w:rtl w:val="true"/>
          </w:rPr>
          <w:t xml:space="preserve">], </w:t>
        </w:r>
        <w:r>
          <w:rPr>
            <w:rStyle w:val="Hyperlink"/>
            <w:rFonts w:ascii="FrankRuehl" w:hAnsi="FrankRuehl" w:cs="FrankRuehl"/>
            <w:color w:val="0000FF"/>
            <w:u w:val="single"/>
            <w:rtl w:val="true"/>
          </w:rPr>
          <w:t>תשל</w:t>
        </w:r>
        <w:r>
          <w:rPr>
            <w:rStyle w:val="Hyperlink"/>
            <w:rFonts w:cs="FrankRuehl" w:ascii="FrankRuehl" w:hAnsi="FrankRuehl"/>
            <w:color w:val="0000FF"/>
            <w:u w:val="single"/>
            <w:rtl w:val="true"/>
          </w:rPr>
          <w:t>"</w:t>
        </w:r>
        <w:r>
          <w:rPr>
            <w:rStyle w:val="Hyperlink"/>
            <w:rFonts w:ascii="FrankRuehl" w:hAnsi="FrankRuehl" w:cs="FrankRuehl"/>
            <w:color w:val="0000FF"/>
            <w:u w:val="single"/>
            <w:rtl w:val="true"/>
          </w:rPr>
          <w:t>ג</w:t>
        </w:r>
        <w:r>
          <w:rPr>
            <w:rStyle w:val="Hyperlink"/>
            <w:rFonts w:cs="FrankRuehl" w:ascii="FrankRuehl" w:hAnsi="FrankRuehl"/>
            <w:color w:val="0000FF"/>
            <w:u w:val="single"/>
            <w:rtl w:val="true"/>
          </w:rPr>
          <w:t>-</w:t>
        </w:r>
        <w:r>
          <w:rPr>
            <w:rStyle w:val="Hyperlink"/>
            <w:rFonts w:cs="FrankRuehl" w:ascii="FrankRuehl" w:hAnsi="FrankRuehl"/>
            <w:color w:val="0000FF"/>
            <w:u w:val="single"/>
          </w:rPr>
          <w:t>1973</w:t>
        </w:r>
      </w:hyperlink>
      <w:r>
        <w:rPr>
          <w:rFonts w:cs="FrankRuehl" w:ascii="FrankRuehl" w:hAnsi="FrankRuehl"/>
          <w:rtl w:val="true"/>
        </w:rPr>
        <w:t xml:space="preserve">: </w:t>
      </w:r>
      <w:r>
        <w:rPr>
          <w:rFonts w:ascii="FrankRuehl" w:hAnsi="FrankRuehl" w:cs="FrankRuehl"/>
          <w:rtl w:val="true"/>
        </w:rPr>
        <w:t>סע</w:t>
      </w:r>
      <w:r>
        <w:rPr>
          <w:rFonts w:cs="FrankRuehl" w:ascii="FrankRuehl" w:hAnsi="FrankRuehl"/>
          <w:rtl w:val="true"/>
        </w:rPr>
        <w:t xml:space="preserve">'  </w:t>
      </w:r>
      <w:hyperlink r:id="rId3">
        <w:r>
          <w:rPr>
            <w:rStyle w:val="Hyperlink"/>
            <w:rFonts w:cs="FrankRuehl" w:ascii="FrankRuehl" w:hAnsi="FrankRuehl"/>
            <w:color w:val="0000FF"/>
            <w:u w:val="single"/>
          </w:rPr>
          <w:t>6</w:t>
        </w:r>
      </w:hyperlink>
      <w:r>
        <w:rPr>
          <w:rFonts w:cs="FrankRuehl" w:ascii="FrankRuehl" w:hAnsi="FrankRuehl"/>
          <w:rtl w:val="true"/>
        </w:rPr>
        <w:t xml:space="preserve">, </w:t>
      </w:r>
      <w:hyperlink r:id="rId4">
        <w:r>
          <w:rPr>
            <w:rStyle w:val="Hyperlink"/>
            <w:rFonts w:cs="FrankRuehl" w:ascii="FrankRuehl" w:hAnsi="FrankRuehl"/>
            <w:color w:val="0000FF"/>
            <w:u w:val="single"/>
          </w:rPr>
          <w:t>36</w:t>
        </w:r>
        <w:r>
          <w:rPr>
            <w:rStyle w:val="Hyperlink"/>
            <w:rFonts w:ascii="FrankRuehl" w:hAnsi="FrankRuehl" w:cs="FrankRuehl"/>
            <w:color w:val="0000FF"/>
            <w:u w:val="single"/>
            <w:rtl w:val="true"/>
          </w:rPr>
          <w:t>ח</w:t>
        </w:r>
      </w:hyperlink>
    </w:p>
    <w:p>
      <w:pPr>
        <w:pStyle w:val="Normal"/>
        <w:spacing w:lineRule="exact" w:line="240" w:before="0" w:after="120"/>
        <w:ind w:hanging="283" w:start="283" w:end="0"/>
        <w:jc w:val="both"/>
        <w:rPr>
          <w:rFonts w:ascii="FrankRuehl" w:hAnsi="FrankRuehl" w:cs="FrankRuehl"/>
        </w:rPr>
      </w:pPr>
      <w:hyperlink r:id="rId5">
        <w:r>
          <w:rPr>
            <w:rStyle w:val="Hyperlink"/>
            <w:rFonts w:ascii="FrankRuehl" w:hAnsi="FrankRuehl" w:cs="FrankRuehl"/>
            <w:color w:val="0000FF"/>
            <w:u w:val="single"/>
            <w:rtl w:val="true"/>
          </w:rPr>
          <w:t>חוק העונשין</w:t>
        </w:r>
        <w:r>
          <w:rPr>
            <w:rStyle w:val="Hyperlink"/>
            <w:rFonts w:cs="FrankRuehl" w:ascii="FrankRuehl" w:hAnsi="FrankRuehl"/>
            <w:color w:val="0000FF"/>
            <w:u w:val="single"/>
            <w:rtl w:val="true"/>
          </w:rPr>
          <w:t xml:space="preserve">, </w:t>
        </w:r>
        <w:r>
          <w:rPr>
            <w:rStyle w:val="Hyperlink"/>
            <w:rFonts w:ascii="FrankRuehl" w:hAnsi="FrankRuehl" w:cs="FrankRuehl"/>
            <w:color w:val="0000FF"/>
            <w:u w:val="single"/>
            <w:rtl w:val="true"/>
          </w:rPr>
          <w:t>תשל</w:t>
        </w:r>
        <w:r>
          <w:rPr>
            <w:rStyle w:val="Hyperlink"/>
            <w:rFonts w:cs="FrankRuehl" w:ascii="FrankRuehl" w:hAnsi="FrankRuehl"/>
            <w:color w:val="0000FF"/>
            <w:u w:val="single"/>
            <w:rtl w:val="true"/>
          </w:rPr>
          <w:t>"</w:t>
        </w:r>
        <w:r>
          <w:rPr>
            <w:rStyle w:val="Hyperlink"/>
            <w:rFonts w:ascii="FrankRuehl" w:hAnsi="FrankRuehl" w:cs="FrankRuehl"/>
            <w:color w:val="0000FF"/>
            <w:u w:val="single"/>
            <w:rtl w:val="true"/>
          </w:rPr>
          <w:t>ז</w:t>
        </w:r>
        <w:r>
          <w:rPr>
            <w:rStyle w:val="Hyperlink"/>
            <w:rFonts w:cs="FrankRuehl" w:ascii="FrankRuehl" w:hAnsi="FrankRuehl"/>
            <w:color w:val="0000FF"/>
            <w:u w:val="single"/>
            <w:rtl w:val="true"/>
          </w:rPr>
          <w:t>-</w:t>
        </w:r>
        <w:r>
          <w:rPr>
            <w:rStyle w:val="Hyperlink"/>
            <w:rFonts w:cs="FrankRuehl" w:ascii="FrankRuehl" w:hAnsi="FrankRuehl"/>
            <w:color w:val="0000FF"/>
            <w:u w:val="single"/>
          </w:rPr>
          <w:t>1977</w:t>
        </w:r>
      </w:hyperlink>
      <w:r>
        <w:rPr>
          <w:rFonts w:cs="FrankRuehl" w:ascii="FrankRuehl" w:hAnsi="FrankRuehl"/>
          <w:rtl w:val="true"/>
        </w:rPr>
        <w:t xml:space="preserve">: </w:t>
      </w:r>
      <w:r>
        <w:rPr>
          <w:rFonts w:ascii="FrankRuehl" w:hAnsi="FrankRuehl" w:cs="FrankRuehl"/>
          <w:rtl w:val="true"/>
        </w:rPr>
        <w:t>סע</w:t>
      </w:r>
      <w:r>
        <w:rPr>
          <w:rFonts w:cs="FrankRuehl" w:ascii="FrankRuehl" w:hAnsi="FrankRuehl"/>
          <w:rtl w:val="true"/>
        </w:rPr>
        <w:t xml:space="preserve">'  </w:t>
      </w:r>
      <w:hyperlink r:id="rId6">
        <w:r>
          <w:rPr>
            <w:rStyle w:val="Hyperlink"/>
            <w:rFonts w:cs="FrankRuehl" w:ascii="FrankRuehl" w:hAnsi="FrankRuehl"/>
            <w:color w:val="0000FF"/>
            <w:u w:val="single"/>
          </w:rPr>
          <w:t>29</w:t>
        </w:r>
        <w:r>
          <w:rPr>
            <w:rStyle w:val="Hyperlink"/>
            <w:rFonts w:cs="FrankRuehl" w:ascii="FrankRuehl" w:hAnsi="FrankRuehl"/>
            <w:color w:val="0000FF"/>
            <w:u w:val="single"/>
            <w:rtl w:val="true"/>
          </w:rPr>
          <w:t>(</w:t>
        </w:r>
        <w:r>
          <w:rPr>
            <w:rStyle w:val="Hyperlink"/>
            <w:rFonts w:ascii="FrankRuehl" w:hAnsi="FrankRuehl" w:cs="FrankRuehl"/>
            <w:color w:val="0000FF"/>
            <w:u w:val="single"/>
            <w:rtl w:val="true"/>
          </w:rPr>
          <w:t>א</w:t>
        </w:r>
        <w:r>
          <w:rPr>
            <w:rStyle w:val="Hyperlink"/>
            <w:rFonts w:cs="FrankRuehl" w:ascii="FrankRuehl" w:hAnsi="FrankRuehl"/>
            <w:color w:val="0000FF"/>
            <w:u w:val="single"/>
            <w:rtl w:val="true"/>
          </w:rPr>
          <w:t>)</w:t>
        </w:r>
      </w:hyperlink>
      <w:r>
        <w:rPr>
          <w:rFonts w:cs="FrankRuehl" w:ascii="FrankRuehl" w:hAnsi="FrankRuehl"/>
          <w:rtl w:val="true"/>
        </w:rPr>
        <w:t xml:space="preserve">, </w:t>
      </w:r>
      <w:hyperlink r:id="rId7">
        <w:r>
          <w:rPr>
            <w:rStyle w:val="Hyperlink"/>
            <w:rFonts w:cs="FrankRuehl" w:ascii="FrankRuehl" w:hAnsi="FrankRuehl"/>
            <w:color w:val="0000FF"/>
            <w:u w:val="single"/>
          </w:rPr>
          <w:t>40</w:t>
        </w:r>
        <w:r>
          <w:rPr>
            <w:rStyle w:val="Hyperlink"/>
            <w:rFonts w:ascii="FrankRuehl" w:hAnsi="FrankRuehl" w:cs="FrankRuehl"/>
            <w:color w:val="0000FF"/>
            <w:u w:val="single"/>
            <w:rtl w:val="true"/>
          </w:rPr>
          <w:t>י</w:t>
        </w:r>
        <w:r>
          <w:rPr>
            <w:rStyle w:val="Hyperlink"/>
            <w:rFonts w:cs="FrankRuehl" w:ascii="FrankRuehl" w:hAnsi="FrankRuehl"/>
            <w:color w:val="0000FF"/>
            <w:u w:val="single"/>
            <w:rtl w:val="true"/>
          </w:rPr>
          <w:t>'</w:t>
        </w:r>
      </w:hyperlink>
      <w:r>
        <w:rPr>
          <w:rFonts w:cs="FrankRuehl" w:ascii="FrankRuehl" w:hAnsi="FrankRuehl"/>
          <w:rtl w:val="true"/>
        </w:rPr>
        <w:t xml:space="preserve">, </w:t>
      </w:r>
      <w:hyperlink r:id="rId8">
        <w:r>
          <w:rPr>
            <w:rStyle w:val="Hyperlink"/>
            <w:rFonts w:cs="FrankRuehl" w:ascii="FrankRuehl" w:hAnsi="FrankRuehl"/>
            <w:color w:val="0000FF"/>
            <w:u w:val="single"/>
          </w:rPr>
          <w:t>40</w:t>
        </w:r>
        <w:r>
          <w:rPr>
            <w:rStyle w:val="Hyperlink"/>
            <w:rFonts w:ascii="FrankRuehl" w:hAnsi="FrankRuehl" w:cs="FrankRuehl"/>
            <w:color w:val="0000FF"/>
            <w:u w:val="single"/>
            <w:rtl w:val="true"/>
          </w:rPr>
          <w:t>י</w:t>
        </w:r>
        <w:r>
          <w:rPr>
            <w:rStyle w:val="Hyperlink"/>
            <w:rFonts w:cs="FrankRuehl" w:ascii="FrankRuehl" w:hAnsi="FrankRuehl"/>
            <w:color w:val="0000FF"/>
            <w:u w:val="single"/>
            <w:rtl w:val="true"/>
          </w:rPr>
          <w:t>(</w:t>
        </w:r>
        <w:r>
          <w:rPr>
            <w:rStyle w:val="Hyperlink"/>
            <w:rFonts w:ascii="FrankRuehl" w:hAnsi="FrankRuehl" w:cs="FrankRuehl"/>
            <w:color w:val="0000FF"/>
            <w:u w:val="single"/>
            <w:rtl w:val="true"/>
          </w:rPr>
          <w:t>ב</w:t>
        </w:r>
        <w:r>
          <w:rPr>
            <w:rStyle w:val="Hyperlink"/>
            <w:rFonts w:cs="FrankRuehl" w:ascii="FrankRuehl" w:hAnsi="FrankRuehl"/>
            <w:color w:val="0000FF"/>
            <w:u w:val="single"/>
            <w:rtl w:val="true"/>
          </w:rPr>
          <w:t>)</w:t>
        </w:r>
      </w:hyperlink>
    </w:p>
    <w:p>
      <w:pPr>
        <w:pStyle w:val="Normal"/>
        <w:spacing w:lineRule="exact" w:line="240" w:before="0" w:after="120"/>
        <w:ind w:hanging="283" w:start="283" w:end="0"/>
        <w:jc w:val="both"/>
        <w:rPr>
          <w:rFonts w:ascii="FrankRuehl" w:hAnsi="FrankRuehl" w:cs="FrankRuehl"/>
        </w:rPr>
      </w:pPr>
      <w:r>
        <w:rPr>
          <w:rFonts w:cs="FrankRuehl" w:ascii="FrankRuehl" w:hAnsi="FrankRuehl"/>
          <w:rtl w:val="true"/>
        </w:rPr>
      </w:r>
    </w:p>
    <w:p>
      <w:pPr>
        <w:pStyle w:val="Normal"/>
        <w:ind w:end="0"/>
        <w:jc w:val="start"/>
        <w:rPr>
          <w:rFonts w:ascii="FrankRuehl" w:hAnsi="FrankRuehl" w:cs="FrankRuehl"/>
        </w:rPr>
      </w:pPr>
      <w:r>
        <w:rPr>
          <w:rFonts w:cs="FrankRuehl" w:ascii="FrankRuehl" w:hAnsi="FrankRuehl"/>
          <w:rtl w:val="true"/>
        </w:rPr>
      </w:r>
      <w:bookmarkStart w:id="5" w:name="LawTable_End"/>
      <w:bookmarkStart w:id="6" w:name="LawTable_End"/>
      <w:bookmarkEnd w:id="6"/>
    </w:p>
    <w:p>
      <w:pPr>
        <w:pStyle w:val="Normal"/>
        <w:ind w:end="0"/>
        <w:jc w:val="start"/>
        <w:rPr/>
      </w:pPr>
      <w:r>
        <w:rPr>
          <w:rtl w:val="true"/>
        </w:rPr>
      </w:r>
    </w:p>
    <w:p>
      <w:pPr>
        <w:pStyle w:val="Normal"/>
        <w:ind w:end="0"/>
        <w:jc w:val="start"/>
        <w:rPr/>
      </w:pPr>
      <w:r>
        <w:rPr>
          <w:rtl w:val="true"/>
        </w:rPr>
      </w:r>
    </w:p>
    <w:p>
      <w:pPr>
        <w:pStyle w:val="Normal"/>
        <w:spacing w:lineRule="auto" w:line="360"/>
        <w:ind w:firstLine="720" w:end="0"/>
        <w:jc w:val="both"/>
        <w:rPr>
          <w:rFonts w:ascii="Arial" w:hAnsi="Arial" w:cs="Arial"/>
          <w:lang w:val="en-US" w:eastAsia="en-US"/>
        </w:rPr>
      </w:pPr>
      <w:r>
        <w:rPr>
          <w:rFonts w:cs="Arial" w:ascii="Arial" w:hAnsi="Arial"/>
          <w:rtl w:val="true"/>
          <w:lang w:val="en-US" w:eastAsia="en-US"/>
        </w:rPr>
      </w:r>
    </w:p>
    <w:tbl>
      <w:tblPr>
        <w:bidiVisual w:val="true"/>
        <w:tblW w:w="8820" w:type="dxa"/>
        <w:jc w:val="center"/>
        <w:tblInd w:w="0" w:type="dxa"/>
        <w:tblLayout w:type="fixed"/>
        <w:tblCellMar>
          <w:top w:w="0" w:type="dxa"/>
          <w:start w:w="108" w:type="dxa"/>
          <w:bottom w:w="0" w:type="dxa"/>
          <w:end w:w="108" w:type="dxa"/>
        </w:tblCellMar>
      </w:tblPr>
      <w:tblGrid>
        <w:gridCol w:w="8820"/>
      </w:tblGrid>
      <w:tr>
        <w:trPr/>
        <w:tc>
          <w:tcPr>
            <w:tcW w:w="8820" w:type="dxa"/>
            <w:tcBorders/>
          </w:tcPr>
          <w:p>
            <w:pPr>
              <w:pStyle w:val="Normal"/>
              <w:bidi w:val="0"/>
              <w:jc w:val="center"/>
              <w:rPr>
                <w:rFonts w:ascii="Arial" w:hAnsi="Arial" w:cs="Arial"/>
                <w:b/>
                <w:bCs/>
                <w:sz w:val="28"/>
                <w:szCs w:val="28"/>
                <w:u w:val="single"/>
                <w:lang w:val="en-US" w:eastAsia="en-US"/>
              </w:rPr>
            </w:pPr>
            <w:bookmarkStart w:id="7" w:name="PsakDin"/>
            <w:bookmarkEnd w:id="7"/>
            <w:r>
              <w:rPr>
                <w:rFonts w:ascii="Arial" w:hAnsi="Arial" w:cs="Arial"/>
                <w:b/>
                <w:b/>
                <w:bCs/>
                <w:sz w:val="28"/>
                <w:sz w:val="28"/>
                <w:szCs w:val="28"/>
                <w:u w:val="single"/>
                <w:rtl w:val="true"/>
                <w:lang w:val="en-US" w:eastAsia="en-US"/>
              </w:rPr>
              <w:t>פסק דין</w:t>
            </w:r>
          </w:p>
          <w:p>
            <w:pPr>
              <w:pStyle w:val="Normal"/>
              <w:bidi w:val="0"/>
              <w:jc w:val="center"/>
              <w:rPr>
                <w:rFonts w:ascii="Arial" w:hAnsi="Arial" w:cs="Arial"/>
                <w:b/>
                <w:bCs/>
                <w:sz w:val="28"/>
                <w:szCs w:val="28"/>
                <w:u w:val="single"/>
                <w:lang w:val="en-US" w:eastAsia="en-US"/>
              </w:rPr>
            </w:pPr>
            <w:r>
              <w:rPr>
                <w:rFonts w:cs="Arial" w:ascii="Arial" w:hAnsi="Arial"/>
                <w:b/>
                <w:bCs/>
                <w:sz w:val="28"/>
                <w:szCs w:val="28"/>
                <w:u w:val="single"/>
                <w:lang w:val="en-US" w:eastAsia="en-US"/>
              </w:rPr>
            </w:r>
          </w:p>
        </w:tc>
      </w:tr>
    </w:tbl>
    <w:p>
      <w:pPr>
        <w:pStyle w:val="Normal"/>
        <w:spacing w:lineRule="auto" w:line="360"/>
        <w:ind w:firstLine="720" w:end="0"/>
        <w:jc w:val="both"/>
        <w:rPr>
          <w:rFonts w:ascii="Arial" w:hAnsi="Arial" w:cs="Arial"/>
          <w:lang w:val="en-US" w:eastAsia="en-US"/>
        </w:rPr>
      </w:pPr>
      <w:r>
        <w:rPr>
          <w:rFonts w:cs="Arial" w:ascii="Arial" w:hAnsi="Arial"/>
          <w:rtl w:val="true"/>
          <w:lang w:val="en-US" w:eastAsia="en-US"/>
        </w:rPr>
      </w:r>
    </w:p>
    <w:p>
      <w:pPr>
        <w:pStyle w:val="Normal"/>
        <w:spacing w:lineRule="auto" w:line="360"/>
        <w:ind w:end="0"/>
        <w:jc w:val="both"/>
        <w:rPr/>
      </w:pPr>
      <w:r>
        <w:rPr>
          <w:rFonts w:ascii="Arial" w:hAnsi="Arial" w:cs="Arial"/>
          <w:b/>
          <w:b/>
          <w:bCs/>
          <w:u w:val="single"/>
          <w:rtl w:val="true"/>
          <w:lang w:val="en-US" w:eastAsia="en-US"/>
        </w:rPr>
        <w:t>השופטת ב</w:t>
      </w:r>
      <w:r>
        <w:rPr>
          <w:rFonts w:cs="Arial" w:ascii="Arial" w:hAnsi="Arial"/>
          <w:b/>
          <w:bCs/>
          <w:u w:val="single"/>
          <w:rtl w:val="true"/>
          <w:lang w:val="en-US" w:eastAsia="en-US"/>
        </w:rPr>
        <w:t xml:space="preserve">' </w:t>
      </w:r>
      <w:r>
        <w:rPr>
          <w:rFonts w:ascii="Arial" w:hAnsi="Arial" w:cs="Arial"/>
          <w:b/>
          <w:b/>
          <w:bCs/>
          <w:u w:val="single"/>
          <w:rtl w:val="true"/>
          <w:lang w:val="en-US" w:eastAsia="en-US"/>
        </w:rPr>
        <w:t>טאובר</w:t>
      </w:r>
      <w:r>
        <w:rPr>
          <w:rtl w:val="true"/>
        </w:rPr>
        <w:t>:</w:t>
      </w:r>
    </w:p>
    <w:p>
      <w:pPr>
        <w:pStyle w:val="Normal"/>
        <w:spacing w:lineRule="auto" w:line="360"/>
        <w:ind w:end="0"/>
        <w:jc w:val="both"/>
        <w:rPr>
          <w:rFonts w:ascii="David" w:hAnsi="David" w:cs="David"/>
          <w:b/>
          <w:bCs/>
          <w:u w:val="single"/>
        </w:rPr>
      </w:pPr>
      <w:r>
        <w:rPr>
          <w:rFonts w:cs="David" w:ascii="David" w:hAnsi="David"/>
          <w:b/>
          <w:bCs/>
          <w:u w:val="single"/>
          <w:rtl w:val="true"/>
        </w:rPr>
      </w:r>
    </w:p>
    <w:p>
      <w:pPr>
        <w:pStyle w:val="Normal"/>
        <w:spacing w:lineRule="auto" w:line="360"/>
        <w:ind w:firstLine="720" w:end="0"/>
        <w:jc w:val="both"/>
        <w:rPr>
          <w:rFonts w:ascii="David" w:hAnsi="David" w:cs="David"/>
          <w:b/>
          <w:bCs/>
          <w:u w:val="single"/>
          <w:lang w:val="en-US" w:eastAsia="en-US"/>
        </w:rPr>
      </w:pPr>
      <w:r>
        <w:rPr>
          <w:rFonts w:ascii="David" w:hAnsi="David"/>
          <w:b/>
          <w:b/>
          <w:bCs/>
          <w:u w:val="single"/>
          <w:rtl w:val="true"/>
        </w:rPr>
        <w:t>הערעור בתמצית</w:t>
      </w:r>
    </w:p>
    <w:p>
      <w:pPr>
        <w:pStyle w:val="Normal"/>
        <w:spacing w:lineRule="auto" w:line="360"/>
        <w:ind w:firstLine="720" w:end="0"/>
        <w:jc w:val="both"/>
        <w:rPr>
          <w:rFonts w:ascii="David" w:hAnsi="David" w:cs="David"/>
          <w:b/>
          <w:bCs/>
          <w:u w:val="single"/>
          <w:lang w:val="en-US" w:eastAsia="en-US"/>
        </w:rPr>
      </w:pPr>
      <w:r>
        <w:rPr>
          <w:rFonts w:cs="David" w:ascii="David" w:hAnsi="David"/>
          <w:b/>
          <w:bCs/>
          <w:u w:val="single"/>
          <w:rtl w:val="true"/>
          <w:lang w:val="en-US" w:eastAsia="en-US"/>
        </w:rPr>
      </w:r>
    </w:p>
    <w:p>
      <w:pPr>
        <w:pStyle w:val="Normal"/>
        <w:spacing w:lineRule="auto" w:line="360"/>
        <w:ind w:hanging="720" w:start="720" w:end="0"/>
        <w:jc w:val="both"/>
        <w:rPr>
          <w:rFonts w:ascii="David" w:hAnsi="David" w:cs="David"/>
        </w:rPr>
      </w:pPr>
      <w:r>
        <w:rPr>
          <w:rFonts w:cs="David" w:ascii="David" w:hAnsi="David"/>
        </w:rPr>
        <w:t>1</w:t>
      </w:r>
      <w:r>
        <w:rPr>
          <w:rFonts w:cs="David" w:ascii="David" w:hAnsi="David"/>
          <w:rtl w:val="true"/>
        </w:rPr>
        <w:t>.</w:t>
        <w:tab/>
      </w:r>
      <w:r>
        <w:rPr>
          <w:rFonts w:ascii="David" w:hAnsi="David"/>
          <w:rtl w:val="true"/>
        </w:rPr>
        <w:t xml:space="preserve">בפנינו ערעור המדינה </w:t>
      </w:r>
      <w:r>
        <w:rPr>
          <w:rFonts w:cs="David" w:ascii="David" w:hAnsi="David"/>
          <w:rtl w:val="true"/>
        </w:rPr>
        <w:t>(</w:t>
      </w:r>
      <w:r>
        <w:rPr>
          <w:rFonts w:ascii="David" w:hAnsi="David"/>
          <w:rtl w:val="true"/>
        </w:rPr>
        <w:t>להלן</w:t>
      </w:r>
      <w:r>
        <w:rPr>
          <w:rFonts w:cs="David" w:ascii="David" w:hAnsi="David"/>
          <w:rtl w:val="true"/>
        </w:rPr>
        <w:t xml:space="preserve">: </w:t>
      </w:r>
      <w:r>
        <w:rPr>
          <w:rFonts w:cs="David" w:ascii="David" w:hAnsi="David"/>
          <w:b/>
          <w:bCs/>
          <w:rtl w:val="true"/>
        </w:rPr>
        <w:t>"</w:t>
      </w:r>
      <w:r>
        <w:rPr>
          <w:rFonts w:ascii="David" w:hAnsi="David"/>
          <w:b/>
          <w:b/>
          <w:bCs/>
          <w:rtl w:val="true"/>
        </w:rPr>
        <w:t>המערערת</w:t>
      </w:r>
      <w:r>
        <w:rPr>
          <w:rFonts w:cs="David" w:ascii="David" w:hAnsi="David"/>
          <w:b/>
          <w:bCs/>
          <w:rtl w:val="true"/>
        </w:rPr>
        <w:t>"</w:t>
      </w:r>
      <w:r>
        <w:rPr>
          <w:rFonts w:cs="David" w:ascii="David" w:hAnsi="David"/>
          <w:rtl w:val="true"/>
        </w:rPr>
        <w:t xml:space="preserve">) </w:t>
      </w:r>
      <w:r>
        <w:rPr>
          <w:rFonts w:ascii="David" w:hAnsi="David"/>
          <w:rtl w:val="true"/>
        </w:rPr>
        <w:t xml:space="preserve">על פסק דינו של בית משפט השלום בחיפה </w:t>
      </w:r>
      <w:r>
        <w:rPr>
          <w:rFonts w:cs="David" w:ascii="David" w:hAnsi="David"/>
          <w:rtl w:val="true"/>
        </w:rPr>
        <w:t>(</w:t>
      </w:r>
      <w:r>
        <w:rPr>
          <w:rFonts w:ascii="David" w:hAnsi="David"/>
          <w:rtl w:val="true"/>
        </w:rPr>
        <w:t>כב</w:t>
      </w:r>
      <w:r>
        <w:rPr>
          <w:rFonts w:cs="David" w:ascii="David" w:hAnsi="David"/>
          <w:rtl w:val="true"/>
        </w:rPr>
        <w:t xml:space="preserve">' </w:t>
      </w:r>
      <w:r>
        <w:rPr>
          <w:rFonts w:ascii="David" w:hAnsi="David"/>
          <w:rtl w:val="true"/>
        </w:rPr>
        <w:t>השופט זאיד פלאח</w:t>
      </w:r>
      <w:r>
        <w:rPr>
          <w:rFonts w:cs="David" w:ascii="David" w:hAnsi="David"/>
          <w:rtl w:val="true"/>
        </w:rPr>
        <w:t xml:space="preserve">), </w:t>
      </w:r>
      <w:r>
        <w:rPr>
          <w:rFonts w:ascii="David" w:hAnsi="David"/>
          <w:rtl w:val="true"/>
        </w:rPr>
        <w:t xml:space="preserve">שניתן ביום </w:t>
      </w:r>
      <w:r>
        <w:rPr>
          <w:rFonts w:cs="David" w:ascii="David" w:hAnsi="David"/>
        </w:rPr>
        <w:t>07/09/15</w:t>
      </w:r>
      <w:r>
        <w:rPr>
          <w:rFonts w:cs="David" w:ascii="David" w:hAnsi="David"/>
          <w:rtl w:val="true"/>
        </w:rPr>
        <w:t xml:space="preserve"> </w:t>
      </w:r>
      <w:r>
        <w:rPr>
          <w:rFonts w:ascii="David" w:hAnsi="David"/>
          <w:rtl w:val="true"/>
        </w:rPr>
        <w:t xml:space="preserve">במסגרת </w:t>
      </w:r>
      <w:hyperlink r:id="rId9">
        <w:r>
          <w:rPr>
            <w:rStyle w:val="Hyperlink"/>
            <w:rFonts w:ascii="David" w:hAnsi="David"/>
            <w:color w:val="0000FF"/>
            <w:u w:val="single"/>
            <w:rtl w:val="true"/>
          </w:rPr>
          <w:t>ת</w:t>
        </w:r>
        <w:r>
          <w:rPr>
            <w:rStyle w:val="Hyperlink"/>
            <w:rFonts w:cs="David" w:ascii="David" w:hAnsi="David"/>
            <w:color w:val="0000FF"/>
            <w:u w:val="single"/>
            <w:rtl w:val="true"/>
          </w:rPr>
          <w:t>"</w:t>
        </w:r>
        <w:r>
          <w:rPr>
            <w:rStyle w:val="Hyperlink"/>
            <w:rFonts w:ascii="David" w:hAnsi="David"/>
            <w:color w:val="0000FF"/>
            <w:u w:val="single"/>
            <w:rtl w:val="true"/>
          </w:rPr>
          <w:t xml:space="preserve">פ </w:t>
        </w:r>
        <w:r>
          <w:rPr>
            <w:rStyle w:val="Hyperlink"/>
            <w:rFonts w:cs="David" w:ascii="David" w:hAnsi="David"/>
            <w:color w:val="0000FF"/>
            <w:u w:val="single"/>
          </w:rPr>
          <w:t>74-11-13</w:t>
        </w:r>
      </w:hyperlink>
      <w:r>
        <w:rPr>
          <w:rFonts w:cs="David" w:ascii="David" w:hAnsi="David"/>
          <w:rtl w:val="true"/>
        </w:rPr>
        <w:t xml:space="preserve">. </w:t>
      </w:r>
    </w:p>
    <w:p>
      <w:pPr>
        <w:pStyle w:val="Normal"/>
        <w:spacing w:lineRule="auto" w:line="360"/>
        <w:ind w:hanging="720" w:start="720" w:end="0"/>
        <w:jc w:val="both"/>
        <w:rPr>
          <w:rFonts w:ascii="David" w:hAnsi="David" w:cs="David"/>
        </w:rPr>
      </w:pPr>
      <w:r>
        <w:rPr>
          <w:rFonts w:cs="David" w:ascii="David" w:hAnsi="David"/>
          <w:rtl w:val="true"/>
        </w:rPr>
      </w:r>
    </w:p>
    <w:p>
      <w:pPr>
        <w:pStyle w:val="Normal"/>
        <w:spacing w:lineRule="auto" w:line="360"/>
        <w:ind w:hanging="720" w:start="720" w:end="0"/>
        <w:jc w:val="both"/>
        <w:rPr>
          <w:rFonts w:ascii="David" w:hAnsi="David" w:cs="David"/>
        </w:rPr>
      </w:pPr>
      <w:r>
        <w:rPr>
          <w:rFonts w:cs="David" w:ascii="David" w:hAnsi="David"/>
        </w:rPr>
        <w:t>2</w:t>
      </w:r>
      <w:r>
        <w:rPr>
          <w:rFonts w:cs="David" w:ascii="David" w:hAnsi="David"/>
          <w:rtl w:val="true"/>
        </w:rPr>
        <w:t>.</w:t>
        <w:tab/>
      </w:r>
      <w:bookmarkStart w:id="8" w:name="ABSTRACT_START"/>
      <w:bookmarkEnd w:id="8"/>
      <w:r>
        <w:rPr>
          <w:rFonts w:ascii="David" w:hAnsi="David"/>
          <w:rtl w:val="true"/>
        </w:rPr>
        <w:t>המשיב הודה בעובדות כתב אישום מתוקן המייחס לו עבירה של גידול</w:t>
      </w:r>
      <w:r>
        <w:rPr>
          <w:rFonts w:cs="David" w:ascii="David" w:hAnsi="David"/>
          <w:rtl w:val="true"/>
        </w:rPr>
        <w:t>/</w:t>
      </w:r>
      <w:r>
        <w:rPr>
          <w:rFonts w:ascii="David" w:hAnsi="David"/>
          <w:rtl w:val="true"/>
        </w:rPr>
        <w:t>ייצור</w:t>
      </w:r>
      <w:r>
        <w:rPr>
          <w:rFonts w:cs="David" w:ascii="David" w:hAnsi="David"/>
          <w:rtl w:val="true"/>
        </w:rPr>
        <w:t>/</w:t>
      </w:r>
      <w:r>
        <w:rPr>
          <w:rFonts w:ascii="David" w:hAnsi="David"/>
          <w:rtl w:val="true"/>
        </w:rPr>
        <w:t>הכנת סמים מסוכנים</w:t>
      </w:r>
      <w:r>
        <w:rPr>
          <w:rFonts w:cs="David" w:ascii="David" w:hAnsi="David"/>
          <w:rtl w:val="true"/>
        </w:rPr>
        <w:t xml:space="preserve">, </w:t>
      </w:r>
      <w:r>
        <w:rPr>
          <w:rFonts w:ascii="David" w:hAnsi="David"/>
          <w:rtl w:val="true"/>
        </w:rPr>
        <w:t xml:space="preserve">עבירה לפי </w:t>
      </w:r>
      <w:hyperlink r:id="rId10">
        <w:r>
          <w:rPr>
            <w:rStyle w:val="Hyperlink"/>
            <w:rFonts w:ascii="David" w:hAnsi="David"/>
            <w:color w:val="0000FF"/>
            <w:u w:val="single"/>
            <w:rtl w:val="true"/>
          </w:rPr>
          <w:t xml:space="preserve">סעיף </w:t>
        </w:r>
        <w:r>
          <w:rPr>
            <w:rStyle w:val="Hyperlink"/>
            <w:rFonts w:cs="David" w:ascii="David" w:hAnsi="David"/>
            <w:color w:val="0000FF"/>
            <w:u w:val="single"/>
          </w:rPr>
          <w:t>6</w:t>
        </w:r>
      </w:hyperlink>
      <w:r>
        <w:rPr>
          <w:rFonts w:cs="David" w:ascii="David" w:hAnsi="David"/>
          <w:rtl w:val="true"/>
        </w:rPr>
        <w:t xml:space="preserve"> </w:t>
      </w:r>
      <w:r>
        <w:rPr>
          <w:rFonts w:ascii="David" w:hAnsi="David"/>
          <w:rtl w:val="true"/>
        </w:rPr>
        <w:t>ל</w:t>
      </w:r>
      <w:hyperlink r:id="rId11">
        <w:r>
          <w:rPr>
            <w:rStyle w:val="Hyperlink"/>
            <w:rFonts w:ascii="David" w:hAnsi="David"/>
            <w:color w:val="0000FF"/>
            <w:u w:val="single"/>
            <w:rtl w:val="true"/>
          </w:rPr>
          <w:t>פקודת הסמים המסוכנים</w:t>
        </w:r>
      </w:hyperlink>
      <w:r>
        <w:rPr>
          <w:rFonts w:ascii="David" w:hAnsi="David"/>
          <w:rtl w:val="true"/>
        </w:rPr>
        <w:t xml:space="preserve"> </w:t>
      </w:r>
      <w:r>
        <w:rPr>
          <w:rFonts w:cs="David" w:ascii="David" w:hAnsi="David"/>
          <w:rtl w:val="true"/>
        </w:rPr>
        <w:t>(</w:t>
      </w:r>
      <w:r>
        <w:rPr>
          <w:rFonts w:ascii="David" w:hAnsi="David"/>
          <w:rtl w:val="true"/>
        </w:rPr>
        <w:t>נוסח חדש</w:t>
      </w:r>
      <w:r>
        <w:rPr>
          <w:rFonts w:cs="David" w:ascii="David" w:hAnsi="David"/>
          <w:rtl w:val="true"/>
        </w:rPr>
        <w:t xml:space="preserve">), </w:t>
      </w:r>
      <w:r>
        <w:rPr>
          <w:rFonts w:ascii="David" w:hAnsi="David"/>
          <w:rtl w:val="true"/>
        </w:rPr>
        <w:t>התשל</w:t>
      </w:r>
      <w:r>
        <w:rPr>
          <w:rFonts w:cs="David" w:ascii="David" w:hAnsi="David"/>
          <w:rtl w:val="true"/>
        </w:rPr>
        <w:t>"</w:t>
      </w:r>
      <w:r>
        <w:rPr>
          <w:rFonts w:ascii="David" w:hAnsi="David"/>
          <w:rtl w:val="true"/>
        </w:rPr>
        <w:t>ג</w:t>
      </w:r>
      <w:r>
        <w:rPr>
          <w:rFonts w:cs="David" w:ascii="David" w:hAnsi="David"/>
          <w:rtl w:val="true"/>
        </w:rPr>
        <w:t>-</w:t>
      </w:r>
      <w:r>
        <w:rPr>
          <w:rFonts w:cs="David" w:ascii="David" w:hAnsi="David"/>
        </w:rPr>
        <w:t>1973</w:t>
      </w:r>
      <w:r>
        <w:rPr>
          <w:rFonts w:cs="David" w:ascii="David" w:hAnsi="David"/>
          <w:rtl w:val="true"/>
        </w:rPr>
        <w:t xml:space="preserve"> (</w:t>
      </w:r>
      <w:r>
        <w:rPr>
          <w:rFonts w:ascii="David" w:hAnsi="David"/>
          <w:rtl w:val="true"/>
        </w:rPr>
        <w:t>להלן</w:t>
      </w:r>
      <w:r>
        <w:rPr>
          <w:rFonts w:cs="David" w:ascii="David" w:hAnsi="David"/>
          <w:rtl w:val="true"/>
        </w:rPr>
        <w:t xml:space="preserve">: </w:t>
      </w:r>
      <w:r>
        <w:rPr>
          <w:rFonts w:cs="David" w:ascii="David" w:hAnsi="David"/>
          <w:b/>
          <w:bCs/>
          <w:rtl w:val="true"/>
        </w:rPr>
        <w:t>"</w:t>
      </w:r>
      <w:r>
        <w:rPr>
          <w:rFonts w:ascii="David" w:hAnsi="David"/>
          <w:b/>
          <w:b/>
          <w:bCs/>
          <w:rtl w:val="true"/>
        </w:rPr>
        <w:t>פקודת הסמים</w:t>
      </w:r>
      <w:r>
        <w:rPr>
          <w:rFonts w:cs="David" w:ascii="David" w:hAnsi="David"/>
          <w:b/>
          <w:bCs/>
          <w:rtl w:val="true"/>
        </w:rPr>
        <w:t>"</w:t>
      </w:r>
      <w:r>
        <w:rPr>
          <w:rFonts w:cs="David" w:ascii="David" w:hAnsi="David"/>
          <w:rtl w:val="true"/>
        </w:rPr>
        <w:t xml:space="preserve">) + </w:t>
      </w:r>
      <w:hyperlink r:id="rId12">
        <w:r>
          <w:rPr>
            <w:rStyle w:val="Hyperlink"/>
            <w:rFonts w:ascii="David" w:hAnsi="David"/>
            <w:color w:val="0000FF"/>
            <w:u w:val="single"/>
            <w:rtl w:val="true"/>
          </w:rPr>
          <w:t xml:space="preserve">סעיף </w:t>
        </w:r>
        <w:r>
          <w:rPr>
            <w:rStyle w:val="Hyperlink"/>
            <w:rFonts w:cs="David" w:ascii="David" w:hAnsi="David"/>
            <w:color w:val="0000FF"/>
            <w:u w:val="single"/>
          </w:rPr>
          <w:t>29</w:t>
        </w:r>
        <w:r>
          <w:rPr>
            <w:rStyle w:val="Hyperlink"/>
            <w:rFonts w:cs="David" w:ascii="David" w:hAnsi="David"/>
            <w:color w:val="0000FF"/>
            <w:u w:val="single"/>
            <w:rtl w:val="true"/>
          </w:rPr>
          <w:t>(</w:t>
        </w:r>
        <w:r>
          <w:rPr>
            <w:rStyle w:val="Hyperlink"/>
            <w:rFonts w:ascii="David" w:hAnsi="David"/>
            <w:color w:val="0000FF"/>
            <w:u w:val="single"/>
            <w:rtl w:val="true"/>
          </w:rPr>
          <w:t>א</w:t>
        </w:r>
        <w:r>
          <w:rPr>
            <w:rStyle w:val="Hyperlink"/>
            <w:rFonts w:cs="David" w:ascii="David" w:hAnsi="David"/>
            <w:color w:val="0000FF"/>
            <w:u w:val="single"/>
            <w:rtl w:val="true"/>
          </w:rPr>
          <w:t>)</w:t>
        </w:r>
      </w:hyperlink>
      <w:r>
        <w:rPr>
          <w:rFonts w:cs="David" w:ascii="David" w:hAnsi="David"/>
          <w:rtl w:val="true"/>
        </w:rPr>
        <w:t xml:space="preserve"> </w:t>
      </w:r>
      <w:r>
        <w:rPr>
          <w:rFonts w:ascii="David" w:hAnsi="David"/>
          <w:rtl w:val="true"/>
        </w:rPr>
        <w:t>ל</w:t>
      </w:r>
      <w:hyperlink r:id="rId13">
        <w:r>
          <w:rPr>
            <w:rStyle w:val="Hyperlink"/>
            <w:rFonts w:ascii="David" w:hAnsi="David"/>
            <w:color w:val="0000FF"/>
            <w:u w:val="single"/>
            <w:rtl w:val="true"/>
          </w:rPr>
          <w:t>חוק העונשין</w:t>
        </w:r>
      </w:hyperlink>
      <w:r>
        <w:rPr>
          <w:rFonts w:cs="David" w:ascii="David" w:hAnsi="David"/>
          <w:rtl w:val="true"/>
        </w:rPr>
        <w:t xml:space="preserve">, </w:t>
      </w:r>
      <w:r>
        <w:rPr>
          <w:rFonts w:ascii="David" w:hAnsi="David"/>
          <w:rtl w:val="true"/>
        </w:rPr>
        <w:t>התשל</w:t>
      </w:r>
      <w:r>
        <w:rPr>
          <w:rFonts w:cs="David" w:ascii="David" w:hAnsi="David"/>
          <w:rtl w:val="true"/>
        </w:rPr>
        <w:t>"</w:t>
      </w:r>
      <w:r>
        <w:rPr>
          <w:rFonts w:ascii="David" w:hAnsi="David"/>
          <w:rtl w:val="true"/>
        </w:rPr>
        <w:t>ז</w:t>
      </w:r>
      <w:r>
        <w:rPr>
          <w:rFonts w:cs="David" w:ascii="David" w:hAnsi="David"/>
          <w:rtl w:val="true"/>
        </w:rPr>
        <w:t>-</w:t>
      </w:r>
      <w:bookmarkStart w:id="9" w:name="ABSTRACT_END"/>
      <w:bookmarkEnd w:id="9"/>
      <w:r>
        <w:rPr>
          <w:rFonts w:cs="David" w:ascii="David" w:hAnsi="David"/>
        </w:rPr>
        <w:t>1977</w:t>
      </w:r>
      <w:r>
        <w:rPr>
          <w:rFonts w:cs="David" w:ascii="David" w:hAnsi="David"/>
          <w:rtl w:val="true"/>
        </w:rPr>
        <w:t xml:space="preserve"> (</w:t>
      </w:r>
      <w:r>
        <w:rPr>
          <w:rFonts w:ascii="David" w:hAnsi="David"/>
          <w:rtl w:val="true"/>
        </w:rPr>
        <w:t>להלן</w:t>
      </w:r>
      <w:r>
        <w:rPr>
          <w:rFonts w:cs="David" w:ascii="David" w:hAnsi="David"/>
          <w:rtl w:val="true"/>
        </w:rPr>
        <w:t xml:space="preserve">: </w:t>
      </w:r>
      <w:r>
        <w:rPr>
          <w:rFonts w:cs="David" w:ascii="David" w:hAnsi="David"/>
          <w:b/>
          <w:bCs/>
          <w:rtl w:val="true"/>
        </w:rPr>
        <w:t>"</w:t>
      </w:r>
      <w:r>
        <w:rPr>
          <w:rFonts w:ascii="David" w:hAnsi="David"/>
          <w:b/>
          <w:b/>
          <w:bCs/>
          <w:rtl w:val="true"/>
        </w:rPr>
        <w:t>חוק העונשין</w:t>
      </w:r>
      <w:r>
        <w:rPr>
          <w:rFonts w:cs="David" w:ascii="David" w:hAnsi="David"/>
          <w:b/>
          <w:bCs/>
          <w:rtl w:val="true"/>
        </w:rPr>
        <w:t>"</w:t>
      </w:r>
      <w:r>
        <w:rPr>
          <w:rFonts w:cs="David" w:ascii="David" w:hAnsi="David"/>
          <w:rtl w:val="true"/>
        </w:rPr>
        <w:t xml:space="preserve">). </w:t>
      </w:r>
    </w:p>
    <w:p>
      <w:pPr>
        <w:pStyle w:val="Normal"/>
        <w:spacing w:lineRule="auto" w:line="360"/>
        <w:ind w:hanging="720" w:start="720" w:end="0"/>
        <w:jc w:val="both"/>
        <w:rPr>
          <w:rFonts w:ascii="David" w:hAnsi="David" w:cs="David"/>
        </w:rPr>
      </w:pPr>
      <w:r>
        <w:rPr>
          <w:rFonts w:cs="David" w:ascii="David" w:hAnsi="David"/>
          <w:rtl w:val="true"/>
        </w:rPr>
      </w:r>
    </w:p>
    <w:p>
      <w:pPr>
        <w:pStyle w:val="Normal"/>
        <w:spacing w:lineRule="auto" w:line="360"/>
        <w:ind w:start="720" w:end="0"/>
        <w:jc w:val="both"/>
        <w:rPr>
          <w:rFonts w:ascii="David" w:hAnsi="David" w:cs="David"/>
        </w:rPr>
      </w:pPr>
      <w:r>
        <w:rPr>
          <w:rFonts w:ascii="David" w:hAnsi="David"/>
          <w:rtl w:val="true"/>
        </w:rPr>
        <w:t>בית משפט קמא נמנע מהרשעת המשיב</w:t>
      </w:r>
      <w:r>
        <w:rPr>
          <w:rFonts w:cs="David" w:ascii="David" w:hAnsi="David"/>
          <w:rtl w:val="true"/>
        </w:rPr>
        <w:t xml:space="preserve">, </w:t>
      </w:r>
      <w:r>
        <w:rPr>
          <w:rFonts w:ascii="David" w:hAnsi="David"/>
          <w:rtl w:val="true"/>
        </w:rPr>
        <w:t>והשית עליו את העונשים הבאים</w:t>
      </w:r>
      <w:r>
        <w:rPr>
          <w:rFonts w:cs="David" w:ascii="David" w:hAnsi="David"/>
          <w:rtl w:val="true"/>
        </w:rPr>
        <w:t xml:space="preserve">: </w:t>
      </w:r>
      <w:r>
        <w:rPr>
          <w:rFonts w:ascii="David" w:hAnsi="David"/>
          <w:rtl w:val="true"/>
        </w:rPr>
        <w:t>ביצוע עבודות של</w:t>
      </w:r>
      <w:r>
        <w:rPr>
          <w:rFonts w:cs="David" w:ascii="David" w:hAnsi="David"/>
          <w:rtl w:val="true"/>
        </w:rPr>
        <w:t>"</w:t>
      </w:r>
      <w:r>
        <w:rPr>
          <w:rFonts w:ascii="David" w:hAnsi="David"/>
          <w:rtl w:val="true"/>
        </w:rPr>
        <w:t xml:space="preserve">צ בהיקף של </w:t>
      </w:r>
      <w:r>
        <w:rPr>
          <w:rFonts w:cs="David" w:ascii="David" w:hAnsi="David"/>
        </w:rPr>
        <w:t>180</w:t>
      </w:r>
      <w:r>
        <w:rPr>
          <w:rFonts w:cs="David" w:ascii="David" w:hAnsi="David"/>
          <w:rtl w:val="true"/>
        </w:rPr>
        <w:t xml:space="preserve"> </w:t>
      </w:r>
      <w:r>
        <w:rPr>
          <w:rFonts w:ascii="David" w:hAnsi="David"/>
          <w:rtl w:val="true"/>
        </w:rPr>
        <w:t>שעות</w:t>
      </w:r>
      <w:r>
        <w:rPr>
          <w:rFonts w:cs="David" w:ascii="David" w:hAnsi="David"/>
          <w:rtl w:val="true"/>
        </w:rPr>
        <w:t xml:space="preserve">; </w:t>
      </w:r>
      <w:r>
        <w:rPr>
          <w:rFonts w:ascii="David" w:hAnsi="David"/>
          <w:rtl w:val="true"/>
        </w:rPr>
        <w:t>צו מבחן לתקופה של שנה</w:t>
      </w:r>
      <w:r>
        <w:rPr>
          <w:rFonts w:cs="David" w:ascii="David" w:hAnsi="David"/>
          <w:rtl w:val="true"/>
        </w:rPr>
        <w:t xml:space="preserve">; </w:t>
      </w:r>
      <w:r>
        <w:rPr>
          <w:rFonts w:ascii="David" w:hAnsi="David"/>
          <w:rtl w:val="true"/>
        </w:rPr>
        <w:t xml:space="preserve">תשלום פיצוי על סך של </w:t>
      </w:r>
      <w:r>
        <w:rPr>
          <w:rFonts w:cs="David" w:ascii="David" w:hAnsi="David"/>
        </w:rPr>
        <w:t>5,000</w:t>
      </w:r>
      <w:r>
        <w:rPr>
          <w:rFonts w:cs="David" w:ascii="David" w:hAnsi="David"/>
          <w:rtl w:val="true"/>
        </w:rPr>
        <w:t xml:space="preserve"> ₪ </w:t>
      </w:r>
      <w:r>
        <w:rPr>
          <w:rFonts w:ascii="David" w:hAnsi="David"/>
          <w:rtl w:val="true"/>
        </w:rPr>
        <w:t>לטובת המלחמה בסם אשר יועבר לשירות המבחן וזה ידאג להעבירו לגורם המתאים לפי שיקול דעתו ו</w:t>
      </w:r>
      <w:r>
        <w:rPr>
          <w:rFonts w:cs="David" w:ascii="David" w:hAnsi="David"/>
          <w:rtl w:val="true"/>
        </w:rPr>
        <w:t>-</w:t>
      </w:r>
      <w:r>
        <w:rPr>
          <w:rFonts w:cs="David" w:ascii="David" w:hAnsi="David"/>
        </w:rPr>
        <w:t>6</w:t>
      </w:r>
      <w:r>
        <w:rPr>
          <w:rFonts w:cs="David" w:ascii="David" w:hAnsi="David"/>
          <w:rtl w:val="true"/>
        </w:rPr>
        <w:t xml:space="preserve"> </w:t>
      </w:r>
      <w:r>
        <w:rPr>
          <w:rFonts w:ascii="David" w:hAnsi="David"/>
          <w:rtl w:val="true"/>
        </w:rPr>
        <w:t>חודשי פסילה על תנאי מלקבל או להחזיק ברישיון נהיגה</w:t>
      </w:r>
      <w:r>
        <w:rPr>
          <w:rFonts w:cs="David" w:ascii="David" w:hAnsi="David"/>
          <w:rtl w:val="true"/>
        </w:rPr>
        <w:t xml:space="preserve">, </w:t>
      </w:r>
      <w:r>
        <w:rPr>
          <w:rFonts w:ascii="David" w:hAnsi="David"/>
          <w:rtl w:val="true"/>
        </w:rPr>
        <w:t>והתנאי הוא שבמשך שנתיים לא יורשע המשיב בעבירה כלשהי על פקודת הסמים</w:t>
      </w:r>
      <w:r>
        <w:rPr>
          <w:rFonts w:cs="David" w:ascii="David" w:hAnsi="David"/>
          <w:rtl w:val="true"/>
        </w:rPr>
        <w:t xml:space="preserve">. </w:t>
      </w:r>
    </w:p>
    <w:p>
      <w:pPr>
        <w:pStyle w:val="Normal"/>
        <w:spacing w:lineRule="auto" w:line="360"/>
        <w:ind w:hanging="720" w:start="720" w:end="0"/>
        <w:jc w:val="center"/>
        <w:rPr>
          <w:rFonts w:ascii="David" w:hAnsi="David" w:cs="David"/>
        </w:rPr>
      </w:pPr>
      <w:r>
        <w:rPr>
          <w:rFonts w:cs="David" w:ascii="David" w:hAnsi="David"/>
          <w:rtl w:val="true"/>
        </w:rPr>
      </w:r>
    </w:p>
    <w:p>
      <w:pPr>
        <w:pStyle w:val="Normal"/>
        <w:spacing w:lineRule="auto" w:line="360"/>
        <w:ind w:hanging="720" w:start="720" w:end="0"/>
        <w:jc w:val="both"/>
        <w:rPr>
          <w:rFonts w:ascii="David" w:hAnsi="David" w:cs="David"/>
        </w:rPr>
      </w:pPr>
      <w:r>
        <w:rPr>
          <w:rFonts w:cs="David" w:ascii="David" w:hAnsi="David"/>
        </w:rPr>
        <w:t>3</w:t>
      </w:r>
      <w:r>
        <w:rPr>
          <w:rFonts w:cs="David" w:ascii="David" w:hAnsi="David"/>
          <w:rtl w:val="true"/>
        </w:rPr>
        <w:t>.</w:t>
        <w:tab/>
      </w:r>
      <w:r>
        <w:rPr>
          <w:rFonts w:ascii="David" w:hAnsi="David"/>
          <w:rtl w:val="true"/>
        </w:rPr>
        <w:t>המערערת משיגה במסגרת הערעור על החלטת בית משפט קמא להימנע מהרשעת המשיב</w:t>
      </w:r>
      <w:r>
        <w:rPr>
          <w:rFonts w:cs="David" w:ascii="David" w:hAnsi="David"/>
          <w:rtl w:val="true"/>
        </w:rPr>
        <w:t xml:space="preserve">, </w:t>
      </w:r>
      <w:r>
        <w:rPr>
          <w:rFonts w:ascii="David" w:hAnsi="David"/>
          <w:rtl w:val="true"/>
        </w:rPr>
        <w:t>ומבקשת להרשיע את המשיב בביצוע העבירה בה הודה</w:t>
      </w:r>
      <w:r>
        <w:rPr>
          <w:rFonts w:cs="David" w:ascii="David" w:hAnsi="David"/>
          <w:rtl w:val="true"/>
        </w:rPr>
        <w:t xml:space="preserve">, </w:t>
      </w:r>
      <w:r>
        <w:rPr>
          <w:rFonts w:ascii="David" w:hAnsi="David"/>
          <w:rtl w:val="true"/>
        </w:rPr>
        <w:t>ולהטיל עליו מלבד העונשים שהוטלו במסגרת פסק דינו של בית משפט קמא</w:t>
      </w:r>
      <w:r>
        <w:rPr>
          <w:rFonts w:cs="David" w:ascii="David" w:hAnsi="David"/>
          <w:rtl w:val="true"/>
        </w:rPr>
        <w:t xml:space="preserve">, </w:t>
      </w:r>
      <w:r>
        <w:rPr>
          <w:rFonts w:ascii="David" w:hAnsi="David"/>
          <w:rtl w:val="true"/>
        </w:rPr>
        <w:t xml:space="preserve">עונש מאסר על תנאי וקנס כספי באופן שהפיצוי שהוטל על המשיב יומר בקנס כספי שיועבר לקרן החילוט שהוקמה לפי </w:t>
      </w:r>
      <w:hyperlink r:id="rId14">
        <w:r>
          <w:rPr>
            <w:rStyle w:val="Hyperlink"/>
            <w:rFonts w:ascii="David" w:hAnsi="David"/>
            <w:color w:val="0000FF"/>
            <w:u w:val="single"/>
            <w:rtl w:val="true"/>
          </w:rPr>
          <w:t xml:space="preserve">סעיף </w:t>
        </w:r>
        <w:r>
          <w:rPr>
            <w:rStyle w:val="Hyperlink"/>
            <w:rFonts w:cs="David" w:ascii="David" w:hAnsi="David"/>
            <w:color w:val="0000FF"/>
            <w:u w:val="single"/>
          </w:rPr>
          <w:t>36</w:t>
        </w:r>
        <w:r>
          <w:rPr>
            <w:rStyle w:val="Hyperlink"/>
            <w:rFonts w:ascii="David" w:hAnsi="David"/>
            <w:color w:val="0000FF"/>
            <w:u w:val="single"/>
            <w:rtl w:val="true"/>
          </w:rPr>
          <w:t>ח</w:t>
        </w:r>
      </w:hyperlink>
      <w:r>
        <w:rPr>
          <w:rFonts w:cs="David" w:ascii="David" w:hAnsi="David"/>
          <w:rtl w:val="true"/>
        </w:rPr>
        <w:t xml:space="preserve">' </w:t>
      </w:r>
      <w:r>
        <w:rPr>
          <w:rFonts w:ascii="David" w:hAnsi="David"/>
          <w:rtl w:val="true"/>
        </w:rPr>
        <w:t>לפקודת הסמים</w:t>
      </w:r>
      <w:r>
        <w:rPr>
          <w:rFonts w:cs="David" w:ascii="David" w:hAnsi="David"/>
          <w:rtl w:val="true"/>
        </w:rPr>
        <w:t>.</w:t>
      </w:r>
    </w:p>
    <w:p>
      <w:pPr>
        <w:pStyle w:val="Normal"/>
        <w:spacing w:lineRule="auto" w:line="360"/>
        <w:ind w:hanging="720" w:start="720" w:end="0"/>
        <w:jc w:val="both"/>
        <w:rPr>
          <w:rFonts w:ascii="David" w:hAnsi="David" w:cs="David"/>
        </w:rPr>
      </w:pPr>
      <w:r>
        <w:rPr>
          <w:rFonts w:cs="David" w:ascii="David" w:hAnsi="David"/>
          <w:rtl w:val="true"/>
        </w:rPr>
      </w:r>
    </w:p>
    <w:p>
      <w:pPr>
        <w:pStyle w:val="Normal"/>
        <w:spacing w:lineRule="auto" w:line="360"/>
        <w:ind w:hanging="720" w:start="720" w:end="0"/>
        <w:jc w:val="both"/>
        <w:rPr>
          <w:rFonts w:ascii="David" w:hAnsi="David" w:cs="David"/>
          <w:b/>
          <w:bCs/>
          <w:u w:val="single"/>
        </w:rPr>
      </w:pPr>
      <w:r>
        <w:rPr>
          <w:rFonts w:cs="David" w:ascii="David" w:hAnsi="David"/>
          <w:rtl w:val="true"/>
        </w:rPr>
        <w:tab/>
      </w:r>
      <w:r>
        <w:rPr>
          <w:rFonts w:ascii="David" w:hAnsi="David"/>
          <w:b/>
          <w:b/>
          <w:bCs/>
          <w:u w:val="single"/>
          <w:rtl w:val="true"/>
        </w:rPr>
        <w:t>כתב האישום המתוקן</w:t>
      </w:r>
    </w:p>
    <w:p>
      <w:pPr>
        <w:pStyle w:val="Normal"/>
        <w:spacing w:lineRule="auto" w:line="360"/>
        <w:ind w:hanging="720" w:start="720" w:end="0"/>
        <w:jc w:val="both"/>
        <w:rPr>
          <w:rFonts w:ascii="David" w:hAnsi="David" w:cs="David"/>
          <w:b/>
          <w:bCs/>
          <w:u w:val="single"/>
        </w:rPr>
      </w:pPr>
      <w:r>
        <w:rPr>
          <w:rFonts w:cs="David" w:ascii="David" w:hAnsi="David"/>
          <w:b/>
          <w:bCs/>
          <w:u w:val="single"/>
          <w:rtl w:val="true"/>
        </w:rPr>
      </w:r>
    </w:p>
    <w:p>
      <w:pPr>
        <w:pStyle w:val="Normal"/>
        <w:spacing w:lineRule="auto" w:line="360"/>
        <w:ind w:hanging="720" w:start="720" w:end="0"/>
        <w:jc w:val="both"/>
        <w:rPr>
          <w:rFonts w:ascii="David" w:hAnsi="David" w:cs="David"/>
        </w:rPr>
      </w:pPr>
      <w:r>
        <w:rPr>
          <w:rFonts w:cs="David" w:ascii="David" w:hAnsi="David"/>
        </w:rPr>
        <w:t>4</w:t>
      </w:r>
      <w:r>
        <w:rPr>
          <w:rFonts w:cs="David" w:ascii="David" w:hAnsi="David"/>
          <w:rtl w:val="true"/>
        </w:rPr>
        <w:t>.</w:t>
        <w:tab/>
      </w:r>
      <w:r>
        <w:rPr>
          <w:rFonts w:ascii="David" w:hAnsi="David"/>
          <w:rtl w:val="true"/>
        </w:rPr>
        <w:t xml:space="preserve">כנגד המשב ונאשם נוסף </w:t>
      </w:r>
      <w:r>
        <w:rPr>
          <w:rFonts w:cs="David" w:ascii="David" w:hAnsi="David"/>
          <w:rtl w:val="true"/>
        </w:rPr>
        <w:t>(</w:t>
      </w:r>
      <w:r>
        <w:rPr>
          <w:rFonts w:ascii="David" w:hAnsi="David"/>
          <w:rtl w:val="true"/>
        </w:rPr>
        <w:t>להלן</w:t>
      </w:r>
      <w:r>
        <w:rPr>
          <w:rFonts w:cs="David" w:ascii="David" w:hAnsi="David"/>
          <w:rtl w:val="true"/>
        </w:rPr>
        <w:t xml:space="preserve">: </w:t>
      </w:r>
      <w:r>
        <w:rPr>
          <w:rFonts w:cs="David" w:ascii="David" w:hAnsi="David"/>
          <w:b/>
          <w:bCs/>
          <w:rtl w:val="true"/>
        </w:rPr>
        <w:t>"</w:t>
      </w:r>
      <w:r>
        <w:rPr>
          <w:rFonts w:ascii="David" w:hAnsi="David"/>
          <w:b/>
          <w:b/>
          <w:bCs/>
          <w:rtl w:val="true"/>
        </w:rPr>
        <w:t>הנאשם הנוסף</w:t>
      </w:r>
      <w:r>
        <w:rPr>
          <w:rFonts w:cs="David" w:ascii="David" w:hAnsi="David"/>
          <w:b/>
          <w:bCs/>
          <w:rtl w:val="true"/>
        </w:rPr>
        <w:t>"</w:t>
      </w:r>
      <w:r>
        <w:rPr>
          <w:rFonts w:cs="David" w:ascii="David" w:hAnsi="David"/>
          <w:rtl w:val="true"/>
        </w:rPr>
        <w:t xml:space="preserve">), </w:t>
      </w:r>
      <w:r>
        <w:rPr>
          <w:rFonts w:ascii="David" w:hAnsi="David"/>
          <w:rtl w:val="true"/>
        </w:rPr>
        <w:t>הוגש כתב אישום המייחס להם עבירה של גידול</w:t>
      </w:r>
      <w:r>
        <w:rPr>
          <w:rFonts w:cs="David" w:ascii="David" w:hAnsi="David"/>
          <w:rtl w:val="true"/>
        </w:rPr>
        <w:t xml:space="preserve">, </w:t>
      </w:r>
      <w:r>
        <w:rPr>
          <w:rFonts w:ascii="David" w:hAnsi="David"/>
          <w:rtl w:val="true"/>
        </w:rPr>
        <w:t>ייצור והכנת סמים</w:t>
      </w:r>
      <w:r>
        <w:rPr>
          <w:rFonts w:cs="David" w:ascii="David" w:hAnsi="David"/>
          <w:rtl w:val="true"/>
        </w:rPr>
        <w:t xml:space="preserve">, </w:t>
      </w:r>
      <w:r>
        <w:rPr>
          <w:rFonts w:ascii="David" w:hAnsi="David"/>
          <w:rtl w:val="true"/>
        </w:rPr>
        <w:t>עבירה על פקודת הסמים</w:t>
      </w:r>
      <w:r>
        <w:rPr>
          <w:rFonts w:cs="David" w:ascii="David" w:hAnsi="David"/>
          <w:rtl w:val="true"/>
        </w:rPr>
        <w:t xml:space="preserve">. </w:t>
      </w:r>
      <w:r>
        <w:rPr>
          <w:rFonts w:ascii="David" w:hAnsi="David"/>
          <w:rtl w:val="true"/>
        </w:rPr>
        <w:t>לאחר שהסתיים ההליך בעניינו של הנאשם הנוסף</w:t>
      </w:r>
      <w:r>
        <w:rPr>
          <w:rFonts w:cs="David" w:ascii="David" w:hAnsi="David"/>
          <w:rtl w:val="true"/>
        </w:rPr>
        <w:t xml:space="preserve">, </w:t>
      </w:r>
      <w:r>
        <w:rPr>
          <w:rFonts w:ascii="David" w:hAnsi="David"/>
          <w:rtl w:val="true"/>
        </w:rPr>
        <w:t xml:space="preserve">אשר נידון בפני מותב אחר </w:t>
      </w:r>
      <w:r>
        <w:rPr>
          <w:rFonts w:cs="David" w:ascii="David" w:hAnsi="David"/>
          <w:rtl w:val="true"/>
        </w:rPr>
        <w:t>(</w:t>
      </w:r>
      <w:r>
        <w:rPr>
          <w:rFonts w:ascii="David" w:hAnsi="David"/>
          <w:rtl w:val="true"/>
        </w:rPr>
        <w:t>כב</w:t>
      </w:r>
      <w:r>
        <w:rPr>
          <w:rFonts w:cs="David" w:ascii="David" w:hAnsi="David"/>
          <w:rtl w:val="true"/>
        </w:rPr>
        <w:t xml:space="preserve">' </w:t>
      </w:r>
      <w:r>
        <w:rPr>
          <w:rFonts w:ascii="David" w:hAnsi="David"/>
          <w:rtl w:val="true"/>
        </w:rPr>
        <w:t>השופטת א</w:t>
      </w:r>
      <w:r>
        <w:rPr>
          <w:rFonts w:cs="David" w:ascii="David" w:hAnsi="David"/>
          <w:rtl w:val="true"/>
        </w:rPr>
        <w:t xml:space="preserve">' </w:t>
      </w:r>
      <w:r>
        <w:rPr>
          <w:rFonts w:ascii="David" w:hAnsi="David"/>
          <w:rtl w:val="true"/>
        </w:rPr>
        <w:t>קנטור</w:t>
      </w:r>
      <w:r>
        <w:rPr>
          <w:rFonts w:cs="David" w:ascii="David" w:hAnsi="David"/>
          <w:rtl w:val="true"/>
        </w:rPr>
        <w:t xml:space="preserve">, </w:t>
      </w:r>
      <w:r>
        <w:rPr>
          <w:rFonts w:ascii="David" w:hAnsi="David"/>
          <w:rtl w:val="true"/>
        </w:rPr>
        <w:t>ס</w:t>
      </w:r>
      <w:r>
        <w:rPr>
          <w:rFonts w:cs="David" w:ascii="David" w:hAnsi="David"/>
          <w:rtl w:val="true"/>
        </w:rPr>
        <w:t>.</w:t>
      </w:r>
      <w:r>
        <w:rPr>
          <w:rFonts w:ascii="David" w:hAnsi="David"/>
          <w:rtl w:val="true"/>
        </w:rPr>
        <w:t>נ</w:t>
      </w:r>
      <w:r>
        <w:rPr>
          <w:rFonts w:cs="David" w:ascii="David" w:hAnsi="David"/>
          <w:rtl w:val="true"/>
        </w:rPr>
        <w:t xml:space="preserve">.), </w:t>
      </w:r>
      <w:r>
        <w:rPr>
          <w:rFonts w:ascii="David" w:hAnsi="David"/>
          <w:rtl w:val="true"/>
        </w:rPr>
        <w:t>שם הורשע הנאשם הנוסף בביצוע העבירה נשוא כתב האישום והוטלו עליו עבודות של</w:t>
      </w:r>
      <w:r>
        <w:rPr>
          <w:rFonts w:cs="David" w:ascii="David" w:hAnsi="David"/>
          <w:rtl w:val="true"/>
        </w:rPr>
        <w:t>"</w:t>
      </w:r>
      <w:r>
        <w:rPr>
          <w:rFonts w:ascii="David" w:hAnsi="David"/>
          <w:rtl w:val="true"/>
        </w:rPr>
        <w:t>צ</w:t>
      </w:r>
      <w:r>
        <w:rPr>
          <w:rFonts w:cs="David" w:ascii="David" w:hAnsi="David"/>
          <w:rtl w:val="true"/>
        </w:rPr>
        <w:t xml:space="preserve">, </w:t>
      </w:r>
      <w:r>
        <w:rPr>
          <w:rFonts w:ascii="David" w:hAnsi="David"/>
          <w:rtl w:val="true"/>
        </w:rPr>
        <w:t xml:space="preserve">מאסר על תנאי ותשלום קנס בסך של </w:t>
      </w:r>
      <w:r>
        <w:rPr>
          <w:rFonts w:cs="David" w:ascii="David" w:hAnsi="David"/>
        </w:rPr>
        <w:t>11,000</w:t>
      </w:r>
      <w:r>
        <w:rPr>
          <w:rFonts w:cs="David" w:ascii="David" w:hAnsi="David"/>
          <w:rtl w:val="true"/>
        </w:rPr>
        <w:t xml:space="preserve"> ₪, </w:t>
      </w:r>
      <w:r>
        <w:rPr>
          <w:rFonts w:ascii="David" w:hAnsi="David"/>
          <w:rtl w:val="true"/>
        </w:rPr>
        <w:t>תוקן כתב האישום</w:t>
      </w:r>
      <w:r>
        <w:rPr>
          <w:rFonts w:cs="David" w:ascii="David" w:hAnsi="David"/>
          <w:rtl w:val="true"/>
        </w:rPr>
        <w:t xml:space="preserve">. </w:t>
      </w:r>
    </w:p>
    <w:p>
      <w:pPr>
        <w:pStyle w:val="Normal"/>
        <w:spacing w:lineRule="auto" w:line="360"/>
        <w:ind w:hanging="720" w:start="720" w:end="0"/>
        <w:jc w:val="both"/>
        <w:rPr>
          <w:rFonts w:ascii="David" w:hAnsi="David" w:cs="David"/>
        </w:rPr>
      </w:pPr>
      <w:r>
        <w:rPr>
          <w:rFonts w:cs="David" w:ascii="David" w:hAnsi="David"/>
          <w:rtl w:val="true"/>
        </w:rPr>
      </w:r>
    </w:p>
    <w:p>
      <w:pPr>
        <w:pStyle w:val="Normal"/>
        <w:spacing w:lineRule="auto" w:line="360"/>
        <w:ind w:start="720" w:end="0"/>
        <w:jc w:val="both"/>
        <w:rPr>
          <w:rFonts w:ascii="David" w:hAnsi="David" w:cs="David"/>
        </w:rPr>
      </w:pPr>
      <w:r>
        <w:rPr>
          <w:rFonts w:ascii="David" w:hAnsi="David"/>
          <w:rtl w:val="true"/>
        </w:rPr>
        <w:t>מעובדות כתב האישום המתוקן עולה</w:t>
      </w:r>
      <w:r>
        <w:rPr>
          <w:rFonts w:cs="David" w:ascii="David" w:hAnsi="David"/>
          <w:rtl w:val="true"/>
        </w:rPr>
        <w:t xml:space="preserve">, </w:t>
      </w:r>
      <w:r>
        <w:rPr>
          <w:rFonts w:ascii="David" w:hAnsi="David"/>
          <w:rtl w:val="true"/>
        </w:rPr>
        <w:t xml:space="preserve">כי ביום </w:t>
      </w:r>
      <w:r>
        <w:rPr>
          <w:rFonts w:cs="David" w:ascii="David" w:hAnsi="David"/>
        </w:rPr>
        <w:t>29/10/13</w:t>
      </w:r>
      <w:r>
        <w:rPr>
          <w:rFonts w:cs="David" w:ascii="David" w:hAnsi="David"/>
          <w:rtl w:val="true"/>
        </w:rPr>
        <w:t xml:space="preserve">, </w:t>
      </w:r>
      <w:r>
        <w:rPr>
          <w:rFonts w:ascii="David" w:hAnsi="David"/>
          <w:rtl w:val="true"/>
        </w:rPr>
        <w:t xml:space="preserve">סמוך לשעה </w:t>
      </w:r>
      <w:r>
        <w:rPr>
          <w:rFonts w:cs="David" w:ascii="David" w:hAnsi="David"/>
        </w:rPr>
        <w:t>20:00</w:t>
      </w:r>
      <w:r>
        <w:rPr>
          <w:rFonts w:cs="David" w:ascii="David" w:hAnsi="David"/>
          <w:rtl w:val="true"/>
        </w:rPr>
        <w:t xml:space="preserve">, </w:t>
      </w:r>
      <w:r>
        <w:rPr>
          <w:rFonts w:ascii="David" w:hAnsi="David"/>
          <w:rtl w:val="true"/>
        </w:rPr>
        <w:t>בדירה שבחזקת המשיב  בחיפה</w:t>
      </w:r>
      <w:r>
        <w:rPr>
          <w:rFonts w:cs="David" w:ascii="David" w:hAnsi="David"/>
          <w:rtl w:val="true"/>
        </w:rPr>
        <w:t xml:space="preserve">, </w:t>
      </w:r>
      <w:r>
        <w:rPr>
          <w:rFonts w:ascii="David" w:hAnsi="David"/>
          <w:rtl w:val="true"/>
        </w:rPr>
        <w:t>נמצאו המשיב והנאשם הנוסף</w:t>
      </w:r>
      <w:r>
        <w:rPr>
          <w:rFonts w:cs="David" w:ascii="David" w:hAnsi="David"/>
          <w:rtl w:val="true"/>
        </w:rPr>
        <w:t xml:space="preserve">, </w:t>
      </w:r>
      <w:r>
        <w:rPr>
          <w:rFonts w:ascii="David" w:hAnsi="David"/>
          <w:rtl w:val="true"/>
        </w:rPr>
        <w:t xml:space="preserve">מגדלים בצוותא סם מסוכן מסוג קנאביס במשקל נטו של </w:t>
      </w:r>
      <w:r>
        <w:rPr>
          <w:rFonts w:cs="David" w:ascii="David" w:hAnsi="David"/>
        </w:rPr>
        <w:t>3,600</w:t>
      </w:r>
      <w:r>
        <w:rPr>
          <w:rFonts w:cs="David" w:ascii="David" w:hAnsi="David"/>
          <w:rtl w:val="true"/>
        </w:rPr>
        <w:t xml:space="preserve"> </w:t>
      </w:r>
      <w:r>
        <w:rPr>
          <w:rFonts w:ascii="David" w:hAnsi="David"/>
          <w:rtl w:val="true"/>
        </w:rPr>
        <w:t>גרם</w:t>
      </w:r>
      <w:r>
        <w:rPr>
          <w:rFonts w:cs="David" w:ascii="David" w:hAnsi="David"/>
          <w:rtl w:val="true"/>
        </w:rPr>
        <w:t xml:space="preserve">, </w:t>
      </w:r>
      <w:r>
        <w:rPr>
          <w:rFonts w:ascii="David" w:hAnsi="David"/>
          <w:rtl w:val="true"/>
        </w:rPr>
        <w:t>באופן שגידלו את הסם ב</w:t>
      </w:r>
      <w:r>
        <w:rPr>
          <w:rFonts w:cs="David" w:ascii="David" w:hAnsi="David"/>
          <w:rtl w:val="true"/>
        </w:rPr>
        <w:t>-</w:t>
      </w:r>
      <w:r>
        <w:rPr>
          <w:rFonts w:cs="David" w:ascii="David" w:hAnsi="David"/>
        </w:rPr>
        <w:t>21</w:t>
      </w:r>
      <w:r>
        <w:rPr>
          <w:rFonts w:cs="David" w:ascii="David" w:hAnsi="David"/>
          <w:rtl w:val="true"/>
        </w:rPr>
        <w:t xml:space="preserve"> </w:t>
      </w:r>
      <w:r>
        <w:rPr>
          <w:rFonts w:ascii="David" w:hAnsi="David"/>
          <w:rtl w:val="true"/>
        </w:rPr>
        <w:t>שתילים</w:t>
      </w:r>
      <w:r>
        <w:rPr>
          <w:rFonts w:cs="David" w:ascii="David" w:hAnsi="David"/>
          <w:rtl w:val="true"/>
        </w:rPr>
        <w:t xml:space="preserve">, </w:t>
      </w:r>
      <w:r>
        <w:rPr>
          <w:rFonts w:ascii="David" w:hAnsi="David"/>
          <w:rtl w:val="true"/>
        </w:rPr>
        <w:t>בתוך עציצים וכדים</w:t>
      </w:r>
      <w:r>
        <w:rPr>
          <w:rFonts w:cs="David" w:ascii="David" w:hAnsi="David"/>
          <w:rtl w:val="true"/>
        </w:rPr>
        <w:t xml:space="preserve">, </w:t>
      </w:r>
      <w:r>
        <w:rPr>
          <w:rFonts w:ascii="David" w:hAnsi="David"/>
          <w:rtl w:val="true"/>
        </w:rPr>
        <w:t>בתוך מעבדה שהכילה שלושה חדרונים מאולתרים ובה ציוד מעבדה הכולל</w:t>
      </w:r>
      <w:r>
        <w:rPr>
          <w:rFonts w:cs="David" w:ascii="David" w:hAnsi="David"/>
          <w:rtl w:val="true"/>
        </w:rPr>
        <w:t xml:space="preserve">: </w:t>
      </w:r>
      <w:r>
        <w:rPr>
          <w:rFonts w:ascii="David" w:hAnsi="David"/>
          <w:rtl w:val="true"/>
        </w:rPr>
        <w:t>מאווררים</w:t>
      </w:r>
      <w:r>
        <w:rPr>
          <w:rFonts w:cs="David" w:ascii="David" w:hAnsi="David"/>
          <w:rtl w:val="true"/>
        </w:rPr>
        <w:t xml:space="preserve">, </w:t>
      </w:r>
      <w:r>
        <w:rPr>
          <w:rFonts w:ascii="David" w:hAnsi="David"/>
          <w:rtl w:val="true"/>
        </w:rPr>
        <w:t>תאורה מיוחדת</w:t>
      </w:r>
      <w:r>
        <w:rPr>
          <w:rFonts w:cs="David" w:ascii="David" w:hAnsi="David"/>
          <w:rtl w:val="true"/>
        </w:rPr>
        <w:t xml:space="preserve">, </w:t>
      </w:r>
      <w:r>
        <w:rPr>
          <w:rFonts w:ascii="David" w:hAnsi="David"/>
          <w:rtl w:val="true"/>
        </w:rPr>
        <w:t>צינורות השקייה</w:t>
      </w:r>
      <w:r>
        <w:rPr>
          <w:rFonts w:cs="David" w:ascii="David" w:hAnsi="David"/>
          <w:rtl w:val="true"/>
        </w:rPr>
        <w:t xml:space="preserve">, </w:t>
      </w:r>
      <w:r>
        <w:rPr>
          <w:rFonts w:ascii="David" w:hAnsi="David"/>
          <w:rtl w:val="true"/>
        </w:rPr>
        <w:t>גופי חימום</w:t>
      </w:r>
      <w:r>
        <w:rPr>
          <w:rFonts w:cs="David" w:ascii="David" w:hAnsi="David"/>
          <w:rtl w:val="true"/>
        </w:rPr>
        <w:t xml:space="preserve">, </w:t>
      </w:r>
      <w:r>
        <w:rPr>
          <w:rFonts w:ascii="David" w:hAnsi="David"/>
          <w:rtl w:val="true"/>
        </w:rPr>
        <w:t>מד חום</w:t>
      </w:r>
      <w:r>
        <w:rPr>
          <w:rFonts w:cs="David" w:ascii="David" w:hAnsi="David"/>
          <w:rtl w:val="true"/>
        </w:rPr>
        <w:t xml:space="preserve">, </w:t>
      </w:r>
      <w:r>
        <w:rPr>
          <w:rFonts w:ascii="David" w:hAnsi="David"/>
          <w:rtl w:val="true"/>
        </w:rPr>
        <w:t>חומרים לעידוד גדילה</w:t>
      </w:r>
      <w:r>
        <w:rPr>
          <w:rFonts w:cs="David" w:ascii="David" w:hAnsi="David"/>
          <w:rtl w:val="true"/>
        </w:rPr>
        <w:t xml:space="preserve">, </w:t>
      </w:r>
      <w:r>
        <w:rPr>
          <w:rFonts w:ascii="David" w:hAnsi="David"/>
          <w:rtl w:val="true"/>
        </w:rPr>
        <w:t>שנאי חשמל</w:t>
      </w:r>
      <w:r>
        <w:rPr>
          <w:rFonts w:cs="David" w:ascii="David" w:hAnsi="David"/>
          <w:rtl w:val="true"/>
        </w:rPr>
        <w:t xml:space="preserve">, </w:t>
      </w:r>
      <w:r>
        <w:rPr>
          <w:rFonts w:ascii="David" w:hAnsi="David"/>
          <w:rtl w:val="true"/>
        </w:rPr>
        <w:t>מצננים ורשת לייבוש העלים</w:t>
      </w:r>
      <w:r>
        <w:rPr>
          <w:rFonts w:cs="David" w:ascii="David" w:hAnsi="David"/>
          <w:rtl w:val="true"/>
        </w:rPr>
        <w:t xml:space="preserve">. </w:t>
      </w:r>
    </w:p>
    <w:p>
      <w:pPr>
        <w:pStyle w:val="Normal"/>
        <w:spacing w:lineRule="auto" w:line="360"/>
        <w:ind w:hanging="720" w:start="720" w:end="0"/>
        <w:jc w:val="both"/>
        <w:rPr>
          <w:rFonts w:ascii="David" w:hAnsi="David" w:cs="David"/>
        </w:rPr>
      </w:pPr>
      <w:r>
        <w:rPr>
          <w:rFonts w:cs="David" w:ascii="David" w:hAnsi="David"/>
          <w:rtl w:val="true"/>
        </w:rPr>
      </w:r>
    </w:p>
    <w:p>
      <w:pPr>
        <w:pStyle w:val="Normal"/>
        <w:spacing w:lineRule="auto" w:line="360"/>
        <w:ind w:hanging="720" w:start="720" w:end="0"/>
        <w:jc w:val="both"/>
        <w:rPr>
          <w:rFonts w:ascii="David" w:hAnsi="David" w:cs="David"/>
        </w:rPr>
      </w:pPr>
      <w:r>
        <w:rPr>
          <w:rFonts w:cs="David" w:ascii="David" w:hAnsi="David"/>
        </w:rPr>
        <w:t>5</w:t>
      </w:r>
      <w:r>
        <w:rPr>
          <w:rFonts w:cs="David" w:ascii="David" w:hAnsi="David"/>
          <w:rtl w:val="true"/>
        </w:rPr>
        <w:t>.</w:t>
        <w:tab/>
      </w:r>
      <w:r>
        <w:rPr>
          <w:rFonts w:ascii="David" w:hAnsi="David"/>
          <w:rtl w:val="true"/>
        </w:rPr>
        <w:t xml:space="preserve">ביום </w:t>
      </w:r>
      <w:r>
        <w:rPr>
          <w:rFonts w:cs="David" w:ascii="David" w:hAnsi="David"/>
        </w:rPr>
        <w:t>09/06/15</w:t>
      </w:r>
      <w:r>
        <w:rPr>
          <w:rFonts w:cs="David" w:ascii="David" w:hAnsi="David"/>
          <w:rtl w:val="true"/>
        </w:rPr>
        <w:t xml:space="preserve">, </w:t>
      </w:r>
      <w:r>
        <w:rPr>
          <w:rFonts w:ascii="David" w:hAnsi="David"/>
          <w:rtl w:val="true"/>
        </w:rPr>
        <w:t>ביקש המשיב לחזור בו מכפירתו והודה בעובדות כתב האישום המתוקן</w:t>
      </w:r>
      <w:r>
        <w:rPr>
          <w:rFonts w:cs="David" w:ascii="David" w:hAnsi="David"/>
          <w:rtl w:val="true"/>
        </w:rPr>
        <w:t xml:space="preserve">. </w:t>
      </w:r>
      <w:r>
        <w:rPr>
          <w:rFonts w:ascii="David" w:hAnsi="David"/>
          <w:rtl w:val="true"/>
        </w:rPr>
        <w:t>בית משפט קמא התיר למשיב לחזור בו מכפירתו</w:t>
      </w:r>
      <w:r>
        <w:rPr>
          <w:rFonts w:cs="David" w:ascii="David" w:hAnsi="David"/>
          <w:rtl w:val="true"/>
        </w:rPr>
        <w:t xml:space="preserve">, </w:t>
      </w:r>
      <w:r>
        <w:rPr>
          <w:rFonts w:ascii="David" w:hAnsi="David"/>
          <w:rtl w:val="true"/>
        </w:rPr>
        <w:t>וקבע</w:t>
      </w:r>
      <w:r>
        <w:rPr>
          <w:rFonts w:cs="David" w:ascii="David" w:hAnsi="David"/>
          <w:rtl w:val="true"/>
        </w:rPr>
        <w:t xml:space="preserve">, </w:t>
      </w:r>
      <w:r>
        <w:rPr>
          <w:rFonts w:ascii="David" w:hAnsi="David"/>
          <w:rtl w:val="true"/>
        </w:rPr>
        <w:t>כי בטרם הרשעת המשיב יש לקבל בעניינו</w:t>
      </w:r>
      <w:r>
        <w:rPr>
          <w:rFonts w:cs="David" w:ascii="David" w:hAnsi="David"/>
          <w:rtl w:val="true"/>
        </w:rPr>
        <w:t xml:space="preserve">, </w:t>
      </w:r>
      <w:r>
        <w:rPr>
          <w:rFonts w:ascii="David" w:hAnsi="David"/>
          <w:rtl w:val="true"/>
        </w:rPr>
        <w:t>תסקיר שירות מבחן</w:t>
      </w:r>
      <w:r>
        <w:rPr>
          <w:rFonts w:cs="David" w:ascii="David" w:hAnsi="David"/>
          <w:rtl w:val="true"/>
        </w:rPr>
        <w:t xml:space="preserve">. </w:t>
      </w:r>
    </w:p>
    <w:p>
      <w:pPr>
        <w:pStyle w:val="Normal"/>
        <w:spacing w:lineRule="auto" w:line="360"/>
        <w:ind w:hanging="720" w:start="720" w:end="0"/>
        <w:jc w:val="both"/>
        <w:rPr>
          <w:rFonts w:ascii="David" w:hAnsi="David" w:cs="David"/>
        </w:rPr>
      </w:pPr>
      <w:r>
        <w:rPr>
          <w:rFonts w:cs="David" w:ascii="David" w:hAnsi="David"/>
          <w:rtl w:val="true"/>
        </w:rPr>
      </w:r>
    </w:p>
    <w:p>
      <w:pPr>
        <w:pStyle w:val="Normal"/>
        <w:spacing w:lineRule="auto" w:line="360"/>
        <w:ind w:hanging="720" w:start="720" w:end="0"/>
        <w:jc w:val="both"/>
        <w:rPr>
          <w:rFonts w:ascii="David" w:hAnsi="David" w:cs="David"/>
          <w:b/>
          <w:bCs/>
          <w:u w:val="single"/>
        </w:rPr>
      </w:pPr>
      <w:r>
        <w:rPr>
          <w:rFonts w:cs="David" w:ascii="David" w:hAnsi="David"/>
          <w:rtl w:val="true"/>
        </w:rPr>
        <w:tab/>
      </w:r>
      <w:r>
        <w:rPr>
          <w:rFonts w:ascii="David" w:hAnsi="David"/>
          <w:b/>
          <w:b/>
          <w:bCs/>
          <w:u w:val="single"/>
          <w:rtl w:val="true"/>
        </w:rPr>
        <w:t xml:space="preserve">תסקיר שירות המבחן </w:t>
      </w:r>
    </w:p>
    <w:p>
      <w:pPr>
        <w:pStyle w:val="Normal"/>
        <w:spacing w:lineRule="auto" w:line="360"/>
        <w:ind w:hanging="720" w:start="720" w:end="0"/>
        <w:jc w:val="both"/>
        <w:rPr>
          <w:rFonts w:ascii="David" w:hAnsi="David" w:cs="David"/>
          <w:b/>
          <w:bCs/>
          <w:u w:val="single"/>
        </w:rPr>
      </w:pPr>
      <w:r>
        <w:rPr>
          <w:rFonts w:cs="David" w:ascii="David" w:hAnsi="David"/>
          <w:b/>
          <w:bCs/>
          <w:u w:val="single"/>
          <w:rtl w:val="true"/>
        </w:rPr>
      </w:r>
    </w:p>
    <w:p>
      <w:pPr>
        <w:pStyle w:val="Normal"/>
        <w:spacing w:lineRule="auto" w:line="360"/>
        <w:ind w:hanging="720" w:start="720" w:end="0"/>
        <w:jc w:val="both"/>
        <w:rPr>
          <w:rFonts w:ascii="David" w:hAnsi="David" w:cs="David"/>
        </w:rPr>
      </w:pPr>
      <w:r>
        <w:rPr>
          <w:rFonts w:cs="David" w:ascii="David" w:hAnsi="David"/>
        </w:rPr>
        <w:t>6</w:t>
      </w:r>
      <w:r>
        <w:rPr>
          <w:rFonts w:cs="David" w:ascii="David" w:hAnsi="David"/>
          <w:rtl w:val="true"/>
        </w:rPr>
        <w:t>.</w:t>
        <w:tab/>
      </w:r>
      <w:r>
        <w:rPr>
          <w:rFonts w:ascii="David" w:hAnsi="David"/>
          <w:rtl w:val="true"/>
        </w:rPr>
        <w:t>מתסקיר שירות המבחן</w:t>
      </w:r>
      <w:r>
        <w:rPr>
          <w:rFonts w:cs="David" w:ascii="David" w:hAnsi="David"/>
          <w:rtl w:val="true"/>
        </w:rPr>
        <w:t xml:space="preserve">, </w:t>
      </w:r>
      <w:r>
        <w:rPr>
          <w:rFonts w:ascii="David" w:hAnsi="David"/>
          <w:rtl w:val="true"/>
        </w:rPr>
        <w:t xml:space="preserve">שהונח בפני בית משפט קמא ביום </w:t>
      </w:r>
      <w:r>
        <w:rPr>
          <w:rFonts w:cs="David" w:ascii="David" w:hAnsi="David"/>
        </w:rPr>
        <w:t>30/08/15</w:t>
      </w:r>
      <w:r>
        <w:rPr>
          <w:rFonts w:cs="David" w:ascii="David" w:hAnsi="David"/>
          <w:rtl w:val="true"/>
        </w:rPr>
        <w:t xml:space="preserve">, </w:t>
      </w:r>
      <w:r>
        <w:rPr>
          <w:rFonts w:ascii="David" w:hAnsi="David"/>
          <w:rtl w:val="true"/>
        </w:rPr>
        <w:t>עולה</w:t>
      </w:r>
      <w:r>
        <w:rPr>
          <w:rFonts w:cs="David" w:ascii="David" w:hAnsi="David"/>
          <w:rtl w:val="true"/>
        </w:rPr>
        <w:t xml:space="preserve">, </w:t>
      </w:r>
      <w:r>
        <w:rPr>
          <w:rFonts w:ascii="David" w:hAnsi="David"/>
          <w:rtl w:val="true"/>
        </w:rPr>
        <w:t xml:space="preserve">כי המשיב בן </w:t>
      </w:r>
      <w:r>
        <w:rPr>
          <w:rFonts w:cs="David" w:ascii="David" w:hAnsi="David"/>
        </w:rPr>
        <w:t>40</w:t>
      </w:r>
      <w:r>
        <w:rPr>
          <w:rFonts w:cs="David" w:ascii="David" w:hAnsi="David"/>
          <w:rtl w:val="true"/>
        </w:rPr>
        <w:t xml:space="preserve">, </w:t>
      </w:r>
      <w:r>
        <w:rPr>
          <w:rFonts w:ascii="David" w:hAnsi="David"/>
          <w:rtl w:val="true"/>
        </w:rPr>
        <w:t>רווק</w:t>
      </w:r>
      <w:r>
        <w:rPr>
          <w:rFonts w:cs="David" w:ascii="David" w:hAnsi="David"/>
          <w:rtl w:val="true"/>
        </w:rPr>
        <w:t xml:space="preserve">, </w:t>
      </w:r>
      <w:r>
        <w:rPr>
          <w:rFonts w:ascii="David" w:hAnsi="David"/>
          <w:rtl w:val="true"/>
        </w:rPr>
        <w:t xml:space="preserve">סיים </w:t>
      </w:r>
      <w:r>
        <w:rPr>
          <w:rFonts w:cs="David" w:ascii="David" w:hAnsi="David"/>
        </w:rPr>
        <w:t>12</w:t>
      </w:r>
      <w:r>
        <w:rPr>
          <w:rFonts w:cs="David" w:ascii="David" w:hAnsi="David"/>
          <w:rtl w:val="true"/>
        </w:rPr>
        <w:t xml:space="preserve"> </w:t>
      </w:r>
      <w:r>
        <w:rPr>
          <w:rFonts w:ascii="David" w:hAnsi="David"/>
          <w:rtl w:val="true"/>
        </w:rPr>
        <w:t>שנות לימוד ללא תעודת בגרות</w:t>
      </w:r>
      <w:r>
        <w:rPr>
          <w:rFonts w:cs="David" w:ascii="David" w:hAnsi="David"/>
          <w:rtl w:val="true"/>
        </w:rPr>
        <w:t xml:space="preserve">, </w:t>
      </w:r>
      <w:r>
        <w:rPr>
          <w:rFonts w:ascii="David" w:hAnsi="David"/>
          <w:rtl w:val="true"/>
        </w:rPr>
        <w:t>עובד כמלגזן</w:t>
      </w:r>
      <w:r>
        <w:rPr>
          <w:rFonts w:cs="David" w:ascii="David" w:hAnsi="David"/>
          <w:rtl w:val="true"/>
        </w:rPr>
        <w:t xml:space="preserve">, </w:t>
      </w:r>
      <w:r>
        <w:rPr>
          <w:rFonts w:ascii="David" w:hAnsi="David"/>
          <w:rtl w:val="true"/>
        </w:rPr>
        <w:t xml:space="preserve">בשנת </w:t>
      </w:r>
      <w:r>
        <w:rPr>
          <w:rFonts w:cs="David" w:ascii="David" w:hAnsi="David"/>
        </w:rPr>
        <w:t>2007</w:t>
      </w:r>
      <w:r>
        <w:rPr>
          <w:rFonts w:cs="David" w:ascii="David" w:hAnsi="David"/>
          <w:rtl w:val="true"/>
        </w:rPr>
        <w:t xml:space="preserve"> </w:t>
      </w:r>
      <w:r>
        <w:rPr>
          <w:rFonts w:ascii="David" w:hAnsi="David"/>
          <w:rtl w:val="true"/>
        </w:rPr>
        <w:t xml:space="preserve">אובחן כסובל מסכרת סוג </w:t>
      </w:r>
      <w:r>
        <w:rPr>
          <w:rFonts w:cs="David" w:ascii="David" w:hAnsi="David"/>
        </w:rPr>
        <w:t>1</w:t>
      </w:r>
      <w:r>
        <w:rPr>
          <w:rFonts w:cs="David" w:ascii="David" w:hAnsi="David"/>
          <w:rtl w:val="true"/>
        </w:rPr>
        <w:t xml:space="preserve">, </w:t>
      </w:r>
      <w:r>
        <w:rPr>
          <w:rFonts w:ascii="David" w:hAnsi="David"/>
          <w:rtl w:val="true"/>
        </w:rPr>
        <w:t>וכיום מתגורר המשיב בבית אמו בחיפה</w:t>
      </w:r>
      <w:r>
        <w:rPr>
          <w:rFonts w:cs="David" w:ascii="David" w:hAnsi="David"/>
          <w:rtl w:val="true"/>
        </w:rPr>
        <w:t xml:space="preserve">. </w:t>
      </w:r>
    </w:p>
    <w:p>
      <w:pPr>
        <w:pStyle w:val="Normal"/>
        <w:spacing w:lineRule="auto" w:line="360"/>
        <w:ind w:hanging="720" w:start="720" w:end="0"/>
        <w:jc w:val="both"/>
        <w:rPr>
          <w:rFonts w:ascii="David" w:hAnsi="David" w:cs="David"/>
        </w:rPr>
      </w:pPr>
      <w:r>
        <w:rPr>
          <w:rFonts w:cs="David" w:ascii="David" w:hAnsi="David"/>
          <w:rtl w:val="true"/>
        </w:rPr>
      </w:r>
    </w:p>
    <w:p>
      <w:pPr>
        <w:pStyle w:val="Normal"/>
        <w:spacing w:lineRule="auto" w:line="360"/>
        <w:ind w:start="720" w:end="0"/>
        <w:jc w:val="both"/>
        <w:rPr>
          <w:rFonts w:ascii="David" w:hAnsi="David" w:cs="David"/>
        </w:rPr>
      </w:pPr>
      <w:r>
        <w:rPr>
          <w:rFonts w:ascii="David" w:hAnsi="David"/>
          <w:rtl w:val="true"/>
        </w:rPr>
        <w:t>המשיב בן שלישי להוריו</w:t>
      </w:r>
      <w:r>
        <w:rPr>
          <w:rFonts w:cs="David" w:ascii="David" w:hAnsi="David"/>
          <w:rtl w:val="true"/>
        </w:rPr>
        <w:t xml:space="preserve">, </w:t>
      </w:r>
      <w:r>
        <w:rPr>
          <w:rFonts w:ascii="David" w:hAnsi="David"/>
          <w:rtl w:val="true"/>
        </w:rPr>
        <w:t xml:space="preserve">אמו בת </w:t>
      </w:r>
      <w:r>
        <w:rPr>
          <w:rFonts w:cs="David" w:ascii="David" w:hAnsi="David"/>
        </w:rPr>
        <w:t>68</w:t>
      </w:r>
      <w:r>
        <w:rPr>
          <w:rFonts w:cs="David" w:ascii="David" w:hAnsi="David"/>
          <w:rtl w:val="true"/>
        </w:rPr>
        <w:t xml:space="preserve"> </w:t>
      </w:r>
      <w:r>
        <w:rPr>
          <w:rFonts w:ascii="David" w:hAnsi="David"/>
          <w:rtl w:val="true"/>
        </w:rPr>
        <w:t>כיום אינה עובדת</w:t>
      </w:r>
      <w:r>
        <w:rPr>
          <w:rFonts w:cs="David" w:ascii="David" w:hAnsi="David"/>
          <w:rtl w:val="true"/>
        </w:rPr>
        <w:t xml:space="preserve">, </w:t>
      </w:r>
      <w:r>
        <w:rPr>
          <w:rFonts w:ascii="David" w:hAnsi="David"/>
          <w:rtl w:val="true"/>
        </w:rPr>
        <w:t xml:space="preserve">אביו נפטר כשהמשיב היה בן </w:t>
      </w:r>
      <w:r>
        <w:rPr>
          <w:rFonts w:cs="David" w:ascii="David" w:hAnsi="David"/>
        </w:rPr>
        <w:t>24</w:t>
      </w:r>
      <w:r>
        <w:rPr>
          <w:rFonts w:cs="David" w:ascii="David" w:hAnsi="David"/>
          <w:rtl w:val="true"/>
        </w:rPr>
        <w:t xml:space="preserve">, </w:t>
      </w:r>
      <w:r>
        <w:rPr>
          <w:rFonts w:ascii="David" w:hAnsi="David"/>
          <w:rtl w:val="true"/>
        </w:rPr>
        <w:t>שני אחיו נשואים ומתפקדים היטב</w:t>
      </w:r>
      <w:r>
        <w:rPr>
          <w:rFonts w:cs="David" w:ascii="David" w:hAnsi="David"/>
          <w:rtl w:val="true"/>
        </w:rPr>
        <w:t xml:space="preserve">. </w:t>
      </w:r>
      <w:r>
        <w:rPr>
          <w:rFonts w:ascii="David" w:hAnsi="David"/>
          <w:rtl w:val="true"/>
        </w:rPr>
        <w:t>המשיב תיאר בפני קצינת המבחן קשר קרוב עם אחיו שלדבריו תומכים בו</w:t>
      </w:r>
      <w:r>
        <w:rPr>
          <w:rFonts w:cs="David" w:ascii="David" w:hAnsi="David"/>
          <w:rtl w:val="true"/>
        </w:rPr>
        <w:t xml:space="preserve">. </w:t>
      </w:r>
      <w:r>
        <w:rPr>
          <w:rFonts w:ascii="David" w:hAnsi="David"/>
          <w:rtl w:val="true"/>
        </w:rPr>
        <w:t>עם זאת</w:t>
      </w:r>
      <w:r>
        <w:rPr>
          <w:rFonts w:cs="David" w:ascii="David" w:hAnsi="David"/>
          <w:rtl w:val="true"/>
        </w:rPr>
        <w:t xml:space="preserve">, </w:t>
      </w:r>
      <w:r>
        <w:rPr>
          <w:rFonts w:ascii="David" w:hAnsi="David"/>
          <w:rtl w:val="true"/>
        </w:rPr>
        <w:t>ניכר על פי האמור בתסקיר שירות המבחן</w:t>
      </w:r>
      <w:r>
        <w:rPr>
          <w:rFonts w:cs="David" w:ascii="David" w:hAnsi="David"/>
          <w:rtl w:val="true"/>
        </w:rPr>
        <w:t xml:space="preserve">, </w:t>
      </w:r>
      <w:r>
        <w:rPr>
          <w:rFonts w:ascii="David" w:hAnsi="David"/>
          <w:rtl w:val="true"/>
        </w:rPr>
        <w:t>כי המשיב חש כ</w:t>
      </w:r>
      <w:r>
        <w:rPr>
          <w:rFonts w:cs="David" w:ascii="David" w:hAnsi="David"/>
          <w:rtl w:val="true"/>
        </w:rPr>
        <w:t>"</w:t>
      </w:r>
      <w:r>
        <w:rPr>
          <w:rFonts w:ascii="David" w:hAnsi="David"/>
          <w:rtl w:val="true"/>
        </w:rPr>
        <w:t>כבשה שחורה</w:t>
      </w:r>
      <w:r>
        <w:rPr>
          <w:rFonts w:cs="David" w:ascii="David" w:hAnsi="David"/>
          <w:rtl w:val="true"/>
        </w:rPr>
        <w:t xml:space="preserve">" </w:t>
      </w:r>
      <w:r>
        <w:rPr>
          <w:rFonts w:ascii="David" w:hAnsi="David"/>
          <w:rtl w:val="true"/>
        </w:rPr>
        <w:t>במשפחתו בשל חוסר הצלחתו בהשוואה לאחיו</w:t>
      </w:r>
      <w:r>
        <w:rPr>
          <w:rFonts w:cs="David" w:ascii="David" w:hAnsi="David"/>
          <w:rtl w:val="true"/>
        </w:rPr>
        <w:t xml:space="preserve">. </w:t>
      </w:r>
      <w:r>
        <w:rPr>
          <w:rFonts w:ascii="David" w:hAnsi="David"/>
          <w:rtl w:val="true"/>
        </w:rPr>
        <w:t>כך עולה</w:t>
      </w:r>
      <w:r>
        <w:rPr>
          <w:rFonts w:cs="David" w:ascii="David" w:hAnsi="David"/>
          <w:rtl w:val="true"/>
        </w:rPr>
        <w:t xml:space="preserve">, </w:t>
      </w:r>
      <w:r>
        <w:rPr>
          <w:rFonts w:ascii="David" w:hAnsi="David"/>
          <w:rtl w:val="true"/>
        </w:rPr>
        <w:t>כי לאחר שחרורו מהצבא</w:t>
      </w:r>
      <w:r>
        <w:rPr>
          <w:rFonts w:cs="David" w:ascii="David" w:hAnsi="David"/>
          <w:rtl w:val="true"/>
        </w:rPr>
        <w:t xml:space="preserve">, </w:t>
      </w:r>
      <w:r>
        <w:rPr>
          <w:rFonts w:ascii="David" w:hAnsi="David"/>
          <w:rtl w:val="true"/>
        </w:rPr>
        <w:t>למד המשיב במסגרת מכינה אקדמית והמשיך בלימודים בבית הספר להנדסאים במגמת תקשורת</w:t>
      </w:r>
      <w:r>
        <w:rPr>
          <w:rFonts w:cs="David" w:ascii="David" w:hAnsi="David"/>
          <w:rtl w:val="true"/>
        </w:rPr>
        <w:t xml:space="preserve">. </w:t>
      </w:r>
      <w:r>
        <w:rPr>
          <w:rFonts w:ascii="David" w:hAnsi="David"/>
          <w:rtl w:val="true"/>
        </w:rPr>
        <w:t>המשיב לא סיים את לימודיו מאחר והתקשה לדבריו להשלים את פרויקט הסיום</w:t>
      </w:r>
      <w:r>
        <w:rPr>
          <w:rFonts w:cs="David" w:ascii="David" w:hAnsi="David"/>
          <w:rtl w:val="true"/>
        </w:rPr>
        <w:t xml:space="preserve">. </w:t>
      </w:r>
      <w:r>
        <w:rPr>
          <w:rFonts w:ascii="David" w:hAnsi="David"/>
          <w:rtl w:val="true"/>
        </w:rPr>
        <w:t>בהמשך</w:t>
      </w:r>
      <w:r>
        <w:rPr>
          <w:rFonts w:cs="David" w:ascii="David" w:hAnsi="David"/>
          <w:rtl w:val="true"/>
        </w:rPr>
        <w:t xml:space="preserve">, </w:t>
      </w:r>
      <w:r>
        <w:rPr>
          <w:rFonts w:ascii="David" w:hAnsi="David"/>
          <w:rtl w:val="true"/>
        </w:rPr>
        <w:t>עבד המשיב כנהג מונית ולאחר מכן התקבל לעבודה בנמל חיפה</w:t>
      </w:r>
      <w:r>
        <w:rPr>
          <w:rFonts w:cs="David" w:ascii="David" w:hAnsi="David"/>
          <w:rtl w:val="true"/>
        </w:rPr>
        <w:t xml:space="preserve">, </w:t>
      </w:r>
      <w:r>
        <w:rPr>
          <w:rFonts w:ascii="David" w:hAnsi="David"/>
          <w:rtl w:val="true"/>
        </w:rPr>
        <w:t>שם עבד כ</w:t>
      </w:r>
      <w:r>
        <w:rPr>
          <w:rFonts w:cs="David" w:ascii="David" w:hAnsi="David"/>
          <w:rtl w:val="true"/>
        </w:rPr>
        <w:t>-</w:t>
      </w:r>
      <w:r>
        <w:rPr>
          <w:rFonts w:cs="David" w:ascii="David" w:hAnsi="David"/>
        </w:rPr>
        <w:t>10</w:t>
      </w:r>
      <w:r>
        <w:rPr>
          <w:rFonts w:cs="David" w:ascii="David" w:hAnsi="David"/>
          <w:rtl w:val="true"/>
        </w:rPr>
        <w:t xml:space="preserve"> </w:t>
      </w:r>
      <w:r>
        <w:rPr>
          <w:rFonts w:ascii="David" w:hAnsi="David"/>
          <w:rtl w:val="true"/>
        </w:rPr>
        <w:t>שנים</w:t>
      </w:r>
      <w:r>
        <w:rPr>
          <w:rFonts w:cs="David" w:ascii="David" w:hAnsi="David"/>
          <w:rtl w:val="true"/>
        </w:rPr>
        <w:t xml:space="preserve">, </w:t>
      </w:r>
      <w:r>
        <w:rPr>
          <w:rFonts w:ascii="David" w:hAnsi="David"/>
          <w:rtl w:val="true"/>
        </w:rPr>
        <w:t>עד להסתבכותו בעבירה מושא הערעור</w:t>
      </w:r>
      <w:r>
        <w:rPr>
          <w:rFonts w:cs="David" w:ascii="David" w:hAnsi="David"/>
          <w:rtl w:val="true"/>
        </w:rPr>
        <w:t>.</w:t>
      </w:r>
    </w:p>
    <w:p>
      <w:pPr>
        <w:pStyle w:val="Normal"/>
        <w:spacing w:lineRule="auto" w:line="360"/>
        <w:ind w:start="720" w:end="0"/>
        <w:jc w:val="both"/>
        <w:rPr>
          <w:rFonts w:ascii="David" w:hAnsi="David" w:cs="David"/>
        </w:rPr>
      </w:pPr>
      <w:r>
        <w:rPr>
          <w:rFonts w:cs="David" w:ascii="David" w:hAnsi="David"/>
          <w:rtl w:val="true"/>
        </w:rPr>
      </w:r>
    </w:p>
    <w:p>
      <w:pPr>
        <w:pStyle w:val="Normal"/>
        <w:spacing w:lineRule="auto" w:line="360"/>
        <w:ind w:start="720" w:end="0"/>
        <w:jc w:val="both"/>
        <w:rPr>
          <w:rFonts w:ascii="David" w:hAnsi="David" w:cs="David"/>
        </w:rPr>
      </w:pPr>
      <w:r>
        <w:rPr>
          <w:rFonts w:ascii="David" w:hAnsi="David"/>
          <w:rtl w:val="true"/>
        </w:rPr>
        <w:t>שירות המבחן ציין</w:t>
      </w:r>
      <w:r>
        <w:rPr>
          <w:rFonts w:cs="David" w:ascii="David" w:hAnsi="David"/>
          <w:rtl w:val="true"/>
        </w:rPr>
        <w:t xml:space="preserve">, </w:t>
      </w:r>
      <w:r>
        <w:rPr>
          <w:rFonts w:ascii="David" w:hAnsi="David"/>
          <w:rtl w:val="true"/>
        </w:rPr>
        <w:t>כי בהתייחסותו לשימוש בסמים</w:t>
      </w:r>
      <w:r>
        <w:rPr>
          <w:rFonts w:cs="David" w:ascii="David" w:hAnsi="David"/>
          <w:rtl w:val="true"/>
        </w:rPr>
        <w:t xml:space="preserve">, </w:t>
      </w:r>
      <w:r>
        <w:rPr>
          <w:rFonts w:ascii="David" w:hAnsi="David"/>
          <w:rtl w:val="true"/>
        </w:rPr>
        <w:t>המשיב שיתף</w:t>
      </w:r>
      <w:r>
        <w:rPr>
          <w:rFonts w:cs="David" w:ascii="David" w:hAnsi="David"/>
          <w:rtl w:val="true"/>
        </w:rPr>
        <w:t xml:space="preserve">, </w:t>
      </w:r>
      <w:r>
        <w:rPr>
          <w:rFonts w:ascii="David" w:hAnsi="David"/>
          <w:rtl w:val="true"/>
        </w:rPr>
        <w:t>כי החל את השימוש בסמים מסוג גראס</w:t>
      </w:r>
      <w:r>
        <w:rPr>
          <w:rFonts w:cs="David" w:ascii="David" w:hAnsi="David"/>
          <w:rtl w:val="true"/>
        </w:rPr>
        <w:t xml:space="preserve">, </w:t>
      </w:r>
      <w:r>
        <w:rPr>
          <w:rFonts w:ascii="David" w:hAnsi="David"/>
          <w:rtl w:val="true"/>
        </w:rPr>
        <w:t xml:space="preserve">לאחר פטירת אביו כדרך להירגע וכסוג של </w:t>
      </w:r>
      <w:r>
        <w:rPr>
          <w:rFonts w:cs="David" w:ascii="David" w:hAnsi="David"/>
          <w:rtl w:val="true"/>
        </w:rPr>
        <w:t>"</w:t>
      </w:r>
      <w:r>
        <w:rPr>
          <w:rFonts w:ascii="David" w:hAnsi="David"/>
          <w:rtl w:val="true"/>
        </w:rPr>
        <w:t>טיפול עצמי</w:t>
      </w:r>
      <w:r>
        <w:rPr>
          <w:rFonts w:cs="David" w:ascii="David" w:hAnsi="David"/>
          <w:rtl w:val="true"/>
        </w:rPr>
        <w:t xml:space="preserve">". </w:t>
      </w:r>
      <w:r>
        <w:rPr>
          <w:rFonts w:ascii="David" w:hAnsi="David"/>
          <w:rtl w:val="true"/>
        </w:rPr>
        <w:t>לדברי המשיב השימוש בסמים הפך לאינטנסיבי יותר לאחר שהתגלה כי הוא סובל מסכרת</w:t>
      </w:r>
      <w:r>
        <w:rPr>
          <w:rFonts w:cs="David" w:ascii="David" w:hAnsi="David"/>
          <w:rtl w:val="true"/>
        </w:rPr>
        <w:t xml:space="preserve">. </w:t>
      </w:r>
      <w:r>
        <w:rPr>
          <w:rFonts w:ascii="David" w:hAnsi="David"/>
          <w:rtl w:val="true"/>
        </w:rPr>
        <w:t>שירות המחן ציין</w:t>
      </w:r>
      <w:r>
        <w:rPr>
          <w:rFonts w:cs="David" w:ascii="David" w:hAnsi="David"/>
          <w:rtl w:val="true"/>
        </w:rPr>
        <w:t xml:space="preserve">, </w:t>
      </w:r>
      <w:r>
        <w:rPr>
          <w:rFonts w:ascii="David" w:hAnsi="David"/>
          <w:rtl w:val="true"/>
        </w:rPr>
        <w:t>כי נוכח התמכרותו לסמים</w:t>
      </w:r>
      <w:r>
        <w:rPr>
          <w:rFonts w:cs="David" w:ascii="David" w:hAnsi="David"/>
          <w:rtl w:val="true"/>
        </w:rPr>
        <w:t xml:space="preserve">, </w:t>
      </w:r>
      <w:r>
        <w:rPr>
          <w:rFonts w:ascii="David" w:hAnsi="David"/>
          <w:rtl w:val="true"/>
        </w:rPr>
        <w:t xml:space="preserve">הופנה המשיב ביום </w:t>
      </w:r>
      <w:r>
        <w:rPr>
          <w:rFonts w:cs="David" w:ascii="David" w:hAnsi="David"/>
        </w:rPr>
        <w:t>16/01/14</w:t>
      </w:r>
      <w:r>
        <w:rPr>
          <w:rFonts w:cs="David" w:ascii="David" w:hAnsi="David"/>
          <w:rtl w:val="true"/>
        </w:rPr>
        <w:t xml:space="preserve"> </w:t>
      </w:r>
      <w:r>
        <w:rPr>
          <w:rFonts w:ascii="David" w:hAnsi="David"/>
          <w:rtl w:val="true"/>
        </w:rPr>
        <w:t>לטיפול</w:t>
      </w:r>
      <w:r>
        <w:rPr>
          <w:rFonts w:cs="David" w:ascii="David" w:hAnsi="David"/>
          <w:rtl w:val="true"/>
        </w:rPr>
        <w:t xml:space="preserve">, </w:t>
      </w:r>
      <w:r>
        <w:rPr>
          <w:rFonts w:ascii="David" w:hAnsi="David"/>
          <w:rtl w:val="true"/>
        </w:rPr>
        <w:t>במסגרת היחידה לטיפול בנפגעי סמים</w:t>
      </w:r>
      <w:r>
        <w:rPr>
          <w:rFonts w:cs="David" w:ascii="David" w:hAnsi="David"/>
          <w:rtl w:val="true"/>
        </w:rPr>
        <w:t xml:space="preserve">. </w:t>
      </w:r>
      <w:r>
        <w:rPr>
          <w:rFonts w:ascii="David" w:hAnsi="David"/>
          <w:rtl w:val="true"/>
        </w:rPr>
        <w:t>המשיב התמיד והקפיד להגיע לכל המפגשים הקבוצתיים והפרטניים</w:t>
      </w:r>
      <w:r>
        <w:rPr>
          <w:rFonts w:cs="David" w:ascii="David" w:hAnsi="David"/>
          <w:rtl w:val="true"/>
        </w:rPr>
        <w:t>.</w:t>
      </w:r>
    </w:p>
    <w:p>
      <w:pPr>
        <w:pStyle w:val="Normal"/>
        <w:spacing w:lineRule="auto" w:line="360"/>
        <w:ind w:start="720" w:end="0"/>
        <w:jc w:val="both"/>
        <w:rPr>
          <w:rFonts w:ascii="David" w:hAnsi="David" w:cs="David"/>
        </w:rPr>
      </w:pPr>
      <w:r>
        <w:rPr>
          <w:rFonts w:cs="David" w:ascii="David" w:hAnsi="David"/>
          <w:rtl w:val="true"/>
        </w:rPr>
      </w:r>
    </w:p>
    <w:p>
      <w:pPr>
        <w:pStyle w:val="Normal"/>
        <w:spacing w:lineRule="auto" w:line="360"/>
        <w:ind w:start="720" w:end="0"/>
        <w:jc w:val="both"/>
        <w:rPr>
          <w:rFonts w:ascii="David" w:hAnsi="David" w:cs="David"/>
        </w:rPr>
      </w:pPr>
      <w:r>
        <w:rPr>
          <w:rFonts w:ascii="David" w:hAnsi="David"/>
          <w:rtl w:val="true"/>
        </w:rPr>
        <w:t>קצינת המבחן ציינה</w:t>
      </w:r>
      <w:r>
        <w:rPr>
          <w:rFonts w:cs="David" w:ascii="David" w:hAnsi="David"/>
          <w:rtl w:val="true"/>
        </w:rPr>
        <w:t xml:space="preserve">, </w:t>
      </w:r>
      <w:r>
        <w:rPr>
          <w:rFonts w:ascii="David" w:hAnsi="David"/>
          <w:rtl w:val="true"/>
        </w:rPr>
        <w:t>כי למשיב אין כל הרשעות קודמות ובהתייחסותו לעבירה הנדונה התרשמה קצינת המבחן</w:t>
      </w:r>
      <w:r>
        <w:rPr>
          <w:rFonts w:cs="David" w:ascii="David" w:hAnsi="David"/>
          <w:rtl w:val="true"/>
        </w:rPr>
        <w:t xml:space="preserve">, </w:t>
      </w:r>
      <w:r>
        <w:rPr>
          <w:rFonts w:ascii="David" w:hAnsi="David"/>
          <w:rtl w:val="true"/>
        </w:rPr>
        <w:t>כי המשיב לוקח אחריות על ביצועה</w:t>
      </w:r>
      <w:r>
        <w:rPr>
          <w:rFonts w:cs="David" w:ascii="David" w:hAnsi="David"/>
          <w:rtl w:val="true"/>
        </w:rPr>
        <w:t xml:space="preserve">. </w:t>
      </w:r>
      <w:r>
        <w:rPr>
          <w:rFonts w:ascii="David" w:hAnsi="David"/>
          <w:rtl w:val="true"/>
        </w:rPr>
        <w:t>עם זאת</w:t>
      </w:r>
      <w:r>
        <w:rPr>
          <w:rFonts w:cs="David" w:ascii="David" w:hAnsi="David"/>
          <w:rtl w:val="true"/>
        </w:rPr>
        <w:t xml:space="preserve">, </w:t>
      </w:r>
      <w:r>
        <w:rPr>
          <w:rFonts w:ascii="David" w:hAnsi="David"/>
          <w:rtl w:val="true"/>
        </w:rPr>
        <w:t>צוין</w:t>
      </w:r>
      <w:r>
        <w:rPr>
          <w:rFonts w:cs="David" w:ascii="David" w:hAnsi="David"/>
          <w:rtl w:val="true"/>
        </w:rPr>
        <w:t xml:space="preserve">, </w:t>
      </w:r>
      <w:r>
        <w:rPr>
          <w:rFonts w:ascii="David" w:hAnsi="David"/>
          <w:rtl w:val="true"/>
        </w:rPr>
        <w:t>כי ניכר שהמשיב נוטה לצמצם את חלקו ומציג את עצמו כקורבן או כמי שנוצל נוכח היותו אדם בעל ביטחון עצמי נמוך</w:t>
      </w:r>
      <w:r>
        <w:rPr>
          <w:rFonts w:cs="David" w:ascii="David" w:hAnsi="David"/>
          <w:rtl w:val="true"/>
        </w:rPr>
        <w:t xml:space="preserve">. </w:t>
      </w:r>
      <w:r>
        <w:rPr>
          <w:rFonts w:ascii="David" w:hAnsi="David"/>
          <w:rtl w:val="true"/>
        </w:rPr>
        <w:t>המשיב ציין בפני שירות המבחן</w:t>
      </w:r>
      <w:r>
        <w:rPr>
          <w:rFonts w:cs="David" w:ascii="David" w:hAnsi="David"/>
          <w:rtl w:val="true"/>
        </w:rPr>
        <w:t xml:space="preserve">, </w:t>
      </w:r>
      <w:r>
        <w:rPr>
          <w:rFonts w:ascii="David" w:hAnsi="David"/>
          <w:rtl w:val="true"/>
        </w:rPr>
        <w:t>כי הוא ושותפו לעבירה</w:t>
      </w:r>
      <w:r>
        <w:rPr>
          <w:rFonts w:cs="David" w:ascii="David" w:hAnsi="David"/>
          <w:rtl w:val="true"/>
        </w:rPr>
        <w:t xml:space="preserve">, </w:t>
      </w:r>
      <w:r>
        <w:rPr>
          <w:rFonts w:ascii="David" w:hAnsi="David"/>
          <w:rtl w:val="true"/>
        </w:rPr>
        <w:t>נהגו להשתמש בסמים יחד וכאשר השימוש בסמים גרם להוצאות מרובות</w:t>
      </w:r>
      <w:r>
        <w:rPr>
          <w:rFonts w:cs="David" w:ascii="David" w:hAnsi="David"/>
          <w:rtl w:val="true"/>
        </w:rPr>
        <w:t xml:space="preserve">, </w:t>
      </w:r>
      <w:r>
        <w:rPr>
          <w:rFonts w:ascii="David" w:hAnsi="David"/>
          <w:rtl w:val="true"/>
        </w:rPr>
        <w:t xml:space="preserve">הציע שותפו </w:t>
      </w:r>
      <w:r>
        <w:rPr>
          <w:rFonts w:cs="David" w:ascii="David" w:hAnsi="David"/>
          <w:rtl w:val="true"/>
        </w:rPr>
        <w:t>(</w:t>
      </w:r>
      <w:r>
        <w:rPr>
          <w:rFonts w:ascii="David" w:hAnsi="David"/>
          <w:rtl w:val="true"/>
        </w:rPr>
        <w:t>הנאשם הנוסף</w:t>
      </w:r>
      <w:r>
        <w:rPr>
          <w:rFonts w:cs="David" w:ascii="David" w:hAnsi="David"/>
          <w:rtl w:val="true"/>
        </w:rPr>
        <w:t xml:space="preserve">) </w:t>
      </w:r>
      <w:r>
        <w:rPr>
          <w:rFonts w:ascii="David" w:hAnsi="David"/>
          <w:rtl w:val="true"/>
        </w:rPr>
        <w:t>שהשניים יגדלו קנאביס לשימוש עצמי בלבד</w:t>
      </w:r>
      <w:r>
        <w:rPr>
          <w:rFonts w:cs="David" w:ascii="David" w:hAnsi="David"/>
          <w:rtl w:val="true"/>
        </w:rPr>
        <w:t xml:space="preserve">. </w:t>
      </w:r>
    </w:p>
    <w:p>
      <w:pPr>
        <w:pStyle w:val="Normal"/>
        <w:spacing w:lineRule="auto" w:line="360"/>
        <w:ind w:start="720" w:end="0"/>
        <w:jc w:val="both"/>
        <w:rPr>
          <w:rFonts w:ascii="David" w:hAnsi="David" w:cs="David"/>
        </w:rPr>
      </w:pPr>
      <w:r>
        <w:rPr>
          <w:rFonts w:cs="David" w:ascii="David" w:hAnsi="David"/>
          <w:rtl w:val="true"/>
        </w:rPr>
      </w:r>
    </w:p>
    <w:p>
      <w:pPr>
        <w:pStyle w:val="Normal"/>
        <w:spacing w:lineRule="auto" w:line="360"/>
        <w:ind w:start="720" w:end="0"/>
        <w:jc w:val="both"/>
        <w:rPr>
          <w:rFonts w:ascii="David" w:hAnsi="David" w:cs="David"/>
        </w:rPr>
      </w:pPr>
      <w:r>
        <w:rPr>
          <w:rFonts w:ascii="David" w:hAnsi="David"/>
          <w:rtl w:val="true"/>
        </w:rPr>
        <w:t>קצינת המבחן התרשמה</w:t>
      </w:r>
      <w:r>
        <w:rPr>
          <w:rFonts w:cs="David" w:ascii="David" w:hAnsi="David"/>
          <w:rtl w:val="true"/>
        </w:rPr>
        <w:t xml:space="preserve">, </w:t>
      </w:r>
      <w:r>
        <w:rPr>
          <w:rFonts w:ascii="David" w:hAnsi="David"/>
          <w:rtl w:val="true"/>
        </w:rPr>
        <w:t>כי  מדובר בבחור וירבאלי</w:t>
      </w:r>
      <w:r>
        <w:rPr>
          <w:rFonts w:cs="David" w:ascii="David" w:hAnsi="David"/>
          <w:rtl w:val="true"/>
        </w:rPr>
        <w:t xml:space="preserve">, </w:t>
      </w:r>
      <w:r>
        <w:rPr>
          <w:rFonts w:ascii="David" w:hAnsi="David"/>
          <w:rtl w:val="true"/>
        </w:rPr>
        <w:t>חסר ביטחון</w:t>
      </w:r>
      <w:r>
        <w:rPr>
          <w:rFonts w:cs="David" w:ascii="David" w:hAnsi="David"/>
          <w:rtl w:val="true"/>
        </w:rPr>
        <w:t xml:space="preserve">, </w:t>
      </w:r>
      <w:r>
        <w:rPr>
          <w:rFonts w:ascii="David" w:hAnsi="David"/>
          <w:rtl w:val="true"/>
        </w:rPr>
        <w:t>בעל תחושת ערך נמוכה ורגישות גבוהה</w:t>
      </w:r>
      <w:r>
        <w:rPr>
          <w:rFonts w:cs="David" w:ascii="David" w:hAnsi="David"/>
          <w:rtl w:val="true"/>
        </w:rPr>
        <w:t xml:space="preserve">. </w:t>
      </w:r>
      <w:r>
        <w:rPr>
          <w:rFonts w:ascii="David" w:hAnsi="David"/>
          <w:rtl w:val="true"/>
        </w:rPr>
        <w:t>לצד זאת</w:t>
      </w:r>
      <w:r>
        <w:rPr>
          <w:rFonts w:cs="David" w:ascii="David" w:hAnsi="David"/>
          <w:rtl w:val="true"/>
        </w:rPr>
        <w:t xml:space="preserve">, </w:t>
      </w:r>
      <w:r>
        <w:rPr>
          <w:rFonts w:ascii="David" w:hAnsi="David"/>
          <w:rtl w:val="true"/>
        </w:rPr>
        <w:t>התרשמה קצינת המבחן</w:t>
      </w:r>
      <w:r>
        <w:rPr>
          <w:rFonts w:cs="David" w:ascii="David" w:hAnsi="David"/>
          <w:rtl w:val="true"/>
        </w:rPr>
        <w:t xml:space="preserve">, </w:t>
      </w:r>
      <w:r>
        <w:rPr>
          <w:rFonts w:ascii="David" w:hAnsi="David"/>
          <w:rtl w:val="true"/>
        </w:rPr>
        <w:t>כי המשיב בעל יכולת לשמור על יציבות תעסוקתית ונראה כי העבודה בנמל חיפה העניקה לו תחושת ערך ומשמעות</w:t>
      </w:r>
      <w:r>
        <w:rPr>
          <w:rFonts w:cs="David" w:ascii="David" w:hAnsi="David"/>
          <w:rtl w:val="true"/>
        </w:rPr>
        <w:t xml:space="preserve">. </w:t>
      </w:r>
      <w:r>
        <w:rPr>
          <w:rFonts w:ascii="David" w:hAnsi="David"/>
          <w:rtl w:val="true"/>
        </w:rPr>
        <w:t>בנוסף</w:t>
      </w:r>
      <w:r>
        <w:rPr>
          <w:rFonts w:cs="David" w:ascii="David" w:hAnsi="David"/>
          <w:rtl w:val="true"/>
        </w:rPr>
        <w:t xml:space="preserve">, </w:t>
      </w:r>
      <w:r>
        <w:rPr>
          <w:rFonts w:ascii="David" w:hAnsi="David"/>
          <w:rtl w:val="true"/>
        </w:rPr>
        <w:t>ניכר כי איבוד המשרה גרם לירידה נוספת בתחושת הערך העצמי שלו</w:t>
      </w:r>
      <w:r>
        <w:rPr>
          <w:rFonts w:cs="David" w:ascii="David" w:hAnsi="David"/>
          <w:rtl w:val="true"/>
        </w:rPr>
        <w:t xml:space="preserve">. </w:t>
      </w:r>
      <w:r>
        <w:rPr>
          <w:rFonts w:ascii="David" w:hAnsi="David"/>
          <w:rtl w:val="true"/>
        </w:rPr>
        <w:t>המשיב שיתף</w:t>
      </w:r>
      <w:r>
        <w:rPr>
          <w:rFonts w:cs="David" w:ascii="David" w:hAnsi="David"/>
          <w:rtl w:val="true"/>
        </w:rPr>
        <w:t xml:space="preserve">, </w:t>
      </w:r>
      <w:r>
        <w:rPr>
          <w:rFonts w:ascii="David" w:hAnsi="David"/>
          <w:rtl w:val="true"/>
        </w:rPr>
        <w:t>כי ההליך המשפטי</w:t>
      </w:r>
      <w:r>
        <w:rPr>
          <w:rFonts w:cs="David" w:ascii="David" w:hAnsi="David"/>
          <w:rtl w:val="true"/>
        </w:rPr>
        <w:t xml:space="preserve">, </w:t>
      </w:r>
      <w:r>
        <w:rPr>
          <w:rFonts w:ascii="David" w:hAnsi="David"/>
          <w:rtl w:val="true"/>
        </w:rPr>
        <w:t>המעצר</w:t>
      </w:r>
      <w:r>
        <w:rPr>
          <w:rFonts w:cs="David" w:ascii="David" w:hAnsi="David"/>
          <w:rtl w:val="true"/>
        </w:rPr>
        <w:t xml:space="preserve">, </w:t>
      </w:r>
      <w:r>
        <w:rPr>
          <w:rFonts w:ascii="David" w:hAnsi="David"/>
          <w:rtl w:val="true"/>
        </w:rPr>
        <w:t>תחושת הבושה והשלכות מעורבותו בפלילים מהווים עבורו גורם מרתיע לעתיד</w:t>
      </w:r>
      <w:r>
        <w:rPr>
          <w:rFonts w:cs="David" w:ascii="David" w:hAnsi="David"/>
          <w:rtl w:val="true"/>
        </w:rPr>
        <w:t xml:space="preserve">. </w:t>
      </w:r>
    </w:p>
    <w:p>
      <w:pPr>
        <w:pStyle w:val="Normal"/>
        <w:spacing w:lineRule="auto" w:line="360"/>
        <w:ind w:start="720" w:end="0"/>
        <w:jc w:val="both"/>
        <w:rPr>
          <w:rFonts w:ascii="David" w:hAnsi="David" w:cs="David"/>
        </w:rPr>
      </w:pPr>
      <w:r>
        <w:rPr>
          <w:rFonts w:cs="David" w:ascii="David" w:hAnsi="David"/>
          <w:rtl w:val="true"/>
        </w:rPr>
      </w:r>
    </w:p>
    <w:p>
      <w:pPr>
        <w:pStyle w:val="Normal"/>
        <w:spacing w:lineRule="auto" w:line="360"/>
        <w:ind w:start="720" w:end="0"/>
        <w:jc w:val="both"/>
        <w:rPr>
          <w:rFonts w:ascii="David" w:hAnsi="David" w:cs="David"/>
        </w:rPr>
      </w:pPr>
      <w:r>
        <w:rPr>
          <w:rFonts w:ascii="David" w:hAnsi="David"/>
          <w:rtl w:val="true"/>
        </w:rPr>
        <w:t>שירות המבחן ציין</w:t>
      </w:r>
      <w:r>
        <w:rPr>
          <w:rFonts w:cs="David" w:ascii="David" w:hAnsi="David"/>
          <w:rtl w:val="true"/>
        </w:rPr>
        <w:t xml:space="preserve">, </w:t>
      </w:r>
      <w:r>
        <w:rPr>
          <w:rFonts w:ascii="David" w:hAnsi="David"/>
          <w:rtl w:val="true"/>
        </w:rPr>
        <w:t>כי לאחר התלבטות ולנוכח הסיכוי</w:t>
      </w:r>
      <w:r>
        <w:rPr>
          <w:rFonts w:cs="David" w:ascii="David" w:hAnsi="David"/>
          <w:rtl w:val="true"/>
        </w:rPr>
        <w:t xml:space="preserve">, </w:t>
      </w:r>
      <w:r>
        <w:rPr>
          <w:rFonts w:ascii="David" w:hAnsi="David"/>
          <w:rtl w:val="true"/>
        </w:rPr>
        <w:t>כי אי הרשעתו של המשיב ייתכן ותאפשר לו לחזור לעבודתו בנמל חיפה</w:t>
      </w:r>
      <w:r>
        <w:rPr>
          <w:rFonts w:cs="David" w:ascii="David" w:hAnsi="David"/>
          <w:rtl w:val="true"/>
        </w:rPr>
        <w:t xml:space="preserve">, </w:t>
      </w:r>
      <w:r>
        <w:rPr>
          <w:rFonts w:ascii="David" w:hAnsi="David"/>
          <w:rtl w:val="true"/>
        </w:rPr>
        <w:t>ומבלי להפחית בחומרת העבירה</w:t>
      </w:r>
      <w:r>
        <w:rPr>
          <w:rFonts w:cs="David" w:ascii="David" w:hAnsi="David"/>
          <w:rtl w:val="true"/>
        </w:rPr>
        <w:t xml:space="preserve">, </w:t>
      </w:r>
      <w:r>
        <w:rPr>
          <w:rFonts w:ascii="David" w:hAnsi="David"/>
          <w:rtl w:val="true"/>
        </w:rPr>
        <w:t>המלצתו היא להימנע מהרשעת המשיב</w:t>
      </w:r>
      <w:r>
        <w:rPr>
          <w:rFonts w:cs="David" w:ascii="David" w:hAnsi="David"/>
          <w:rtl w:val="true"/>
        </w:rPr>
        <w:t xml:space="preserve">. </w:t>
      </w:r>
      <w:r>
        <w:rPr>
          <w:rFonts w:ascii="David" w:hAnsi="David"/>
          <w:rtl w:val="true"/>
        </w:rPr>
        <w:t>כמו כן</w:t>
      </w:r>
      <w:r>
        <w:rPr>
          <w:rFonts w:cs="David" w:ascii="David" w:hAnsi="David"/>
          <w:rtl w:val="true"/>
        </w:rPr>
        <w:t xml:space="preserve">, </w:t>
      </w:r>
      <w:r>
        <w:rPr>
          <w:rFonts w:ascii="David" w:hAnsi="David"/>
          <w:rtl w:val="true"/>
        </w:rPr>
        <w:t>המליץ שירות המבחן לשקול להטיל על המשיב צו מבחן למשך שנה במסגרתו ימשיך המשיב את הטיפול במסגרת היחידה לטיפול בנפגעי סמים</w:t>
      </w:r>
      <w:r>
        <w:rPr>
          <w:rFonts w:cs="David" w:ascii="David" w:hAnsi="David"/>
          <w:rtl w:val="true"/>
        </w:rPr>
        <w:t xml:space="preserve">. </w:t>
      </w:r>
      <w:r>
        <w:rPr>
          <w:rFonts w:ascii="David" w:hAnsi="David"/>
          <w:rtl w:val="true"/>
        </w:rPr>
        <w:t>כן המליץ שירות המבחן להטיל על המשיב של</w:t>
      </w:r>
      <w:r>
        <w:rPr>
          <w:rFonts w:cs="David" w:ascii="David" w:hAnsi="David"/>
          <w:rtl w:val="true"/>
        </w:rPr>
        <w:t>"</w:t>
      </w:r>
      <w:r>
        <w:rPr>
          <w:rFonts w:ascii="David" w:hAnsi="David"/>
          <w:rtl w:val="true"/>
        </w:rPr>
        <w:t xml:space="preserve">צ בהיקף </w:t>
      </w:r>
      <w:r>
        <w:rPr>
          <w:rFonts w:cs="David" w:ascii="David" w:hAnsi="David"/>
        </w:rPr>
        <w:t>180</w:t>
      </w:r>
      <w:r>
        <w:rPr>
          <w:rFonts w:cs="David" w:ascii="David" w:hAnsi="David"/>
          <w:rtl w:val="true"/>
        </w:rPr>
        <w:t xml:space="preserve"> </w:t>
      </w:r>
      <w:r>
        <w:rPr>
          <w:rFonts w:ascii="David" w:hAnsi="David"/>
          <w:rtl w:val="true"/>
        </w:rPr>
        <w:t>שעות</w:t>
      </w:r>
      <w:r>
        <w:rPr>
          <w:rFonts w:cs="David" w:ascii="David" w:hAnsi="David"/>
          <w:rtl w:val="true"/>
        </w:rPr>
        <w:t>.</w:t>
      </w:r>
    </w:p>
    <w:p>
      <w:pPr>
        <w:pStyle w:val="Normal"/>
        <w:spacing w:lineRule="auto" w:line="360"/>
        <w:ind w:start="720" w:end="0"/>
        <w:jc w:val="both"/>
        <w:rPr>
          <w:rFonts w:ascii="David" w:hAnsi="David" w:cs="David"/>
        </w:rPr>
      </w:pPr>
      <w:r>
        <w:rPr>
          <w:rFonts w:cs="David" w:ascii="David" w:hAnsi="David"/>
          <w:rtl w:val="true"/>
        </w:rPr>
      </w:r>
    </w:p>
    <w:p>
      <w:pPr>
        <w:pStyle w:val="Normal"/>
        <w:spacing w:lineRule="auto" w:line="360"/>
        <w:ind w:firstLine="720" w:end="0"/>
        <w:jc w:val="both"/>
        <w:rPr>
          <w:rFonts w:ascii="David" w:hAnsi="David" w:cs="David"/>
          <w:b/>
          <w:bCs/>
          <w:u w:val="single"/>
          <w:lang w:val="en-US" w:eastAsia="en-US"/>
        </w:rPr>
      </w:pPr>
      <w:r>
        <w:rPr>
          <w:rFonts w:ascii="David" w:hAnsi="David"/>
          <w:b/>
          <w:b/>
          <w:bCs/>
          <w:u w:val="single"/>
          <w:rtl w:val="true"/>
        </w:rPr>
        <w:t>גזר דינו של בית משפט קמא</w:t>
      </w:r>
    </w:p>
    <w:p>
      <w:pPr>
        <w:pStyle w:val="Normal"/>
        <w:spacing w:lineRule="auto" w:line="360"/>
        <w:ind w:hanging="720" w:start="720" w:end="0"/>
        <w:jc w:val="both"/>
        <w:rPr>
          <w:rFonts w:ascii="David" w:hAnsi="David" w:cs="David"/>
          <w:b/>
          <w:bCs/>
          <w:u w:val="single"/>
          <w:lang w:val="en-US" w:eastAsia="en-US"/>
        </w:rPr>
      </w:pPr>
      <w:r>
        <w:rPr>
          <w:rFonts w:cs="David" w:ascii="David" w:hAnsi="David"/>
          <w:b/>
          <w:bCs/>
          <w:u w:val="single"/>
          <w:rtl w:val="true"/>
          <w:lang w:val="en-US" w:eastAsia="en-US"/>
        </w:rPr>
      </w:r>
    </w:p>
    <w:p>
      <w:pPr>
        <w:pStyle w:val="Normal"/>
        <w:spacing w:lineRule="auto" w:line="360"/>
        <w:ind w:hanging="720" w:start="720" w:end="0"/>
        <w:jc w:val="both"/>
        <w:rPr>
          <w:rFonts w:ascii="David" w:hAnsi="David" w:cs="David"/>
        </w:rPr>
      </w:pPr>
      <w:r>
        <w:rPr>
          <w:rFonts w:cs="David" w:ascii="David" w:hAnsi="David"/>
        </w:rPr>
        <w:t>7</w:t>
      </w:r>
      <w:r>
        <w:rPr>
          <w:rFonts w:cs="David" w:ascii="David" w:hAnsi="David"/>
          <w:rtl w:val="true"/>
        </w:rPr>
        <w:t xml:space="preserve">. </w:t>
        <w:tab/>
      </w:r>
      <w:r>
        <w:rPr>
          <w:rFonts w:ascii="David" w:hAnsi="David"/>
          <w:rtl w:val="true"/>
        </w:rPr>
        <w:t xml:space="preserve">לאחר טיעוני הצדדים לעונש ושמיעת </w:t>
      </w:r>
      <w:r>
        <w:rPr>
          <w:rFonts w:cs="David" w:ascii="David" w:hAnsi="David"/>
        </w:rPr>
        <w:t>4</w:t>
      </w:r>
      <w:r>
        <w:rPr>
          <w:rFonts w:cs="David" w:ascii="David" w:hAnsi="David"/>
          <w:rtl w:val="true"/>
        </w:rPr>
        <w:t xml:space="preserve"> </w:t>
      </w:r>
      <w:r>
        <w:rPr>
          <w:rFonts w:ascii="David" w:hAnsi="David"/>
          <w:rtl w:val="true"/>
        </w:rPr>
        <w:t>עדי אופי מטעם המשיב</w:t>
      </w:r>
      <w:r>
        <w:rPr>
          <w:rFonts w:cs="David" w:ascii="David" w:hAnsi="David"/>
          <w:rtl w:val="true"/>
        </w:rPr>
        <w:t xml:space="preserve">, </w:t>
      </w:r>
      <w:r>
        <w:rPr>
          <w:rFonts w:ascii="David" w:hAnsi="David"/>
          <w:rtl w:val="true"/>
        </w:rPr>
        <w:t>לרבות</w:t>
      </w:r>
      <w:r>
        <w:rPr>
          <w:rFonts w:cs="David" w:ascii="David" w:hAnsi="David"/>
          <w:rtl w:val="true"/>
        </w:rPr>
        <w:t xml:space="preserve">: </w:t>
      </w:r>
      <w:r>
        <w:rPr>
          <w:rFonts w:ascii="David" w:hAnsi="David"/>
          <w:rtl w:val="true"/>
        </w:rPr>
        <w:t>עדותם של מומחה למדעי הצמח</w:t>
      </w:r>
      <w:r>
        <w:rPr>
          <w:rFonts w:cs="David" w:ascii="David" w:hAnsi="David"/>
          <w:rtl w:val="true"/>
        </w:rPr>
        <w:t xml:space="preserve">; </w:t>
      </w:r>
      <w:r>
        <w:rPr>
          <w:rFonts w:ascii="David" w:hAnsi="David"/>
          <w:rtl w:val="true"/>
        </w:rPr>
        <w:t>אמו של המשיב</w:t>
      </w:r>
      <w:r>
        <w:rPr>
          <w:rFonts w:cs="David" w:ascii="David" w:hAnsi="David"/>
          <w:rtl w:val="true"/>
        </w:rPr>
        <w:t xml:space="preserve">; </w:t>
      </w:r>
      <w:r>
        <w:rPr>
          <w:rFonts w:ascii="David" w:hAnsi="David"/>
          <w:rtl w:val="true"/>
        </w:rPr>
        <w:t>יו</w:t>
      </w:r>
      <w:r>
        <w:rPr>
          <w:rFonts w:cs="David" w:ascii="David" w:hAnsi="David"/>
          <w:rtl w:val="true"/>
        </w:rPr>
        <w:t>"</w:t>
      </w:r>
      <w:r>
        <w:rPr>
          <w:rFonts w:ascii="David" w:hAnsi="David"/>
          <w:rtl w:val="true"/>
        </w:rPr>
        <w:t>ר ועד עובדי נמל חיפה ועדות המשיב בעצמו</w:t>
      </w:r>
      <w:r>
        <w:rPr>
          <w:rFonts w:cs="David" w:ascii="David" w:hAnsi="David"/>
          <w:rtl w:val="true"/>
        </w:rPr>
        <w:t xml:space="preserve">, </w:t>
      </w:r>
      <w:r>
        <w:rPr>
          <w:rFonts w:ascii="David" w:hAnsi="David"/>
          <w:rtl w:val="true"/>
        </w:rPr>
        <w:t>ניתן גזר דינו של בית משפט קמא</w:t>
      </w:r>
      <w:r>
        <w:rPr>
          <w:rFonts w:cs="David" w:ascii="David" w:hAnsi="David"/>
          <w:rtl w:val="true"/>
        </w:rPr>
        <w:t xml:space="preserve">. </w:t>
      </w:r>
    </w:p>
    <w:p>
      <w:pPr>
        <w:pStyle w:val="Normal"/>
        <w:spacing w:lineRule="auto" w:line="360"/>
        <w:ind w:hanging="720" w:start="720" w:end="0"/>
        <w:jc w:val="both"/>
        <w:rPr>
          <w:rFonts w:ascii="David" w:hAnsi="David" w:cs="David"/>
        </w:rPr>
      </w:pPr>
      <w:r>
        <w:rPr>
          <w:rFonts w:cs="David" w:ascii="David" w:hAnsi="David"/>
          <w:rtl w:val="true"/>
        </w:rPr>
        <w:tab/>
        <w:tab/>
      </w:r>
    </w:p>
    <w:p>
      <w:pPr>
        <w:pStyle w:val="Normal"/>
        <w:spacing w:lineRule="auto" w:line="360"/>
        <w:ind w:hanging="720" w:start="720" w:end="0"/>
        <w:jc w:val="both"/>
        <w:rPr>
          <w:rFonts w:ascii="David" w:hAnsi="David" w:cs="David"/>
        </w:rPr>
      </w:pPr>
      <w:r>
        <w:rPr>
          <w:rFonts w:cs="David" w:ascii="David" w:hAnsi="David"/>
          <w:rtl w:val="true"/>
        </w:rPr>
        <w:tab/>
      </w:r>
      <w:r>
        <w:rPr>
          <w:rFonts w:ascii="David" w:hAnsi="David"/>
          <w:rtl w:val="true"/>
        </w:rPr>
        <w:t>בגזר דינו עמד בית משפט קמא על חומרתן של עבירות סמים בכלל ועל השפעתן של עבירות אלה הן על מבצעי העבירות ועל הציבור</w:t>
      </w:r>
      <w:r>
        <w:rPr>
          <w:rFonts w:cs="David" w:ascii="David" w:hAnsi="David"/>
          <w:rtl w:val="true"/>
        </w:rPr>
        <w:t xml:space="preserve">. </w:t>
      </w:r>
      <w:r>
        <w:rPr>
          <w:rFonts w:ascii="David" w:hAnsi="David"/>
          <w:rtl w:val="true"/>
        </w:rPr>
        <w:t>כן עמד בית משפט קמא על הצורך בהטלת עונשים מרתיעים על מבצעי עבירות סמים הכוללים מאסרם בפועל</w:t>
      </w:r>
      <w:r>
        <w:rPr>
          <w:rFonts w:cs="David" w:ascii="David" w:hAnsi="David"/>
          <w:rtl w:val="true"/>
        </w:rPr>
        <w:t xml:space="preserve">. </w:t>
      </w:r>
      <w:r>
        <w:rPr>
          <w:rFonts w:ascii="David" w:hAnsi="David"/>
          <w:rtl w:val="true"/>
        </w:rPr>
        <w:t>יחד עם זאת</w:t>
      </w:r>
      <w:r>
        <w:rPr>
          <w:rFonts w:cs="David" w:ascii="David" w:hAnsi="David"/>
          <w:rtl w:val="true"/>
        </w:rPr>
        <w:t xml:space="preserve">, </w:t>
      </w:r>
      <w:r>
        <w:rPr>
          <w:rFonts w:ascii="David" w:hAnsi="David"/>
          <w:rtl w:val="true"/>
        </w:rPr>
        <w:t>ציין בית משפט קמא</w:t>
      </w:r>
      <w:r>
        <w:rPr>
          <w:rFonts w:cs="David" w:ascii="David" w:hAnsi="David"/>
          <w:rtl w:val="true"/>
        </w:rPr>
        <w:t xml:space="preserve">, </w:t>
      </w:r>
      <w:r>
        <w:rPr>
          <w:rFonts w:ascii="David" w:hAnsi="David"/>
          <w:rtl w:val="true"/>
        </w:rPr>
        <w:t>כי יש לבחון כל תיק ונסיבותיו ולהתייחס לכל תיק בהתאם לכל הנתונים המצויים בו</w:t>
      </w:r>
      <w:r>
        <w:rPr>
          <w:rFonts w:cs="David" w:ascii="David" w:hAnsi="David"/>
          <w:rtl w:val="true"/>
        </w:rPr>
        <w:t xml:space="preserve">. </w:t>
      </w:r>
      <w:r>
        <w:rPr>
          <w:rFonts w:ascii="David" w:hAnsi="David"/>
          <w:rtl w:val="true"/>
        </w:rPr>
        <w:t>בעניינו של המשיב</w:t>
      </w:r>
      <w:r>
        <w:rPr>
          <w:rFonts w:cs="David" w:ascii="David" w:hAnsi="David"/>
          <w:rtl w:val="true"/>
        </w:rPr>
        <w:t xml:space="preserve">, </w:t>
      </w:r>
      <w:r>
        <w:rPr>
          <w:rFonts w:ascii="David" w:hAnsi="David"/>
          <w:rtl w:val="true"/>
        </w:rPr>
        <w:t>ציין בית משפט קמא</w:t>
      </w:r>
      <w:r>
        <w:rPr>
          <w:rFonts w:cs="David" w:ascii="David" w:hAnsi="David"/>
          <w:rtl w:val="true"/>
        </w:rPr>
        <w:t xml:space="preserve">, </w:t>
      </w:r>
      <w:r>
        <w:rPr>
          <w:rFonts w:ascii="David" w:hAnsi="David"/>
          <w:rtl w:val="true"/>
        </w:rPr>
        <w:t xml:space="preserve">כי המשיב הודה בהחזקת </w:t>
      </w:r>
      <w:r>
        <w:rPr>
          <w:rFonts w:cs="David" w:ascii="David" w:hAnsi="David"/>
        </w:rPr>
        <w:t>3,600</w:t>
      </w:r>
      <w:r>
        <w:rPr>
          <w:rFonts w:cs="David" w:ascii="David" w:hAnsi="David"/>
          <w:rtl w:val="true"/>
        </w:rPr>
        <w:t xml:space="preserve"> </w:t>
      </w:r>
      <w:r>
        <w:rPr>
          <w:rFonts w:ascii="David" w:hAnsi="David"/>
          <w:rtl w:val="true"/>
        </w:rPr>
        <w:t>גרם סם מסוג קנאביס כאשר הוא נתן את הדירה לצורך גידול הסם</w:t>
      </w:r>
      <w:r>
        <w:rPr>
          <w:rFonts w:cs="David" w:ascii="David" w:hAnsi="David"/>
          <w:rtl w:val="true"/>
        </w:rPr>
        <w:t xml:space="preserve">. </w:t>
      </w:r>
      <w:r>
        <w:rPr>
          <w:rFonts w:ascii="David" w:hAnsi="David"/>
          <w:rtl w:val="true"/>
        </w:rPr>
        <w:t>בית משפט קמא ציין</w:t>
      </w:r>
      <w:r>
        <w:rPr>
          <w:rFonts w:cs="David" w:ascii="David" w:hAnsi="David"/>
          <w:rtl w:val="true"/>
        </w:rPr>
        <w:t xml:space="preserve">, </w:t>
      </w:r>
      <w:r>
        <w:rPr>
          <w:rFonts w:ascii="David" w:hAnsi="David"/>
          <w:rtl w:val="true"/>
        </w:rPr>
        <w:t>כי מדובר במעשים חמורים</w:t>
      </w:r>
      <w:r>
        <w:rPr>
          <w:rFonts w:cs="David" w:ascii="David" w:hAnsi="David"/>
          <w:rtl w:val="true"/>
        </w:rPr>
        <w:t xml:space="preserve">, </w:t>
      </w:r>
      <w:r>
        <w:rPr>
          <w:rFonts w:ascii="David" w:hAnsi="David"/>
          <w:rtl w:val="true"/>
        </w:rPr>
        <w:t>הפוגעים בבריאות הציבור ובביטחונו בצורה בינונית</w:t>
      </w:r>
      <w:r>
        <w:rPr>
          <w:rFonts w:cs="David" w:ascii="David" w:hAnsi="David"/>
          <w:rtl w:val="true"/>
        </w:rPr>
        <w:t xml:space="preserve">. </w:t>
      </w:r>
    </w:p>
    <w:p>
      <w:pPr>
        <w:pStyle w:val="Normal"/>
        <w:spacing w:lineRule="auto" w:line="360"/>
        <w:ind w:hanging="720" w:start="720" w:end="0"/>
        <w:jc w:val="both"/>
        <w:rPr>
          <w:rFonts w:ascii="David" w:hAnsi="David" w:cs="David"/>
        </w:rPr>
      </w:pPr>
      <w:r>
        <w:rPr>
          <w:rFonts w:cs="David" w:ascii="David" w:hAnsi="David"/>
          <w:rtl w:val="true"/>
        </w:rPr>
      </w:r>
    </w:p>
    <w:p>
      <w:pPr>
        <w:pStyle w:val="Normal"/>
        <w:spacing w:lineRule="auto" w:line="360"/>
        <w:ind w:hanging="720" w:start="720" w:end="0"/>
        <w:jc w:val="both"/>
        <w:rPr>
          <w:rFonts w:ascii="David" w:hAnsi="David" w:cs="David"/>
        </w:rPr>
      </w:pPr>
      <w:r>
        <w:rPr>
          <w:rFonts w:cs="David" w:ascii="David" w:hAnsi="David"/>
          <w:rtl w:val="true"/>
        </w:rPr>
        <w:tab/>
      </w:r>
      <w:r>
        <w:rPr>
          <w:rFonts w:ascii="David" w:hAnsi="David"/>
          <w:rtl w:val="true"/>
        </w:rPr>
        <w:t>בקביעת מתחם העונש ההולם</w:t>
      </w:r>
      <w:r>
        <w:rPr>
          <w:rFonts w:cs="David" w:ascii="David" w:hAnsi="David"/>
          <w:rtl w:val="true"/>
        </w:rPr>
        <w:t xml:space="preserve">, </w:t>
      </w:r>
      <w:r>
        <w:rPr>
          <w:rFonts w:ascii="David" w:hAnsi="David"/>
          <w:rtl w:val="true"/>
        </w:rPr>
        <w:t>לקח בית משפט קמא בחשבון את הערכים שנפגעו</w:t>
      </w:r>
      <w:r>
        <w:rPr>
          <w:rFonts w:cs="David" w:ascii="David" w:hAnsi="David"/>
          <w:rtl w:val="true"/>
        </w:rPr>
        <w:t xml:space="preserve">, </w:t>
      </w:r>
      <w:r>
        <w:rPr>
          <w:rFonts w:ascii="David" w:hAnsi="David"/>
          <w:rtl w:val="true"/>
        </w:rPr>
        <w:t>את הפסיקה הנוהגת</w:t>
      </w:r>
      <w:r>
        <w:rPr>
          <w:rFonts w:cs="David" w:ascii="David" w:hAnsi="David"/>
          <w:rtl w:val="true"/>
        </w:rPr>
        <w:t xml:space="preserve">, </w:t>
      </w:r>
      <w:r>
        <w:rPr>
          <w:rFonts w:ascii="David" w:hAnsi="David"/>
          <w:rtl w:val="true"/>
        </w:rPr>
        <w:t>את חלקו של המשיב בביצוע העבירה לעומת הנאשם הנוסף שנידון בפני מותב אחר</w:t>
      </w:r>
      <w:r>
        <w:rPr>
          <w:rFonts w:cs="David" w:ascii="David" w:hAnsi="David"/>
          <w:rtl w:val="true"/>
        </w:rPr>
        <w:t xml:space="preserve">. </w:t>
      </w:r>
      <w:r>
        <w:rPr>
          <w:rFonts w:ascii="David" w:hAnsi="David"/>
          <w:rtl w:val="true"/>
        </w:rPr>
        <w:t>כמו כן</w:t>
      </w:r>
      <w:r>
        <w:rPr>
          <w:rFonts w:cs="David" w:ascii="David" w:hAnsi="David"/>
          <w:rtl w:val="true"/>
        </w:rPr>
        <w:t xml:space="preserve">, </w:t>
      </w:r>
      <w:r>
        <w:rPr>
          <w:rFonts w:ascii="David" w:hAnsi="David"/>
          <w:rtl w:val="true"/>
        </w:rPr>
        <w:t>נלקחו בחשבון הנזק שנגרם והיה צפוי להיגרם מביצוע העבירה וכן הנסיבות שהביאו את המשיב לבצע את העבירה</w:t>
      </w:r>
      <w:r>
        <w:rPr>
          <w:rFonts w:cs="David" w:ascii="David" w:hAnsi="David"/>
          <w:rtl w:val="true"/>
        </w:rPr>
        <w:t xml:space="preserve">, </w:t>
      </w:r>
      <w:r>
        <w:rPr>
          <w:rFonts w:ascii="David" w:hAnsi="David"/>
          <w:rtl w:val="true"/>
        </w:rPr>
        <w:t>שנעשתה לטענתו לצורך שימושם העצמי שלו ושל שותפו בלבד</w:t>
      </w:r>
      <w:r>
        <w:rPr>
          <w:rFonts w:cs="David" w:ascii="David" w:hAnsi="David"/>
          <w:rtl w:val="true"/>
        </w:rPr>
        <w:t xml:space="preserve">. </w:t>
      </w:r>
      <w:r>
        <w:rPr>
          <w:rFonts w:ascii="David" w:hAnsi="David"/>
          <w:rtl w:val="true"/>
        </w:rPr>
        <w:t>בנוסף</w:t>
      </w:r>
      <w:r>
        <w:rPr>
          <w:rFonts w:cs="David" w:ascii="David" w:hAnsi="David"/>
          <w:rtl w:val="true"/>
        </w:rPr>
        <w:t xml:space="preserve">, </w:t>
      </w:r>
      <w:r>
        <w:rPr>
          <w:rFonts w:ascii="David" w:hAnsi="David"/>
          <w:rtl w:val="true"/>
        </w:rPr>
        <w:t>הביא בית משפט קמא בין שיקוליו</w:t>
      </w:r>
      <w:r>
        <w:rPr>
          <w:rFonts w:cs="David" w:ascii="David" w:hAnsi="David"/>
          <w:rtl w:val="true"/>
        </w:rPr>
        <w:t xml:space="preserve">, </w:t>
      </w:r>
      <w:r>
        <w:rPr>
          <w:rFonts w:ascii="David" w:hAnsi="David"/>
          <w:rtl w:val="true"/>
        </w:rPr>
        <w:t>את יכולתו של המשיב להבין את מעשיו ואת הפסול שבהם</w:t>
      </w:r>
      <w:r>
        <w:rPr>
          <w:rFonts w:cs="David" w:ascii="David" w:hAnsi="David"/>
          <w:rtl w:val="true"/>
        </w:rPr>
        <w:t xml:space="preserve">, </w:t>
      </w:r>
      <w:r>
        <w:rPr>
          <w:rFonts w:ascii="David" w:hAnsi="David"/>
          <w:rtl w:val="true"/>
        </w:rPr>
        <w:t>וכן את מצוקתו הנפשית בעקבות מות אביו ושימושו בסם בשל אותה מצוקה</w:t>
      </w:r>
      <w:r>
        <w:rPr>
          <w:rFonts w:cs="David" w:ascii="David" w:hAnsi="David"/>
          <w:rtl w:val="true"/>
        </w:rPr>
        <w:t xml:space="preserve">. </w:t>
      </w:r>
      <w:r>
        <w:rPr>
          <w:rFonts w:ascii="David" w:hAnsi="David"/>
          <w:rtl w:val="true"/>
        </w:rPr>
        <w:t>לבסוף</w:t>
      </w:r>
      <w:r>
        <w:rPr>
          <w:rFonts w:cs="David" w:ascii="David" w:hAnsi="David"/>
          <w:rtl w:val="true"/>
        </w:rPr>
        <w:t xml:space="preserve">, </w:t>
      </w:r>
      <w:r>
        <w:rPr>
          <w:rFonts w:ascii="David" w:hAnsi="David"/>
          <w:rtl w:val="true"/>
        </w:rPr>
        <w:t xml:space="preserve">אימץ בית משפט קמא את אותו מתחם עונש הולם שנקבע גם בעניינו של הנאשם הנוסף ואשר הועמד על מתחם שנע בין </w:t>
      </w:r>
      <w:r>
        <w:rPr>
          <w:rFonts w:cs="David" w:ascii="David" w:hAnsi="David"/>
        </w:rPr>
        <w:t>6</w:t>
      </w:r>
      <w:r>
        <w:rPr>
          <w:rFonts w:cs="David" w:ascii="David" w:hAnsi="David"/>
          <w:rtl w:val="true"/>
        </w:rPr>
        <w:t xml:space="preserve"> </w:t>
      </w:r>
      <w:r>
        <w:rPr>
          <w:rFonts w:ascii="David" w:hAnsi="David"/>
          <w:rtl w:val="true"/>
        </w:rPr>
        <w:t xml:space="preserve">חודשי מאסר אותם ניתן לרצות בעבודות שירות ועד </w:t>
      </w:r>
      <w:r>
        <w:rPr>
          <w:rFonts w:cs="David" w:ascii="David" w:hAnsi="David"/>
        </w:rPr>
        <w:t>12</w:t>
      </w:r>
      <w:r>
        <w:rPr>
          <w:rFonts w:cs="David" w:ascii="David" w:hAnsi="David"/>
          <w:rtl w:val="true"/>
        </w:rPr>
        <w:t xml:space="preserve"> </w:t>
      </w:r>
      <w:r>
        <w:rPr>
          <w:rFonts w:ascii="David" w:hAnsi="David"/>
          <w:rtl w:val="true"/>
        </w:rPr>
        <w:t>חודשי מאסר בפועל</w:t>
      </w:r>
      <w:r>
        <w:rPr>
          <w:rFonts w:cs="David" w:ascii="David" w:hAnsi="David"/>
          <w:rtl w:val="true"/>
        </w:rPr>
        <w:t xml:space="preserve">. </w:t>
      </w:r>
    </w:p>
    <w:p>
      <w:pPr>
        <w:pStyle w:val="Normal"/>
        <w:spacing w:lineRule="auto" w:line="360"/>
        <w:ind w:hanging="720" w:start="720" w:end="0"/>
        <w:jc w:val="both"/>
        <w:rPr>
          <w:rFonts w:ascii="David" w:hAnsi="David" w:cs="David"/>
        </w:rPr>
      </w:pPr>
      <w:r>
        <w:rPr>
          <w:rFonts w:cs="David" w:ascii="David" w:hAnsi="David"/>
          <w:rtl w:val="true"/>
        </w:rPr>
      </w:r>
    </w:p>
    <w:p>
      <w:pPr>
        <w:pStyle w:val="Normal"/>
        <w:spacing w:lineRule="auto" w:line="360"/>
        <w:ind w:hanging="720" w:start="720" w:end="0"/>
        <w:jc w:val="both"/>
        <w:rPr>
          <w:rFonts w:ascii="David" w:hAnsi="David" w:cs="David"/>
        </w:rPr>
      </w:pPr>
      <w:r>
        <w:rPr>
          <w:rFonts w:cs="David" w:ascii="David" w:hAnsi="David"/>
          <w:rtl w:val="true"/>
        </w:rPr>
        <w:tab/>
      </w:r>
      <w:r>
        <w:rPr>
          <w:rFonts w:ascii="David" w:hAnsi="David"/>
          <w:rtl w:val="true"/>
        </w:rPr>
        <w:t>עם זאת</w:t>
      </w:r>
      <w:r>
        <w:rPr>
          <w:rFonts w:cs="David" w:ascii="David" w:hAnsi="David"/>
          <w:rtl w:val="true"/>
        </w:rPr>
        <w:t xml:space="preserve">, </w:t>
      </w:r>
      <w:r>
        <w:rPr>
          <w:rFonts w:ascii="David" w:hAnsi="David"/>
          <w:rtl w:val="true"/>
        </w:rPr>
        <w:t>ציין בית משפט קמא</w:t>
      </w:r>
      <w:r>
        <w:rPr>
          <w:rFonts w:cs="David" w:ascii="David" w:hAnsi="David"/>
          <w:rtl w:val="true"/>
        </w:rPr>
        <w:t xml:space="preserve">, </w:t>
      </w:r>
      <w:r>
        <w:rPr>
          <w:rFonts w:ascii="David" w:hAnsi="David"/>
          <w:rtl w:val="true"/>
        </w:rPr>
        <w:t>כי קיים הבדל בין המשיב לבין הנאשם הנוסף</w:t>
      </w:r>
      <w:r>
        <w:rPr>
          <w:rFonts w:cs="David" w:ascii="David" w:hAnsi="David"/>
          <w:rtl w:val="true"/>
        </w:rPr>
        <w:t xml:space="preserve">. </w:t>
      </w:r>
      <w:r>
        <w:rPr>
          <w:rFonts w:ascii="David" w:hAnsi="David"/>
          <w:rtl w:val="true"/>
        </w:rPr>
        <w:t>צוין</w:t>
      </w:r>
      <w:r>
        <w:rPr>
          <w:rFonts w:cs="David" w:ascii="David" w:hAnsi="David"/>
          <w:rtl w:val="true"/>
        </w:rPr>
        <w:t xml:space="preserve">, </w:t>
      </w:r>
      <w:r>
        <w:rPr>
          <w:rFonts w:ascii="David" w:hAnsi="David"/>
          <w:rtl w:val="true"/>
        </w:rPr>
        <w:t xml:space="preserve">כי מעיון בהודעותיו של הנאשם הנוסף במשטרה </w:t>
      </w:r>
      <w:r>
        <w:rPr>
          <w:rFonts w:cs="David" w:ascii="David" w:hAnsi="David"/>
          <w:rtl w:val="true"/>
        </w:rPr>
        <w:t>(</w:t>
      </w:r>
      <w:r>
        <w:rPr>
          <w:rFonts w:ascii="David" w:hAnsi="David"/>
          <w:rtl w:val="true"/>
        </w:rPr>
        <w:t>נ</w:t>
      </w:r>
      <w:r>
        <w:rPr>
          <w:rFonts w:cs="David" w:ascii="David" w:hAnsi="David"/>
          <w:rtl w:val="true"/>
        </w:rPr>
        <w:t>/</w:t>
      </w:r>
      <w:r>
        <w:rPr>
          <w:rFonts w:cs="David" w:ascii="David" w:hAnsi="David"/>
        </w:rPr>
        <w:t>1</w:t>
      </w:r>
      <w:r>
        <w:rPr>
          <w:rFonts w:cs="David" w:ascii="David" w:hAnsi="David"/>
          <w:rtl w:val="true"/>
        </w:rPr>
        <w:t xml:space="preserve">), </w:t>
      </w:r>
      <w:r>
        <w:rPr>
          <w:rFonts w:ascii="David" w:hAnsi="David"/>
          <w:rtl w:val="true"/>
        </w:rPr>
        <w:t>עולה שהמשיב לא טיפל בסמים אלא הנאשם הנוסף הוא זה אשר טיפל בהם</w:t>
      </w:r>
      <w:r>
        <w:rPr>
          <w:rFonts w:cs="David" w:ascii="David" w:hAnsi="David"/>
          <w:rtl w:val="true"/>
        </w:rPr>
        <w:t xml:space="preserve">. </w:t>
      </w:r>
      <w:r>
        <w:rPr>
          <w:rFonts w:ascii="David" w:hAnsi="David"/>
          <w:rtl w:val="true"/>
        </w:rPr>
        <w:t>בית משפט קמא ציין</w:t>
      </w:r>
      <w:r>
        <w:rPr>
          <w:rFonts w:cs="David" w:ascii="David" w:hAnsi="David"/>
          <w:rtl w:val="true"/>
        </w:rPr>
        <w:t xml:space="preserve">, </w:t>
      </w:r>
      <w:r>
        <w:rPr>
          <w:rFonts w:ascii="David" w:hAnsi="David"/>
          <w:rtl w:val="true"/>
        </w:rPr>
        <w:t>כי הנאשם הנוסף אישר שהסם שגידל יחד עם המשיב שימש לשימושם העצמי וכי מעולם לא מכרו מאותו סם לצד שלישי</w:t>
      </w:r>
      <w:r>
        <w:rPr>
          <w:rFonts w:cs="David" w:ascii="David" w:hAnsi="David"/>
          <w:rtl w:val="true"/>
        </w:rPr>
        <w:t xml:space="preserve">. </w:t>
      </w:r>
      <w:r>
        <w:rPr>
          <w:rFonts w:ascii="David" w:hAnsi="David"/>
          <w:rtl w:val="true"/>
        </w:rPr>
        <w:t>עוד ציין בית משפט קמא</w:t>
      </w:r>
      <w:r>
        <w:rPr>
          <w:rFonts w:cs="David" w:ascii="David" w:hAnsi="David"/>
          <w:rtl w:val="true"/>
        </w:rPr>
        <w:t xml:space="preserve">, </w:t>
      </w:r>
      <w:r>
        <w:rPr>
          <w:rFonts w:ascii="David" w:hAnsi="David"/>
          <w:rtl w:val="true"/>
        </w:rPr>
        <w:t>כי עיון בהודעותיו של המשיב מעלה שהמשיב לא התעסק כלל בגידול הסמים וכי הנאשם הנוסף הוא זה שטיפל בגידולם</w:t>
      </w:r>
      <w:r>
        <w:rPr>
          <w:rFonts w:cs="David" w:ascii="David" w:hAnsi="David"/>
          <w:rtl w:val="true"/>
        </w:rPr>
        <w:t xml:space="preserve">. </w:t>
      </w:r>
      <w:r>
        <w:rPr>
          <w:rFonts w:ascii="David" w:hAnsi="David"/>
          <w:rtl w:val="true"/>
        </w:rPr>
        <w:t>בנסיבות אלה</w:t>
      </w:r>
      <w:r>
        <w:rPr>
          <w:rFonts w:cs="David" w:ascii="David" w:hAnsi="David"/>
          <w:rtl w:val="true"/>
        </w:rPr>
        <w:t xml:space="preserve">, </w:t>
      </w:r>
      <w:r>
        <w:rPr>
          <w:rFonts w:ascii="David" w:hAnsi="David"/>
          <w:rtl w:val="true"/>
        </w:rPr>
        <w:t>ציין בית משפט קמא</w:t>
      </w:r>
      <w:r>
        <w:rPr>
          <w:rFonts w:cs="David" w:ascii="David" w:hAnsi="David"/>
          <w:rtl w:val="true"/>
        </w:rPr>
        <w:t xml:space="preserve">, </w:t>
      </w:r>
      <w:r>
        <w:rPr>
          <w:rFonts w:ascii="David" w:hAnsi="David"/>
          <w:rtl w:val="true"/>
        </w:rPr>
        <w:t>כי אמנם שני הנאשמים ביצעו את אותה עבירה כמבצעים בצוותא ואולם קיימות אינדיקציות מהן עולה</w:t>
      </w:r>
      <w:r>
        <w:rPr>
          <w:rFonts w:cs="David" w:ascii="David" w:hAnsi="David"/>
          <w:rtl w:val="true"/>
        </w:rPr>
        <w:t xml:space="preserve">, </w:t>
      </w:r>
      <w:r>
        <w:rPr>
          <w:rFonts w:ascii="David" w:hAnsi="David"/>
          <w:rtl w:val="true"/>
        </w:rPr>
        <w:t>כי חלקו של המשיב בביצוע העבירה הוא קטן יותר וכי המשיב טיפל יחד עם הנאשם הנוסף בצמחי הסם בכדי שישמשו לשימושם העצמי</w:t>
      </w:r>
      <w:r>
        <w:rPr>
          <w:rFonts w:cs="David" w:ascii="David" w:hAnsi="David"/>
          <w:rtl w:val="true"/>
        </w:rPr>
        <w:t>.</w:t>
      </w:r>
    </w:p>
    <w:p>
      <w:pPr>
        <w:pStyle w:val="Normal"/>
        <w:spacing w:lineRule="auto" w:line="360"/>
        <w:ind w:hanging="720" w:start="720" w:end="0"/>
        <w:jc w:val="both"/>
        <w:rPr>
          <w:rFonts w:ascii="David" w:hAnsi="David" w:cs="David"/>
        </w:rPr>
      </w:pPr>
      <w:r>
        <w:rPr>
          <w:rFonts w:cs="David" w:ascii="David" w:hAnsi="David"/>
          <w:rtl w:val="true"/>
        </w:rPr>
      </w:r>
    </w:p>
    <w:p>
      <w:pPr>
        <w:pStyle w:val="Normal"/>
        <w:spacing w:lineRule="auto" w:line="360"/>
        <w:ind w:hanging="720" w:start="720" w:end="0"/>
        <w:jc w:val="both"/>
        <w:rPr>
          <w:rFonts w:ascii="David" w:hAnsi="David" w:cs="David"/>
        </w:rPr>
      </w:pPr>
      <w:r>
        <w:rPr>
          <w:rFonts w:cs="David" w:ascii="David" w:hAnsi="David"/>
          <w:rtl w:val="true"/>
        </w:rPr>
        <w:tab/>
      </w:r>
      <w:r>
        <w:rPr>
          <w:rFonts w:ascii="David" w:hAnsi="David"/>
          <w:rtl w:val="true"/>
        </w:rPr>
        <w:t>בהמשך</w:t>
      </w:r>
      <w:r>
        <w:rPr>
          <w:rFonts w:cs="David" w:ascii="David" w:hAnsi="David"/>
          <w:rtl w:val="true"/>
        </w:rPr>
        <w:t xml:space="preserve">, </w:t>
      </w:r>
      <w:r>
        <w:rPr>
          <w:rFonts w:ascii="David" w:hAnsi="David"/>
          <w:rtl w:val="true"/>
        </w:rPr>
        <w:t>סקר בית משפט קמא את ממצאי תסקיר שירות המבחן ואת המלצותיו כפי שהובאו לעיל ולאחר מכן פנה לבחינת סוגיית אי ההרשעה</w:t>
      </w:r>
      <w:r>
        <w:rPr>
          <w:rFonts w:cs="David" w:ascii="David" w:hAnsi="David"/>
          <w:rtl w:val="true"/>
        </w:rPr>
        <w:t xml:space="preserve">. </w:t>
      </w:r>
      <w:r>
        <w:rPr>
          <w:rFonts w:ascii="David" w:hAnsi="David"/>
          <w:rtl w:val="true"/>
        </w:rPr>
        <w:t>בית משפט קמא הפנה לתנאים שנקבעו ב</w:t>
      </w:r>
      <w:hyperlink r:id="rId15">
        <w:r>
          <w:rPr>
            <w:rStyle w:val="Hyperlink"/>
            <w:rFonts w:ascii="David" w:hAnsi="David"/>
            <w:color w:val="0000FF"/>
            <w:u w:val="single"/>
            <w:rtl w:val="true"/>
          </w:rPr>
          <w:t>ע</w:t>
        </w:r>
        <w:r>
          <w:rPr>
            <w:rStyle w:val="Hyperlink"/>
            <w:rFonts w:cs="David" w:ascii="David" w:hAnsi="David"/>
            <w:color w:val="0000FF"/>
            <w:u w:val="single"/>
            <w:rtl w:val="true"/>
          </w:rPr>
          <w:t>"</w:t>
        </w:r>
        <w:r>
          <w:rPr>
            <w:rStyle w:val="Hyperlink"/>
            <w:rFonts w:ascii="David" w:hAnsi="David"/>
            <w:color w:val="0000FF"/>
            <w:u w:val="single"/>
            <w:rtl w:val="true"/>
          </w:rPr>
          <w:t xml:space="preserve">פ </w:t>
        </w:r>
        <w:r>
          <w:rPr>
            <w:rStyle w:val="Hyperlink"/>
            <w:rFonts w:cs="David" w:ascii="David" w:hAnsi="David"/>
            <w:color w:val="0000FF"/>
            <w:u w:val="single"/>
          </w:rPr>
          <w:t>2083/96</w:t>
        </w:r>
        <w:r>
          <w:rPr>
            <w:rStyle w:val="Hyperlink"/>
            <w:rFonts w:cs="David" w:ascii="David" w:hAnsi="David"/>
            <w:color w:val="0000FF"/>
            <w:u w:val="single"/>
            <w:rtl w:val="true"/>
          </w:rPr>
          <w:t xml:space="preserve"> </w:t>
        </w:r>
        <w:r>
          <w:rPr>
            <w:rStyle w:val="Hyperlink"/>
            <w:rFonts w:ascii="David" w:hAnsi="David"/>
            <w:color w:val="0000FF"/>
            <w:u w:val="single"/>
            <w:rtl w:val="true"/>
          </w:rPr>
          <w:t>תמר כתב נ</w:t>
        </w:r>
        <w:r>
          <w:rPr>
            <w:rStyle w:val="Hyperlink"/>
            <w:rFonts w:cs="David" w:ascii="David" w:hAnsi="David"/>
            <w:color w:val="0000FF"/>
            <w:u w:val="single"/>
            <w:rtl w:val="true"/>
          </w:rPr>
          <w:t xml:space="preserve">' </w:t>
        </w:r>
        <w:r>
          <w:rPr>
            <w:rStyle w:val="Hyperlink"/>
            <w:rFonts w:ascii="David" w:hAnsi="David"/>
            <w:color w:val="0000FF"/>
            <w:u w:val="single"/>
            <w:rtl w:val="true"/>
          </w:rPr>
          <w:t>מדינת ישראל</w:t>
        </w:r>
        <w:r>
          <w:rPr>
            <w:rStyle w:val="Hyperlink"/>
            <w:rFonts w:cs="David" w:ascii="David" w:hAnsi="David"/>
            <w:color w:val="0000FF"/>
            <w:u w:val="single"/>
            <w:rtl w:val="true"/>
          </w:rPr>
          <w:t xml:space="preserve">, </w:t>
        </w:r>
        <w:r>
          <w:rPr>
            <w:rStyle w:val="Hyperlink"/>
            <w:rFonts w:ascii="David" w:hAnsi="David"/>
            <w:color w:val="0000FF"/>
            <w:u w:val="single"/>
            <w:rtl w:val="true"/>
          </w:rPr>
          <w:t>פ</w:t>
        </w:r>
        <w:r>
          <w:rPr>
            <w:rStyle w:val="Hyperlink"/>
            <w:rFonts w:cs="David" w:ascii="David" w:hAnsi="David"/>
            <w:color w:val="0000FF"/>
            <w:u w:val="single"/>
            <w:rtl w:val="true"/>
          </w:rPr>
          <w:t>"</w:t>
        </w:r>
        <w:r>
          <w:rPr>
            <w:rStyle w:val="Hyperlink"/>
            <w:rFonts w:ascii="David" w:hAnsi="David"/>
            <w:color w:val="0000FF"/>
            <w:u w:val="single"/>
            <w:rtl w:val="true"/>
          </w:rPr>
          <w:t>ד נב</w:t>
        </w:r>
      </w:hyperlink>
      <w:r>
        <w:rPr>
          <w:rFonts w:cs="David" w:ascii="David" w:hAnsi="David"/>
          <w:rtl w:val="true"/>
        </w:rPr>
        <w:t>(</w:t>
      </w:r>
      <w:r>
        <w:rPr>
          <w:rFonts w:cs="David" w:ascii="David" w:hAnsi="David"/>
        </w:rPr>
        <w:t>3</w:t>
      </w:r>
      <w:r>
        <w:rPr>
          <w:rFonts w:cs="David" w:ascii="David" w:hAnsi="David"/>
          <w:rtl w:val="true"/>
        </w:rPr>
        <w:t xml:space="preserve">), </w:t>
      </w:r>
      <w:r>
        <w:rPr>
          <w:rFonts w:cs="David" w:ascii="David" w:hAnsi="David"/>
        </w:rPr>
        <w:t>337</w:t>
      </w:r>
      <w:r>
        <w:rPr>
          <w:rFonts w:cs="David" w:ascii="David" w:hAnsi="David"/>
          <w:rtl w:val="true"/>
        </w:rPr>
        <w:t xml:space="preserve"> (</w:t>
      </w:r>
      <w:r>
        <w:rPr>
          <w:rFonts w:ascii="David" w:hAnsi="David"/>
          <w:rtl w:val="true"/>
        </w:rPr>
        <w:t>להלן</w:t>
      </w:r>
      <w:r>
        <w:rPr>
          <w:rFonts w:cs="David" w:ascii="David" w:hAnsi="David"/>
          <w:rtl w:val="true"/>
        </w:rPr>
        <w:t xml:space="preserve">: </w:t>
      </w:r>
      <w:r>
        <w:rPr>
          <w:rFonts w:cs="David" w:ascii="David" w:hAnsi="David"/>
          <w:b/>
          <w:bCs/>
          <w:rtl w:val="true"/>
        </w:rPr>
        <w:t>"</w:t>
      </w:r>
      <w:r>
        <w:rPr>
          <w:rFonts w:ascii="David" w:hAnsi="David"/>
          <w:b/>
          <w:b/>
          <w:bCs/>
          <w:rtl w:val="true"/>
        </w:rPr>
        <w:t>הלכת כתב</w:t>
      </w:r>
      <w:r>
        <w:rPr>
          <w:rFonts w:cs="David" w:ascii="David" w:hAnsi="David"/>
          <w:b/>
          <w:bCs/>
          <w:rtl w:val="true"/>
        </w:rPr>
        <w:t>"</w:t>
      </w:r>
      <w:r>
        <w:rPr>
          <w:rFonts w:cs="David" w:ascii="David" w:hAnsi="David"/>
          <w:rtl w:val="true"/>
        </w:rPr>
        <w:t xml:space="preserve">) </w:t>
      </w:r>
      <w:r>
        <w:rPr>
          <w:rFonts w:ascii="David" w:hAnsi="David"/>
          <w:rtl w:val="true"/>
        </w:rPr>
        <w:t>לעניין אי הרשעה</w:t>
      </w:r>
      <w:r>
        <w:rPr>
          <w:rFonts w:cs="David" w:ascii="David" w:hAnsi="David"/>
          <w:rtl w:val="true"/>
        </w:rPr>
        <w:t xml:space="preserve">, </w:t>
      </w:r>
      <w:r>
        <w:rPr>
          <w:rFonts w:ascii="David" w:hAnsi="David"/>
          <w:rtl w:val="true"/>
        </w:rPr>
        <w:t>קרי</w:t>
      </w:r>
      <w:r>
        <w:rPr>
          <w:rFonts w:cs="David" w:ascii="David" w:hAnsi="David"/>
          <w:rtl w:val="true"/>
        </w:rPr>
        <w:t xml:space="preserve">: </w:t>
      </w:r>
      <w:r>
        <w:rPr>
          <w:rFonts w:ascii="David" w:hAnsi="David"/>
          <w:rtl w:val="true"/>
        </w:rPr>
        <w:t>הפגיעה בשיקום הנאשם</w:t>
      </w:r>
      <w:r>
        <w:rPr>
          <w:rFonts w:cs="David" w:ascii="David" w:hAnsi="David"/>
          <w:rtl w:val="true"/>
        </w:rPr>
        <w:t xml:space="preserve">, </w:t>
      </w:r>
      <w:r>
        <w:rPr>
          <w:rFonts w:ascii="David" w:hAnsi="David"/>
          <w:rtl w:val="true"/>
        </w:rPr>
        <w:t>וסוג העבירה שמאפשר הימנעות מהרשעה</w:t>
      </w:r>
      <w:r>
        <w:rPr>
          <w:rFonts w:cs="David" w:ascii="David" w:hAnsi="David"/>
          <w:rtl w:val="true"/>
        </w:rPr>
        <w:t xml:space="preserve">. </w:t>
      </w:r>
      <w:r>
        <w:rPr>
          <w:rFonts w:ascii="David" w:hAnsi="David"/>
          <w:rtl w:val="true"/>
        </w:rPr>
        <w:t>בית משפט קמא הגיע למסקנה</w:t>
      </w:r>
      <w:r>
        <w:rPr>
          <w:rFonts w:cs="David" w:ascii="David" w:hAnsi="David"/>
          <w:rtl w:val="true"/>
        </w:rPr>
        <w:t xml:space="preserve">, </w:t>
      </w:r>
      <w:r>
        <w:rPr>
          <w:rFonts w:ascii="David" w:hAnsi="David"/>
          <w:rtl w:val="true"/>
        </w:rPr>
        <w:t>כי תנאים אלה מתקיימים בעניינו של המשיב</w:t>
      </w:r>
      <w:r>
        <w:rPr>
          <w:rFonts w:cs="David" w:ascii="David" w:hAnsi="David"/>
          <w:rtl w:val="true"/>
        </w:rPr>
        <w:t xml:space="preserve">. </w:t>
      </w:r>
    </w:p>
    <w:p>
      <w:pPr>
        <w:pStyle w:val="Normal"/>
        <w:spacing w:lineRule="auto" w:line="360"/>
        <w:ind w:hanging="720" w:start="720" w:end="0"/>
        <w:jc w:val="both"/>
        <w:rPr>
          <w:rFonts w:ascii="David" w:hAnsi="David" w:cs="David"/>
        </w:rPr>
      </w:pPr>
      <w:r>
        <w:rPr>
          <w:rFonts w:cs="David" w:ascii="David" w:hAnsi="David"/>
          <w:rtl w:val="true"/>
        </w:rPr>
      </w:r>
    </w:p>
    <w:p>
      <w:pPr>
        <w:pStyle w:val="Normal"/>
        <w:spacing w:lineRule="auto" w:line="360"/>
        <w:ind w:hanging="720" w:start="720" w:end="0"/>
        <w:jc w:val="both"/>
        <w:rPr>
          <w:rFonts w:ascii="David" w:hAnsi="David" w:cs="David"/>
        </w:rPr>
      </w:pPr>
      <w:r>
        <w:rPr>
          <w:rFonts w:cs="David" w:ascii="David" w:hAnsi="David"/>
          <w:rtl w:val="true"/>
        </w:rPr>
        <w:tab/>
      </w:r>
      <w:r>
        <w:rPr>
          <w:rFonts w:ascii="David" w:hAnsi="David"/>
          <w:rtl w:val="true"/>
        </w:rPr>
        <w:t>בית משפט קמא ציין</w:t>
      </w:r>
      <w:r>
        <w:rPr>
          <w:rFonts w:cs="David" w:ascii="David" w:hAnsi="David"/>
          <w:rtl w:val="true"/>
        </w:rPr>
        <w:t xml:space="preserve">, </w:t>
      </w:r>
      <w:r>
        <w:rPr>
          <w:rFonts w:ascii="David" w:hAnsi="David"/>
          <w:rtl w:val="true"/>
        </w:rPr>
        <w:t>כי כעקרון עבירה מעין זו בה הודה המשיב היא עבירה חמורה שבתי המשפט נוהגים להרשיע את הנאשמים שעברו אותה</w:t>
      </w:r>
      <w:r>
        <w:rPr>
          <w:rFonts w:cs="David" w:ascii="David" w:hAnsi="David"/>
          <w:rtl w:val="true"/>
        </w:rPr>
        <w:t xml:space="preserve">. </w:t>
      </w:r>
      <w:r>
        <w:rPr>
          <w:rFonts w:ascii="David" w:hAnsi="David"/>
          <w:rtl w:val="true"/>
        </w:rPr>
        <w:t>אולם</w:t>
      </w:r>
      <w:r>
        <w:rPr>
          <w:rFonts w:cs="David" w:ascii="David" w:hAnsi="David"/>
          <w:rtl w:val="true"/>
        </w:rPr>
        <w:t xml:space="preserve">, </w:t>
      </w:r>
      <w:r>
        <w:rPr>
          <w:rFonts w:ascii="David" w:hAnsi="David"/>
          <w:rtl w:val="true"/>
        </w:rPr>
        <w:t>במקרה הנדון שוכנע בית משפט קמא כי המשיב גידל את הסם לצרכי שימושו העצמי בלבד בפרט משעלה מעדותו של המומחה למדעי הצמח</w:t>
      </w:r>
      <w:r>
        <w:rPr>
          <w:rFonts w:cs="David" w:ascii="David" w:hAnsi="David"/>
          <w:rtl w:val="true"/>
        </w:rPr>
        <w:t xml:space="preserve">, </w:t>
      </w:r>
      <w:r>
        <w:rPr>
          <w:rFonts w:ascii="David" w:hAnsi="David"/>
          <w:rtl w:val="true"/>
        </w:rPr>
        <w:t>שהגיש חוות דעת מטעם ההגנה</w:t>
      </w:r>
      <w:r>
        <w:rPr>
          <w:rFonts w:cs="David" w:ascii="David" w:hAnsi="David"/>
          <w:rtl w:val="true"/>
        </w:rPr>
        <w:t xml:space="preserve">, </w:t>
      </w:r>
      <w:r>
        <w:rPr>
          <w:rFonts w:ascii="David" w:hAnsi="David"/>
          <w:rtl w:val="true"/>
        </w:rPr>
        <w:t>שמרבית הסם שנתפס אינו כולל סם פעיל</w:t>
      </w:r>
      <w:r>
        <w:rPr>
          <w:rFonts w:cs="David" w:ascii="David" w:hAnsi="David"/>
          <w:rtl w:val="true"/>
        </w:rPr>
        <w:t xml:space="preserve">, </w:t>
      </w:r>
      <w:r>
        <w:rPr>
          <w:rFonts w:ascii="David" w:hAnsi="David"/>
          <w:rtl w:val="true"/>
        </w:rPr>
        <w:t>כי רק חלק מהכמות שנתפסה אצל המשיב מהווה סם ואילו כל היתר איננו עונה על ההגדרה של סם מסוכן</w:t>
      </w:r>
      <w:r>
        <w:rPr>
          <w:rFonts w:cs="David" w:ascii="David" w:hAnsi="David"/>
          <w:rtl w:val="true"/>
        </w:rPr>
        <w:t xml:space="preserve">. </w:t>
      </w:r>
    </w:p>
    <w:p>
      <w:pPr>
        <w:pStyle w:val="Normal"/>
        <w:spacing w:lineRule="auto" w:line="360"/>
        <w:ind w:hanging="720" w:start="720" w:end="0"/>
        <w:jc w:val="both"/>
        <w:rPr>
          <w:rFonts w:ascii="David" w:hAnsi="David" w:cs="David"/>
          <w:highlight w:val="yellow"/>
        </w:rPr>
      </w:pPr>
      <w:r>
        <w:rPr>
          <w:rFonts w:cs="David" w:ascii="David" w:hAnsi="David"/>
          <w:highlight w:val="yellow"/>
          <w:rtl w:val="true"/>
        </w:rPr>
      </w:r>
    </w:p>
    <w:p>
      <w:pPr>
        <w:pStyle w:val="Normal"/>
        <w:spacing w:lineRule="auto" w:line="360"/>
        <w:ind w:start="720" w:end="0"/>
        <w:jc w:val="both"/>
        <w:rPr>
          <w:rFonts w:ascii="David" w:hAnsi="David" w:cs="David"/>
        </w:rPr>
      </w:pPr>
      <w:r>
        <w:rPr>
          <w:rFonts w:ascii="David" w:hAnsi="David"/>
          <w:rtl w:val="true"/>
        </w:rPr>
        <w:t>בנוגע לתנאי הראשון של שיקום הנאשם</w:t>
      </w:r>
      <w:r>
        <w:rPr>
          <w:rFonts w:cs="David" w:ascii="David" w:hAnsi="David"/>
          <w:rtl w:val="true"/>
        </w:rPr>
        <w:t xml:space="preserve">, </w:t>
      </w:r>
      <w:r>
        <w:rPr>
          <w:rFonts w:ascii="David" w:hAnsi="David"/>
          <w:rtl w:val="true"/>
        </w:rPr>
        <w:t>שוכנע בית משפט קמא</w:t>
      </w:r>
      <w:r>
        <w:rPr>
          <w:rFonts w:cs="David" w:ascii="David" w:hAnsi="David"/>
          <w:rtl w:val="true"/>
        </w:rPr>
        <w:t xml:space="preserve">, </w:t>
      </w:r>
      <w:r>
        <w:rPr>
          <w:rFonts w:ascii="David" w:hAnsi="David"/>
          <w:rtl w:val="true"/>
        </w:rPr>
        <w:t>כי המשיב עבר כברת דרך מאז מעצרו בגין התיק מושא הערעור ועד מועד מתן פסק הדין תוך שילובו בתכנית שיקומית מטעם שירות המבחן</w:t>
      </w:r>
      <w:r>
        <w:rPr>
          <w:rFonts w:cs="David" w:ascii="David" w:hAnsi="David"/>
          <w:rtl w:val="true"/>
        </w:rPr>
        <w:t xml:space="preserve">. </w:t>
      </w:r>
      <w:r>
        <w:rPr>
          <w:rFonts w:ascii="David" w:hAnsi="David"/>
          <w:rtl w:val="true"/>
        </w:rPr>
        <w:t>כן שוכנע בית משפט קמא</w:t>
      </w:r>
      <w:r>
        <w:rPr>
          <w:rFonts w:cs="David" w:ascii="David" w:hAnsi="David"/>
          <w:rtl w:val="true"/>
        </w:rPr>
        <w:t xml:space="preserve">, </w:t>
      </w:r>
      <w:r>
        <w:rPr>
          <w:rFonts w:ascii="David" w:hAnsi="David"/>
          <w:rtl w:val="true"/>
        </w:rPr>
        <w:t>כי המשיב עבר תהליך שיקומי אמיתי וכי קיים סיכוי של ממש שהוא השתקם</w:t>
      </w:r>
      <w:r>
        <w:rPr>
          <w:rFonts w:cs="David" w:ascii="David" w:hAnsi="David"/>
          <w:rtl w:val="true"/>
        </w:rPr>
        <w:t xml:space="preserve">. </w:t>
      </w:r>
      <w:r>
        <w:rPr>
          <w:rFonts w:ascii="David" w:hAnsi="David"/>
          <w:rtl w:val="true"/>
        </w:rPr>
        <w:t>בנוגע לתנאי השני שנקבע בהלכת כתב שעניינו בכך שטיב העבירה מאפשר ויתור על ההרשעה</w:t>
      </w:r>
      <w:r>
        <w:rPr>
          <w:rFonts w:cs="David" w:ascii="David" w:hAnsi="David"/>
          <w:rtl w:val="true"/>
        </w:rPr>
        <w:t xml:space="preserve">, </w:t>
      </w:r>
      <w:r>
        <w:rPr>
          <w:rFonts w:ascii="David" w:hAnsi="David"/>
          <w:rtl w:val="true"/>
        </w:rPr>
        <w:t>ציין בית משפט קמא</w:t>
      </w:r>
      <w:r>
        <w:rPr>
          <w:rFonts w:cs="David" w:ascii="David" w:hAnsi="David"/>
          <w:rtl w:val="true"/>
        </w:rPr>
        <w:t xml:space="preserve">, </w:t>
      </w:r>
      <w:r>
        <w:rPr>
          <w:rFonts w:ascii="David" w:hAnsi="David"/>
          <w:rtl w:val="true"/>
        </w:rPr>
        <w:t>כי לאור כל הנתונים שצוינו שוכנע באופן חריג ועל אף העבירה בה הורשע המשיב והפסיקה הענפה של בתי המשפט בעניין זה</w:t>
      </w:r>
      <w:r>
        <w:rPr>
          <w:rFonts w:cs="David" w:ascii="David" w:hAnsi="David"/>
          <w:rtl w:val="true"/>
        </w:rPr>
        <w:t xml:space="preserve">, </w:t>
      </w:r>
      <w:r>
        <w:rPr>
          <w:rFonts w:ascii="David" w:hAnsi="David"/>
          <w:rtl w:val="true"/>
        </w:rPr>
        <w:t>כי ניתן במקרה זה לוותר על ההרשעה</w:t>
      </w:r>
      <w:r>
        <w:rPr>
          <w:rFonts w:cs="David" w:ascii="David" w:hAnsi="David"/>
          <w:rtl w:val="true"/>
        </w:rPr>
        <w:t>.</w:t>
      </w:r>
    </w:p>
    <w:p>
      <w:pPr>
        <w:pStyle w:val="Normal"/>
        <w:spacing w:lineRule="auto" w:line="360"/>
        <w:ind w:hanging="720" w:start="720" w:end="0"/>
        <w:jc w:val="both"/>
        <w:rPr>
          <w:rFonts w:ascii="David" w:hAnsi="David" w:cs="David"/>
        </w:rPr>
      </w:pPr>
      <w:r>
        <w:rPr>
          <w:rFonts w:cs="David" w:ascii="David" w:hAnsi="David"/>
          <w:rtl w:val="true"/>
        </w:rPr>
      </w:r>
    </w:p>
    <w:p>
      <w:pPr>
        <w:pStyle w:val="Normal"/>
        <w:spacing w:lineRule="auto" w:line="360"/>
        <w:ind w:hanging="720" w:start="720" w:end="0"/>
        <w:jc w:val="both"/>
        <w:rPr>
          <w:rFonts w:ascii="David" w:hAnsi="David" w:cs="David"/>
        </w:rPr>
      </w:pPr>
      <w:r>
        <w:rPr>
          <w:rFonts w:cs="David" w:ascii="David" w:hAnsi="David"/>
          <w:rtl w:val="true"/>
        </w:rPr>
        <w:tab/>
      </w:r>
      <w:r>
        <w:rPr>
          <w:rFonts w:ascii="David" w:hAnsi="David"/>
          <w:rtl w:val="true"/>
        </w:rPr>
        <w:t>בקביעת עונשו של המשיב הביא בית משפט קמא בחשבון את הפגיעה של העונש במשיב ובתעסוקתו</w:t>
      </w:r>
      <w:r>
        <w:rPr>
          <w:rFonts w:cs="David" w:ascii="David" w:hAnsi="David"/>
          <w:rtl w:val="true"/>
        </w:rPr>
        <w:t xml:space="preserve">. </w:t>
      </w:r>
      <w:r>
        <w:rPr>
          <w:rFonts w:ascii="David" w:hAnsi="David"/>
          <w:rtl w:val="true"/>
        </w:rPr>
        <w:t>בהקשר זה הפנה בית משפט קמא לדבריו של מר תורג</w:t>
      </w:r>
      <w:r>
        <w:rPr>
          <w:rFonts w:cs="David" w:ascii="David" w:hAnsi="David"/>
          <w:rtl w:val="true"/>
        </w:rPr>
        <w:t>'</w:t>
      </w:r>
      <w:r>
        <w:rPr>
          <w:rFonts w:ascii="David" w:hAnsi="David"/>
          <w:rtl w:val="true"/>
        </w:rPr>
        <w:t xml:space="preserve">מן </w:t>
      </w:r>
      <w:r>
        <w:rPr>
          <w:rFonts w:cs="David" w:ascii="David" w:hAnsi="David"/>
          <w:rtl w:val="true"/>
        </w:rPr>
        <w:t xml:space="preserve">- </w:t>
      </w:r>
      <w:r>
        <w:rPr>
          <w:rFonts w:ascii="David" w:hAnsi="David"/>
          <w:rtl w:val="true"/>
        </w:rPr>
        <w:t>יו</w:t>
      </w:r>
      <w:r>
        <w:rPr>
          <w:rFonts w:cs="David" w:ascii="David" w:hAnsi="David"/>
          <w:rtl w:val="true"/>
        </w:rPr>
        <w:t>"</w:t>
      </w:r>
      <w:r>
        <w:rPr>
          <w:rFonts w:ascii="David" w:hAnsi="David"/>
          <w:rtl w:val="true"/>
        </w:rPr>
        <w:t>ר ועד העובדים בנמל חיפה אשר ציין</w:t>
      </w:r>
      <w:r>
        <w:rPr>
          <w:rFonts w:cs="David" w:ascii="David" w:hAnsi="David"/>
          <w:rtl w:val="true"/>
        </w:rPr>
        <w:t xml:space="preserve">, </w:t>
      </w:r>
      <w:r>
        <w:rPr>
          <w:rFonts w:ascii="David" w:hAnsi="David"/>
          <w:rtl w:val="true"/>
        </w:rPr>
        <w:t>כי הרשעת המשיב תוביל בוודאות לפיטוריו מעבודתו ואולם אי הרשעתו אינה אמורה להוביל בוודאות להחזרתו לעבודה</w:t>
      </w:r>
      <w:r>
        <w:rPr>
          <w:rFonts w:cs="David" w:ascii="David" w:hAnsi="David"/>
          <w:rtl w:val="true"/>
        </w:rPr>
        <w:t xml:space="preserve">, </w:t>
      </w:r>
      <w:r>
        <w:rPr>
          <w:rFonts w:ascii="David" w:hAnsi="David"/>
          <w:rtl w:val="true"/>
        </w:rPr>
        <w:t>אך יש בה כדי לאפשר לו ולוועד העובדים לנהל מו</w:t>
      </w:r>
      <w:r>
        <w:rPr>
          <w:rFonts w:cs="David" w:ascii="David" w:hAnsi="David"/>
          <w:rtl w:val="true"/>
        </w:rPr>
        <w:t>"</w:t>
      </w:r>
      <w:r>
        <w:rPr>
          <w:rFonts w:ascii="David" w:hAnsi="David"/>
          <w:rtl w:val="true"/>
        </w:rPr>
        <w:t>מ אל מול ההנהלה בכדי להשאיר את המשיב בעבודתו</w:t>
      </w:r>
      <w:r>
        <w:rPr>
          <w:rFonts w:cs="David" w:ascii="David" w:hAnsi="David"/>
          <w:rtl w:val="true"/>
        </w:rPr>
        <w:t xml:space="preserve">. </w:t>
      </w:r>
      <w:r>
        <w:rPr>
          <w:rFonts w:ascii="David" w:hAnsi="David"/>
          <w:rtl w:val="true"/>
        </w:rPr>
        <w:t>לאור דבריו של מר תורג</w:t>
      </w:r>
      <w:r>
        <w:rPr>
          <w:rFonts w:cs="David" w:ascii="David" w:hAnsi="David"/>
          <w:rtl w:val="true"/>
        </w:rPr>
        <w:t>'</w:t>
      </w:r>
      <w:r>
        <w:rPr>
          <w:rFonts w:ascii="David" w:hAnsi="David"/>
          <w:rtl w:val="true"/>
        </w:rPr>
        <w:t>מן שוכנע בית משפט קמא שאין המדובר בסיכוי תיאורטי שהמשיב ישוב לעבודה</w:t>
      </w:r>
      <w:r>
        <w:rPr>
          <w:rFonts w:cs="David" w:ascii="David" w:hAnsi="David"/>
          <w:rtl w:val="true"/>
        </w:rPr>
        <w:t xml:space="preserve">, </w:t>
      </w:r>
      <w:r>
        <w:rPr>
          <w:rFonts w:ascii="David" w:hAnsi="David"/>
          <w:rtl w:val="true"/>
        </w:rPr>
        <w:t>אלא בסיכוי ממשי</w:t>
      </w:r>
      <w:r>
        <w:rPr>
          <w:rFonts w:cs="David" w:ascii="David" w:hAnsi="David"/>
          <w:rtl w:val="true"/>
        </w:rPr>
        <w:t xml:space="preserve">. </w:t>
      </w:r>
      <w:r>
        <w:rPr>
          <w:rFonts w:ascii="David" w:hAnsi="David"/>
          <w:rtl w:val="true"/>
        </w:rPr>
        <w:t>לצד זאת</w:t>
      </w:r>
      <w:r>
        <w:rPr>
          <w:rFonts w:cs="David" w:ascii="David" w:hAnsi="David"/>
          <w:rtl w:val="true"/>
        </w:rPr>
        <w:t xml:space="preserve">, </w:t>
      </w:r>
      <w:r>
        <w:rPr>
          <w:rFonts w:ascii="David" w:hAnsi="David"/>
          <w:rtl w:val="true"/>
        </w:rPr>
        <w:t>ציין בית משפט קמא</w:t>
      </w:r>
      <w:r>
        <w:rPr>
          <w:rFonts w:cs="David" w:ascii="David" w:hAnsi="David"/>
          <w:rtl w:val="true"/>
        </w:rPr>
        <w:t xml:space="preserve">, </w:t>
      </w:r>
      <w:r>
        <w:rPr>
          <w:rFonts w:ascii="David" w:hAnsi="David"/>
          <w:rtl w:val="true"/>
        </w:rPr>
        <w:t>כי המשיב נטל אחריות מלאה על מעשיו ועולה כי הוא עשה מאמצים כבירים מאז שחרורו בתיק זה להיגמל מסמים</w:t>
      </w:r>
      <w:r>
        <w:rPr>
          <w:rFonts w:cs="David" w:ascii="David" w:hAnsi="David"/>
          <w:rtl w:val="true"/>
        </w:rPr>
        <w:t xml:space="preserve">. </w:t>
      </w:r>
      <w:r>
        <w:rPr>
          <w:rFonts w:ascii="David" w:hAnsi="David"/>
          <w:rtl w:val="true"/>
        </w:rPr>
        <w:t>עוד צוין</w:t>
      </w:r>
      <w:r>
        <w:rPr>
          <w:rFonts w:cs="David" w:ascii="David" w:hAnsi="David"/>
          <w:rtl w:val="true"/>
        </w:rPr>
        <w:t xml:space="preserve">, </w:t>
      </w:r>
      <w:r>
        <w:rPr>
          <w:rFonts w:ascii="David" w:hAnsi="David"/>
          <w:rtl w:val="true"/>
        </w:rPr>
        <w:t>כי המשיב הודה מיד בעבירה המיוחסת לו ועולה כי התנהגותו החיובית שהייתה לפני הסתבכותו בתיק</w:t>
      </w:r>
      <w:r>
        <w:rPr>
          <w:rFonts w:cs="David" w:ascii="David" w:hAnsi="David"/>
          <w:rtl w:val="true"/>
        </w:rPr>
        <w:t xml:space="preserve">, </w:t>
      </w:r>
      <w:r>
        <w:rPr>
          <w:rFonts w:ascii="David" w:hAnsi="David"/>
          <w:rtl w:val="true"/>
        </w:rPr>
        <w:t>למעט שימושו בסמים</w:t>
      </w:r>
      <w:r>
        <w:rPr>
          <w:rFonts w:cs="David" w:ascii="David" w:hAnsi="David"/>
          <w:rtl w:val="true"/>
        </w:rPr>
        <w:t xml:space="preserve">, </w:t>
      </w:r>
      <w:r>
        <w:rPr>
          <w:rFonts w:ascii="David" w:hAnsi="David"/>
          <w:rtl w:val="true"/>
        </w:rPr>
        <w:t>נמשכה גם לאחר הסתבכותו בתיק</w:t>
      </w:r>
      <w:r>
        <w:rPr>
          <w:rFonts w:cs="David" w:ascii="David" w:hAnsi="David"/>
          <w:rtl w:val="true"/>
        </w:rPr>
        <w:t xml:space="preserve">. </w:t>
      </w:r>
      <w:r>
        <w:rPr>
          <w:rFonts w:ascii="David" w:hAnsi="David"/>
          <w:rtl w:val="true"/>
        </w:rPr>
        <w:t>עוד לקח בית משפט קמא בחשבון את נסיבות חייו האישיות של המשיב</w:t>
      </w:r>
      <w:r>
        <w:rPr>
          <w:rFonts w:cs="David" w:ascii="David" w:hAnsi="David"/>
          <w:rtl w:val="true"/>
        </w:rPr>
        <w:t xml:space="preserve">, </w:t>
      </w:r>
      <w:r>
        <w:rPr>
          <w:rFonts w:ascii="David" w:hAnsi="David"/>
          <w:rtl w:val="true"/>
        </w:rPr>
        <w:t>מצבו הכלכלי הקשה</w:t>
      </w:r>
      <w:r>
        <w:rPr>
          <w:rFonts w:cs="David" w:ascii="David" w:hAnsi="David"/>
          <w:rtl w:val="true"/>
        </w:rPr>
        <w:t xml:space="preserve">, </w:t>
      </w:r>
      <w:r>
        <w:rPr>
          <w:rFonts w:ascii="David" w:hAnsi="David"/>
          <w:rtl w:val="true"/>
        </w:rPr>
        <w:t>עברו הנקי לחלוטין וכן את הזמן הרב שעבר מאז הסתבכותו בתיק זה ועד היום</w:t>
      </w:r>
      <w:r>
        <w:rPr>
          <w:rFonts w:cs="David" w:ascii="David" w:hAnsi="David"/>
          <w:rtl w:val="true"/>
        </w:rPr>
        <w:t xml:space="preserve">. </w:t>
      </w:r>
      <w:r>
        <w:rPr>
          <w:rFonts w:ascii="David" w:hAnsi="David"/>
          <w:rtl w:val="true"/>
        </w:rPr>
        <w:t>צוין</w:t>
      </w:r>
      <w:r>
        <w:rPr>
          <w:rFonts w:cs="David" w:ascii="David" w:hAnsi="David"/>
          <w:rtl w:val="true"/>
        </w:rPr>
        <w:t xml:space="preserve">, </w:t>
      </w:r>
      <w:r>
        <w:rPr>
          <w:rFonts w:ascii="David" w:hAnsi="David"/>
          <w:rtl w:val="true"/>
        </w:rPr>
        <w:t xml:space="preserve">כי העבירה בוצעה בחודש אוקטובר </w:t>
      </w:r>
      <w:r>
        <w:rPr>
          <w:rFonts w:cs="David" w:ascii="David" w:hAnsi="David"/>
        </w:rPr>
        <w:t>2013</w:t>
      </w:r>
      <w:r>
        <w:rPr>
          <w:rFonts w:cs="David" w:ascii="David" w:hAnsi="David"/>
          <w:rtl w:val="true"/>
        </w:rPr>
        <w:t xml:space="preserve">, </w:t>
      </w:r>
      <w:r>
        <w:rPr>
          <w:rFonts w:ascii="David" w:hAnsi="David"/>
          <w:rtl w:val="true"/>
        </w:rPr>
        <w:t>דהיינו לפני כשנתיים</w:t>
      </w:r>
      <w:r>
        <w:rPr>
          <w:rFonts w:cs="David" w:ascii="David" w:hAnsi="David"/>
          <w:rtl w:val="true"/>
        </w:rPr>
        <w:t xml:space="preserve">, </w:t>
      </w:r>
      <w:r>
        <w:rPr>
          <w:rFonts w:ascii="David" w:hAnsi="David"/>
          <w:rtl w:val="true"/>
        </w:rPr>
        <w:t xml:space="preserve">והמשיב היה עצור בגין תיק זה מיום </w:t>
      </w:r>
      <w:r>
        <w:rPr>
          <w:rFonts w:cs="David" w:ascii="David" w:hAnsi="David"/>
        </w:rPr>
        <w:t>30/10/13</w:t>
      </w:r>
      <w:r>
        <w:rPr>
          <w:rFonts w:cs="David" w:ascii="David" w:hAnsi="David"/>
          <w:rtl w:val="true"/>
        </w:rPr>
        <w:t xml:space="preserve"> </w:t>
      </w:r>
      <w:r>
        <w:rPr>
          <w:rFonts w:ascii="David" w:hAnsi="David"/>
          <w:rtl w:val="true"/>
        </w:rPr>
        <w:t xml:space="preserve">ועד ליום </w:t>
      </w:r>
      <w:r>
        <w:rPr>
          <w:rFonts w:cs="David" w:ascii="David" w:hAnsi="David"/>
        </w:rPr>
        <w:t>03/11/13</w:t>
      </w:r>
      <w:r>
        <w:rPr>
          <w:rFonts w:cs="David" w:ascii="David" w:hAnsi="David"/>
          <w:rtl w:val="true"/>
        </w:rPr>
        <w:t xml:space="preserve">. </w:t>
      </w:r>
      <w:r>
        <w:rPr>
          <w:rFonts w:ascii="David" w:hAnsi="David"/>
          <w:rtl w:val="true"/>
        </w:rPr>
        <w:t>לאחר שחרורו שהה המשיב משך חודשים רבים בתנאי מעצר בית מלאים תוך הגבלת חירותו ותנועותיו ולאחר מכן שהה בתנאי מעצר בית חלקיים</w:t>
      </w:r>
      <w:r>
        <w:rPr>
          <w:rFonts w:cs="David" w:ascii="David" w:hAnsi="David"/>
          <w:rtl w:val="true"/>
        </w:rPr>
        <w:t xml:space="preserve">. </w:t>
      </w:r>
      <w:r>
        <w:rPr>
          <w:rFonts w:ascii="David" w:hAnsi="David"/>
          <w:rtl w:val="true"/>
        </w:rPr>
        <w:t>נסיבות אלה</w:t>
      </w:r>
      <w:r>
        <w:rPr>
          <w:rFonts w:cs="David" w:ascii="David" w:hAnsi="David"/>
          <w:rtl w:val="true"/>
        </w:rPr>
        <w:t xml:space="preserve">, </w:t>
      </w:r>
      <w:r>
        <w:rPr>
          <w:rFonts w:ascii="David" w:hAnsi="David"/>
          <w:rtl w:val="true"/>
        </w:rPr>
        <w:t>לעמדת בית משפט קמא לצד שיקומו של המשיב מהוות שיקול לסטייה מהרף התחתון של מתחם הענישה ההולם</w:t>
      </w:r>
      <w:r>
        <w:rPr>
          <w:rFonts w:cs="David" w:ascii="David" w:hAnsi="David"/>
          <w:rtl w:val="true"/>
        </w:rPr>
        <w:t>.</w:t>
      </w:r>
    </w:p>
    <w:p>
      <w:pPr>
        <w:pStyle w:val="Normal"/>
        <w:spacing w:lineRule="auto" w:line="360"/>
        <w:ind w:hanging="720" w:start="720" w:end="0"/>
        <w:jc w:val="both"/>
        <w:rPr>
          <w:rFonts w:ascii="David" w:hAnsi="David" w:cs="David"/>
          <w:highlight w:val="yellow"/>
        </w:rPr>
      </w:pPr>
      <w:r>
        <w:rPr>
          <w:rFonts w:cs="David" w:ascii="David" w:hAnsi="David"/>
          <w:highlight w:val="yellow"/>
          <w:rtl w:val="true"/>
        </w:rPr>
      </w:r>
    </w:p>
    <w:p>
      <w:pPr>
        <w:pStyle w:val="Normal"/>
        <w:spacing w:lineRule="auto" w:line="360"/>
        <w:ind w:hanging="720" w:start="720" w:end="0"/>
        <w:jc w:val="both"/>
        <w:rPr>
          <w:rFonts w:ascii="David" w:hAnsi="David" w:cs="David"/>
        </w:rPr>
      </w:pPr>
      <w:r>
        <w:rPr>
          <w:rFonts w:cs="David" w:ascii="David" w:hAnsi="David"/>
          <w:rtl w:val="true"/>
        </w:rPr>
        <w:tab/>
      </w:r>
      <w:r>
        <w:rPr>
          <w:rFonts w:ascii="David" w:hAnsi="David"/>
          <w:rtl w:val="true"/>
        </w:rPr>
        <w:t xml:space="preserve">נוכח כל האמור ובשים לב לעונש שהוטל על הנאשם הנוסף </w:t>
      </w:r>
      <w:r>
        <w:rPr>
          <w:rFonts w:cs="David" w:ascii="David" w:hAnsi="David"/>
          <w:rtl w:val="true"/>
        </w:rPr>
        <w:t>(</w:t>
      </w:r>
      <w:r>
        <w:rPr>
          <w:rFonts w:ascii="David" w:hAnsi="David"/>
          <w:rtl w:val="true"/>
        </w:rPr>
        <w:t>עבודות של</w:t>
      </w:r>
      <w:r>
        <w:rPr>
          <w:rFonts w:cs="David" w:ascii="David" w:hAnsi="David"/>
          <w:rtl w:val="true"/>
        </w:rPr>
        <w:t>"</w:t>
      </w:r>
      <w:r>
        <w:rPr>
          <w:rFonts w:ascii="David" w:hAnsi="David"/>
          <w:rtl w:val="true"/>
        </w:rPr>
        <w:t>צ</w:t>
      </w:r>
      <w:r>
        <w:rPr>
          <w:rFonts w:cs="David" w:ascii="David" w:hAnsi="David"/>
          <w:rtl w:val="true"/>
        </w:rPr>
        <w:t xml:space="preserve">, </w:t>
      </w:r>
      <w:r>
        <w:rPr>
          <w:rFonts w:ascii="David" w:hAnsi="David"/>
          <w:rtl w:val="true"/>
        </w:rPr>
        <w:t>מאסר על תנאי וקנס</w:t>
      </w:r>
      <w:r>
        <w:rPr>
          <w:rFonts w:cs="David" w:ascii="David" w:hAnsi="David"/>
          <w:rtl w:val="true"/>
        </w:rPr>
        <w:t xml:space="preserve">), </w:t>
      </w:r>
      <w:r>
        <w:rPr>
          <w:rFonts w:ascii="David" w:hAnsi="David"/>
          <w:rtl w:val="true"/>
        </w:rPr>
        <w:t>החליט בית משפט קמא להימנע מהרשעת המשיב על מנת לתת לו סיכוי לשוב ולעבוד בנמל חיפה</w:t>
      </w:r>
      <w:r>
        <w:rPr>
          <w:rFonts w:cs="David" w:ascii="David" w:hAnsi="David"/>
          <w:rtl w:val="true"/>
        </w:rPr>
        <w:t xml:space="preserve">, </w:t>
      </w:r>
      <w:r>
        <w:rPr>
          <w:rFonts w:ascii="David" w:hAnsi="David"/>
          <w:rtl w:val="true"/>
        </w:rPr>
        <w:t>תוך שהמליץ לנמל חיפה להחזיר את המשיב לעבודתו שם</w:t>
      </w:r>
      <w:r>
        <w:rPr>
          <w:rFonts w:cs="David" w:ascii="David" w:hAnsi="David"/>
          <w:rtl w:val="true"/>
        </w:rPr>
        <w:t xml:space="preserve">, </w:t>
      </w:r>
      <w:r>
        <w:rPr>
          <w:rFonts w:ascii="David" w:hAnsi="David"/>
          <w:rtl w:val="true"/>
        </w:rPr>
        <w:t>וזאת</w:t>
      </w:r>
      <w:r>
        <w:rPr>
          <w:rFonts w:cs="David" w:ascii="David" w:hAnsi="David"/>
          <w:rtl w:val="true"/>
        </w:rPr>
        <w:t xml:space="preserve">, </w:t>
      </w:r>
      <w:r>
        <w:rPr>
          <w:rFonts w:ascii="David" w:hAnsi="David"/>
          <w:rtl w:val="true"/>
        </w:rPr>
        <w:t>בתנאי שהמשיב ימשיך ויעמוד בצו המבחן שיוטל עליו וימשיך וישתף פעולה עם שירות המבחן וישמור על מרחק משימוש בסמים</w:t>
      </w:r>
      <w:r>
        <w:rPr>
          <w:rFonts w:cs="David" w:ascii="David" w:hAnsi="David"/>
          <w:rtl w:val="true"/>
        </w:rPr>
        <w:t xml:space="preserve">. </w:t>
      </w:r>
      <w:r>
        <w:rPr>
          <w:rFonts w:ascii="David" w:hAnsi="David"/>
          <w:rtl w:val="true"/>
        </w:rPr>
        <w:t>על יסוד האמור</w:t>
      </w:r>
      <w:r>
        <w:rPr>
          <w:rFonts w:cs="David" w:ascii="David" w:hAnsi="David"/>
          <w:rtl w:val="true"/>
        </w:rPr>
        <w:t xml:space="preserve">, </w:t>
      </w:r>
      <w:r>
        <w:rPr>
          <w:rFonts w:ascii="David" w:hAnsi="David"/>
          <w:rtl w:val="true"/>
        </w:rPr>
        <w:t>נמנע בית משפט קמא מהרשעת המשיב ולבסוף דן את המשיב לעונשים שפורטו לעיל</w:t>
      </w:r>
      <w:r>
        <w:rPr>
          <w:rFonts w:cs="David" w:ascii="David" w:hAnsi="David"/>
          <w:rtl w:val="true"/>
        </w:rPr>
        <w:t xml:space="preserve">. </w:t>
      </w:r>
    </w:p>
    <w:p>
      <w:pPr>
        <w:pStyle w:val="Normal"/>
        <w:spacing w:lineRule="auto" w:line="360"/>
        <w:ind w:hanging="720" w:start="720" w:end="0"/>
        <w:jc w:val="both"/>
        <w:rPr>
          <w:rFonts w:ascii="David" w:hAnsi="David" w:cs="David"/>
        </w:rPr>
      </w:pPr>
      <w:r>
        <w:rPr>
          <w:rFonts w:cs="David" w:ascii="David" w:hAnsi="David"/>
          <w:rtl w:val="true"/>
        </w:rPr>
      </w:r>
    </w:p>
    <w:p>
      <w:pPr>
        <w:pStyle w:val="Normal"/>
        <w:spacing w:lineRule="auto" w:line="360"/>
        <w:ind w:firstLine="720" w:end="0"/>
        <w:jc w:val="both"/>
        <w:rPr>
          <w:rFonts w:ascii="David" w:hAnsi="David" w:cs="David"/>
          <w:b/>
          <w:bCs/>
          <w:u w:val="single"/>
        </w:rPr>
      </w:pPr>
      <w:r>
        <w:rPr>
          <w:rFonts w:ascii="David" w:hAnsi="David"/>
          <w:b/>
          <w:b/>
          <w:bCs/>
          <w:u w:val="single"/>
          <w:rtl w:val="true"/>
        </w:rPr>
        <w:t>תמצית טענות הצדדים</w:t>
      </w:r>
    </w:p>
    <w:p>
      <w:pPr>
        <w:pStyle w:val="Normal"/>
        <w:spacing w:lineRule="auto" w:line="360"/>
        <w:ind w:end="0"/>
        <w:jc w:val="both"/>
        <w:rPr>
          <w:rFonts w:ascii="David" w:hAnsi="David" w:cs="David"/>
          <w:b/>
          <w:bCs/>
          <w:u w:val="single"/>
        </w:rPr>
      </w:pPr>
      <w:r>
        <w:rPr>
          <w:rFonts w:cs="David" w:ascii="David" w:hAnsi="David"/>
          <w:b/>
          <w:bCs/>
          <w:u w:val="single"/>
          <w:rtl w:val="true"/>
        </w:rPr>
      </w:r>
    </w:p>
    <w:p>
      <w:pPr>
        <w:pStyle w:val="Normal"/>
        <w:spacing w:lineRule="auto" w:line="360"/>
        <w:ind w:hanging="720" w:start="720" w:end="0"/>
        <w:jc w:val="both"/>
        <w:rPr>
          <w:rFonts w:ascii="David" w:hAnsi="David" w:cs="David"/>
        </w:rPr>
      </w:pPr>
      <w:r>
        <w:rPr>
          <w:rFonts w:cs="David" w:ascii="David" w:hAnsi="David"/>
        </w:rPr>
        <w:t>8</w:t>
      </w:r>
      <w:r>
        <w:rPr>
          <w:rFonts w:cs="David" w:ascii="David" w:hAnsi="David"/>
          <w:rtl w:val="true"/>
        </w:rPr>
        <w:t>.</w:t>
        <w:tab/>
      </w:r>
      <w:r>
        <w:rPr>
          <w:rFonts w:ascii="David" w:hAnsi="David"/>
          <w:rtl w:val="true"/>
        </w:rPr>
        <w:t>המערערת מיאנה להשלים עם פסק דינו של בית משפט קמא והגישה את הערעור שבפנינו</w:t>
      </w:r>
      <w:r>
        <w:rPr>
          <w:rFonts w:cs="David" w:ascii="David" w:hAnsi="David"/>
          <w:rtl w:val="true"/>
        </w:rPr>
        <w:t xml:space="preserve">. </w:t>
      </w:r>
      <w:r>
        <w:rPr>
          <w:rFonts w:ascii="David" w:hAnsi="David"/>
          <w:rtl w:val="true"/>
        </w:rPr>
        <w:t>במסגרת הערעור טענה המערערת</w:t>
      </w:r>
      <w:r>
        <w:rPr>
          <w:rFonts w:cs="David" w:ascii="David" w:hAnsi="David"/>
          <w:rtl w:val="true"/>
        </w:rPr>
        <w:t xml:space="preserve">, </w:t>
      </w:r>
      <w:r>
        <w:rPr>
          <w:rFonts w:ascii="David" w:hAnsi="David"/>
          <w:rtl w:val="true"/>
        </w:rPr>
        <w:t>כי שגה בית משפט קמא עת נמנע מהרשעת המשיב בהתבססו על האמור בחוות דעתו של ד</w:t>
      </w:r>
      <w:r>
        <w:rPr>
          <w:rFonts w:cs="David" w:ascii="David" w:hAnsi="David"/>
          <w:rtl w:val="true"/>
        </w:rPr>
        <w:t>"</w:t>
      </w:r>
      <w:r>
        <w:rPr>
          <w:rFonts w:ascii="David" w:hAnsi="David"/>
          <w:rtl w:val="true"/>
        </w:rPr>
        <w:t xml:space="preserve">ר נועם צכנובסקי </w:t>
      </w:r>
      <w:r>
        <w:rPr>
          <w:rFonts w:cs="David" w:ascii="David" w:hAnsi="David"/>
          <w:rtl w:val="true"/>
        </w:rPr>
        <w:t xml:space="preserve">- </w:t>
      </w:r>
      <w:r>
        <w:rPr>
          <w:rFonts w:ascii="David" w:hAnsi="David"/>
          <w:rtl w:val="true"/>
        </w:rPr>
        <w:t>המומחה למדעי הצמח</w:t>
      </w:r>
      <w:r>
        <w:rPr>
          <w:rFonts w:cs="David" w:ascii="David" w:hAnsi="David"/>
          <w:rtl w:val="true"/>
        </w:rPr>
        <w:t xml:space="preserve">, </w:t>
      </w:r>
      <w:r>
        <w:rPr>
          <w:rFonts w:ascii="David" w:hAnsi="David"/>
          <w:rtl w:val="true"/>
        </w:rPr>
        <w:t>שהוגשה מטעם ההגנה</w:t>
      </w:r>
      <w:r>
        <w:rPr>
          <w:rFonts w:cs="David" w:ascii="David" w:hAnsi="David"/>
          <w:rtl w:val="true"/>
        </w:rPr>
        <w:t xml:space="preserve">, </w:t>
      </w:r>
      <w:r>
        <w:rPr>
          <w:rFonts w:ascii="David" w:hAnsi="David"/>
          <w:rtl w:val="true"/>
        </w:rPr>
        <w:t>בה קבע המומחה</w:t>
      </w:r>
      <w:r>
        <w:rPr>
          <w:rFonts w:cs="David" w:ascii="David" w:hAnsi="David"/>
          <w:rtl w:val="true"/>
        </w:rPr>
        <w:t xml:space="preserve">, </w:t>
      </w:r>
      <w:r>
        <w:rPr>
          <w:rFonts w:ascii="David" w:hAnsi="David"/>
          <w:rtl w:val="true"/>
        </w:rPr>
        <w:t>כי כמות הסם הפעיל בסם שנתפס נמוכה מהנקוב בכתב האישום המתוקן</w:t>
      </w:r>
      <w:r>
        <w:rPr>
          <w:rFonts w:cs="David" w:ascii="David" w:hAnsi="David"/>
          <w:rtl w:val="true"/>
        </w:rPr>
        <w:t xml:space="preserve">. </w:t>
      </w:r>
      <w:r>
        <w:rPr>
          <w:rFonts w:ascii="David" w:hAnsi="David"/>
          <w:rtl w:val="true"/>
        </w:rPr>
        <w:t>נטען</w:t>
      </w:r>
      <w:r>
        <w:rPr>
          <w:rFonts w:cs="David" w:ascii="David" w:hAnsi="David"/>
          <w:rtl w:val="true"/>
        </w:rPr>
        <w:t xml:space="preserve">, </w:t>
      </w:r>
      <w:r>
        <w:rPr>
          <w:rFonts w:ascii="David" w:hAnsi="David"/>
          <w:rtl w:val="true"/>
        </w:rPr>
        <w:t>כי האמור בחוות דעת המומחה מטעם ההגנה עומד בסתירה להודאתו של המשיב בעובדות כתב האישום המתוקן לרבות לעניין כמות הסם שנתפסה</w:t>
      </w:r>
      <w:r>
        <w:rPr>
          <w:rFonts w:cs="David" w:ascii="David" w:hAnsi="David"/>
          <w:rtl w:val="true"/>
        </w:rPr>
        <w:t xml:space="preserve">. </w:t>
      </w:r>
      <w:r>
        <w:rPr>
          <w:rFonts w:ascii="David" w:hAnsi="David"/>
          <w:rtl w:val="true"/>
        </w:rPr>
        <w:t>עוד נטען</w:t>
      </w:r>
      <w:r>
        <w:rPr>
          <w:rFonts w:cs="David" w:ascii="David" w:hAnsi="David"/>
          <w:rtl w:val="true"/>
        </w:rPr>
        <w:t xml:space="preserve">, </w:t>
      </w:r>
      <w:r>
        <w:rPr>
          <w:rFonts w:ascii="David" w:hAnsi="David"/>
          <w:rtl w:val="true"/>
        </w:rPr>
        <w:t>כי שגה בית משפט קמא עת התיר הגשת חוות דעת מומחה מטעם ההגנה בשאלת כמות הסם ואת חקירתו של המומחה בשלב הטיעון לעונש אשר נועד להבאת עדי אופי אודות אופיו הטוב של המשיב ולא נועד להבאת עדים שמכרסמים בעצם האשמה</w:t>
      </w:r>
      <w:r>
        <w:rPr>
          <w:rFonts w:cs="David" w:ascii="David" w:hAnsi="David"/>
          <w:rtl w:val="true"/>
        </w:rPr>
        <w:t xml:space="preserve">. </w:t>
      </w:r>
    </w:p>
    <w:p>
      <w:pPr>
        <w:pStyle w:val="Normal"/>
        <w:spacing w:lineRule="auto" w:line="360"/>
        <w:ind w:start="720" w:end="0"/>
        <w:jc w:val="both"/>
        <w:rPr>
          <w:rFonts w:ascii="David" w:hAnsi="David" w:cs="David"/>
        </w:rPr>
      </w:pPr>
      <w:r>
        <w:rPr>
          <w:rFonts w:cs="David" w:ascii="David" w:hAnsi="David"/>
          <w:rtl w:val="true"/>
        </w:rPr>
      </w:r>
    </w:p>
    <w:p>
      <w:pPr>
        <w:pStyle w:val="Normal"/>
        <w:spacing w:lineRule="auto" w:line="360"/>
        <w:ind w:start="720" w:end="0"/>
        <w:jc w:val="both"/>
        <w:rPr>
          <w:rFonts w:ascii="David" w:hAnsi="David" w:cs="David"/>
        </w:rPr>
      </w:pPr>
      <w:r>
        <w:rPr>
          <w:rFonts w:ascii="David" w:hAnsi="David"/>
          <w:rtl w:val="true"/>
        </w:rPr>
        <w:t>לטענת המערערת</w:t>
      </w:r>
      <w:r>
        <w:rPr>
          <w:rFonts w:cs="David" w:ascii="David" w:hAnsi="David"/>
          <w:rtl w:val="true"/>
        </w:rPr>
        <w:t xml:space="preserve">, </w:t>
      </w:r>
      <w:r>
        <w:rPr>
          <w:rFonts w:ascii="David" w:hAnsi="David"/>
          <w:rtl w:val="true"/>
        </w:rPr>
        <w:t>טעה בית משפט קמא בקביעתו</w:t>
      </w:r>
      <w:r>
        <w:rPr>
          <w:rFonts w:cs="David" w:ascii="David" w:hAnsi="David"/>
          <w:rtl w:val="true"/>
        </w:rPr>
        <w:t xml:space="preserve">, </w:t>
      </w:r>
      <w:r>
        <w:rPr>
          <w:rFonts w:ascii="David" w:hAnsi="David"/>
          <w:rtl w:val="true"/>
        </w:rPr>
        <w:t>כי חלקו של המשיב בביצוע העבירה נמוך משל מעורבות הנאשם בביצוע העבירה</w:t>
      </w:r>
      <w:r>
        <w:rPr>
          <w:rFonts w:cs="David" w:ascii="David" w:hAnsi="David"/>
          <w:rtl w:val="true"/>
        </w:rPr>
        <w:t xml:space="preserve">, </w:t>
      </w:r>
      <w:r>
        <w:rPr>
          <w:rFonts w:ascii="David" w:hAnsi="David"/>
          <w:rtl w:val="true"/>
        </w:rPr>
        <w:t xml:space="preserve">בהסתמכו על הודעות המשיב והנאשם הנוסף במשטרה </w:t>
      </w:r>
      <w:r>
        <w:rPr>
          <w:rFonts w:cs="David" w:ascii="David" w:hAnsi="David"/>
          <w:rtl w:val="true"/>
        </w:rPr>
        <w:t>(</w:t>
      </w:r>
      <w:r>
        <w:rPr>
          <w:rFonts w:ascii="David" w:hAnsi="David"/>
          <w:rtl w:val="true"/>
        </w:rPr>
        <w:t>נ</w:t>
      </w:r>
      <w:r>
        <w:rPr>
          <w:rFonts w:cs="David" w:ascii="David" w:hAnsi="David"/>
          <w:rtl w:val="true"/>
        </w:rPr>
        <w:t>/</w:t>
      </w:r>
      <w:r>
        <w:rPr>
          <w:rFonts w:cs="David" w:ascii="David" w:hAnsi="David"/>
        </w:rPr>
        <w:t>1</w:t>
      </w:r>
      <w:r>
        <w:rPr>
          <w:rFonts w:cs="David" w:ascii="David" w:hAnsi="David"/>
          <w:rtl w:val="true"/>
        </w:rPr>
        <w:t xml:space="preserve">) </w:t>
      </w:r>
      <w:r>
        <w:rPr>
          <w:rFonts w:ascii="David" w:hAnsi="David"/>
          <w:rtl w:val="true"/>
        </w:rPr>
        <w:t>אשר הוגשו במסגרת הטיעונים לעונש</w:t>
      </w:r>
      <w:r>
        <w:rPr>
          <w:rFonts w:cs="David" w:ascii="David" w:hAnsi="David"/>
          <w:rtl w:val="true"/>
        </w:rPr>
        <w:t xml:space="preserve">. </w:t>
      </w:r>
      <w:r>
        <w:rPr>
          <w:rFonts w:ascii="David" w:hAnsi="David"/>
          <w:rtl w:val="true"/>
        </w:rPr>
        <w:t>נטען</w:t>
      </w:r>
      <w:r>
        <w:rPr>
          <w:rFonts w:cs="David" w:ascii="David" w:hAnsi="David"/>
          <w:rtl w:val="true"/>
        </w:rPr>
        <w:t xml:space="preserve">, </w:t>
      </w:r>
      <w:r>
        <w:rPr>
          <w:rFonts w:ascii="David" w:hAnsi="David"/>
          <w:rtl w:val="true"/>
        </w:rPr>
        <w:t>כי שוב נפל בית משפט קמא לידי טעות כאשר קבע ממצאים עובדתיים על סמך ראיות שהוגשו במהלך הטיעונים לעונש שהן מנוגדות למה שנרשם בכתב האישום המתוקן</w:t>
      </w:r>
      <w:r>
        <w:rPr>
          <w:rFonts w:cs="David" w:ascii="David" w:hAnsi="David"/>
          <w:rtl w:val="true"/>
        </w:rPr>
        <w:t xml:space="preserve">. </w:t>
      </w:r>
    </w:p>
    <w:p>
      <w:pPr>
        <w:pStyle w:val="Normal"/>
        <w:spacing w:lineRule="auto" w:line="360"/>
        <w:ind w:start="720" w:end="0"/>
        <w:jc w:val="both"/>
        <w:rPr>
          <w:rFonts w:ascii="David" w:hAnsi="David" w:cs="David"/>
        </w:rPr>
      </w:pPr>
      <w:r>
        <w:rPr>
          <w:rFonts w:cs="David" w:ascii="David" w:hAnsi="David"/>
          <w:rtl w:val="true"/>
        </w:rPr>
      </w:r>
    </w:p>
    <w:p>
      <w:pPr>
        <w:pStyle w:val="Normal"/>
        <w:spacing w:lineRule="auto" w:line="360"/>
        <w:ind w:start="720" w:end="0"/>
        <w:jc w:val="both"/>
        <w:rPr>
          <w:rFonts w:ascii="David" w:hAnsi="David" w:cs="David"/>
        </w:rPr>
      </w:pPr>
      <w:r>
        <w:rPr>
          <w:rFonts w:ascii="David" w:hAnsi="David"/>
          <w:rtl w:val="true"/>
        </w:rPr>
        <w:t>הוסיפה המערערת וטענה</w:t>
      </w:r>
      <w:r>
        <w:rPr>
          <w:rFonts w:cs="David" w:ascii="David" w:hAnsi="David"/>
          <w:rtl w:val="true"/>
        </w:rPr>
        <w:t xml:space="preserve">, </w:t>
      </w:r>
      <w:r>
        <w:rPr>
          <w:rFonts w:ascii="David" w:hAnsi="David"/>
          <w:rtl w:val="true"/>
        </w:rPr>
        <w:t>כי טעה בית משפט קמא בקבעו</w:t>
      </w:r>
      <w:r>
        <w:rPr>
          <w:rFonts w:cs="David" w:ascii="David" w:hAnsi="David"/>
          <w:rtl w:val="true"/>
        </w:rPr>
        <w:t xml:space="preserve">, </w:t>
      </w:r>
      <w:r>
        <w:rPr>
          <w:rFonts w:ascii="David" w:hAnsi="David"/>
          <w:rtl w:val="true"/>
        </w:rPr>
        <w:t>כי הרשעת המשיב עלולה לחבל בשובו של המשיב לעבודה בנמל חיפה ובתמיכתו קביעה זו בדבריו של יו</w:t>
      </w:r>
      <w:r>
        <w:rPr>
          <w:rFonts w:cs="David" w:ascii="David" w:hAnsi="David"/>
          <w:rtl w:val="true"/>
        </w:rPr>
        <w:t>"</w:t>
      </w:r>
      <w:r>
        <w:rPr>
          <w:rFonts w:ascii="David" w:hAnsi="David"/>
          <w:rtl w:val="true"/>
        </w:rPr>
        <w:t>ר ועד העובדים בנמל חיפה מר תורג</w:t>
      </w:r>
      <w:r>
        <w:rPr>
          <w:rFonts w:cs="David" w:ascii="David" w:hAnsi="David"/>
          <w:rtl w:val="true"/>
        </w:rPr>
        <w:t>'</w:t>
      </w:r>
      <w:r>
        <w:rPr>
          <w:rFonts w:ascii="David" w:hAnsi="David"/>
          <w:rtl w:val="true"/>
        </w:rPr>
        <w:t>מן</w:t>
      </w:r>
      <w:r>
        <w:rPr>
          <w:rFonts w:cs="David" w:ascii="David" w:hAnsi="David"/>
          <w:rtl w:val="true"/>
        </w:rPr>
        <w:t xml:space="preserve">. </w:t>
      </w:r>
      <w:r>
        <w:rPr>
          <w:rFonts w:ascii="David" w:hAnsi="David"/>
          <w:rtl w:val="true"/>
        </w:rPr>
        <w:t>נטען</w:t>
      </w:r>
      <w:r>
        <w:rPr>
          <w:rFonts w:cs="David" w:ascii="David" w:hAnsi="David"/>
          <w:rtl w:val="true"/>
        </w:rPr>
        <w:t xml:space="preserve">, </w:t>
      </w:r>
      <w:r>
        <w:rPr>
          <w:rFonts w:ascii="David" w:hAnsi="David"/>
          <w:rtl w:val="true"/>
        </w:rPr>
        <w:t>כי מתוקף תפקידו של מר תורג</w:t>
      </w:r>
      <w:r>
        <w:rPr>
          <w:rFonts w:cs="David" w:ascii="David" w:hAnsi="David"/>
          <w:rtl w:val="true"/>
        </w:rPr>
        <w:t>'</w:t>
      </w:r>
      <w:r>
        <w:rPr>
          <w:rFonts w:ascii="David" w:hAnsi="David"/>
          <w:rtl w:val="true"/>
        </w:rPr>
        <w:t>מן כיו</w:t>
      </w:r>
      <w:r>
        <w:rPr>
          <w:rFonts w:cs="David" w:ascii="David" w:hAnsi="David"/>
          <w:rtl w:val="true"/>
        </w:rPr>
        <w:t>"</w:t>
      </w:r>
      <w:r>
        <w:rPr>
          <w:rFonts w:ascii="David" w:hAnsi="David"/>
          <w:rtl w:val="true"/>
        </w:rPr>
        <w:t>ר ועד העובדים</w:t>
      </w:r>
      <w:r>
        <w:rPr>
          <w:rFonts w:cs="David" w:ascii="David" w:hAnsi="David"/>
          <w:rtl w:val="true"/>
        </w:rPr>
        <w:t xml:space="preserve">, </w:t>
      </w:r>
      <w:r>
        <w:rPr>
          <w:rFonts w:ascii="David" w:hAnsi="David"/>
          <w:rtl w:val="true"/>
        </w:rPr>
        <w:t>עומדת מול עיניו טובת העובדים ולא טובת הנמל או הציבור בכללותו</w:t>
      </w:r>
      <w:r>
        <w:rPr>
          <w:rFonts w:cs="David" w:ascii="David" w:hAnsi="David"/>
          <w:rtl w:val="true"/>
        </w:rPr>
        <w:t xml:space="preserve">, </w:t>
      </w:r>
      <w:r>
        <w:rPr>
          <w:rFonts w:ascii="David" w:hAnsi="David"/>
          <w:rtl w:val="true"/>
        </w:rPr>
        <w:t>לפיכך</w:t>
      </w:r>
      <w:r>
        <w:rPr>
          <w:rFonts w:cs="David" w:ascii="David" w:hAnsi="David"/>
          <w:rtl w:val="true"/>
        </w:rPr>
        <w:t xml:space="preserve">, </w:t>
      </w:r>
      <w:r>
        <w:rPr>
          <w:rFonts w:ascii="David" w:hAnsi="David"/>
          <w:rtl w:val="true"/>
        </w:rPr>
        <w:t>טעה בית משפט קמא אף עת קבע</w:t>
      </w:r>
      <w:r>
        <w:rPr>
          <w:rFonts w:cs="David" w:ascii="David" w:hAnsi="David"/>
          <w:rtl w:val="true"/>
        </w:rPr>
        <w:t xml:space="preserve">, </w:t>
      </w:r>
      <w:r>
        <w:rPr>
          <w:rFonts w:ascii="David" w:hAnsi="David"/>
          <w:rtl w:val="true"/>
        </w:rPr>
        <w:t>כי עדותו של מר תורג</w:t>
      </w:r>
      <w:r>
        <w:rPr>
          <w:rFonts w:cs="David" w:ascii="David" w:hAnsi="David"/>
          <w:rtl w:val="true"/>
        </w:rPr>
        <w:t>'</w:t>
      </w:r>
      <w:r>
        <w:rPr>
          <w:rFonts w:ascii="David" w:hAnsi="David"/>
          <w:rtl w:val="true"/>
        </w:rPr>
        <w:t>מן מהווה עדות רשמית שלאדם בכיר בנמל</w:t>
      </w:r>
      <w:r>
        <w:rPr>
          <w:rFonts w:cs="David" w:ascii="David" w:hAnsi="David"/>
          <w:rtl w:val="true"/>
        </w:rPr>
        <w:t xml:space="preserve">. </w:t>
      </w:r>
      <w:r>
        <w:rPr>
          <w:rFonts w:ascii="David" w:hAnsi="David"/>
          <w:rtl w:val="true"/>
        </w:rPr>
        <w:t>לעמדת המערערת ראוי היה שעמדת הנמל תישמע על ידי ההנהלה</w:t>
      </w:r>
      <w:r>
        <w:rPr>
          <w:rFonts w:cs="David" w:ascii="David" w:hAnsi="David"/>
          <w:rtl w:val="true"/>
        </w:rPr>
        <w:t xml:space="preserve">, </w:t>
      </w:r>
      <w:r>
        <w:rPr>
          <w:rFonts w:ascii="David" w:hAnsi="David"/>
          <w:rtl w:val="true"/>
        </w:rPr>
        <w:t>שהיא זו המוסמכת לקבוע אם המשיב יוחזר לעבודה ואיזה תפקידים יוכל לבצע שם</w:t>
      </w:r>
      <w:r>
        <w:rPr>
          <w:rFonts w:cs="David" w:ascii="David" w:hAnsi="David"/>
          <w:rtl w:val="true"/>
        </w:rPr>
        <w:t xml:space="preserve">. </w:t>
      </w:r>
      <w:r>
        <w:rPr>
          <w:rFonts w:ascii="David" w:hAnsi="David"/>
          <w:rtl w:val="true"/>
        </w:rPr>
        <w:t>עוד טענה המערערת</w:t>
      </w:r>
      <w:r>
        <w:rPr>
          <w:rFonts w:cs="David" w:ascii="David" w:hAnsi="David"/>
          <w:rtl w:val="true"/>
        </w:rPr>
        <w:t xml:space="preserve">, </w:t>
      </w:r>
      <w:r>
        <w:rPr>
          <w:rFonts w:ascii="David" w:hAnsi="David"/>
          <w:rtl w:val="true"/>
        </w:rPr>
        <w:t>כי גם אם ההרשעה תחסום את דרכו של המשיב חזרה לעבודה בנמל</w:t>
      </w:r>
      <w:r>
        <w:rPr>
          <w:rFonts w:cs="David" w:ascii="David" w:hAnsi="David"/>
          <w:rtl w:val="true"/>
        </w:rPr>
        <w:t xml:space="preserve">, </w:t>
      </w:r>
      <w:r>
        <w:rPr>
          <w:rFonts w:ascii="David" w:hAnsi="David"/>
          <w:rtl w:val="true"/>
        </w:rPr>
        <w:t>הרי שלנוכח חומרת עבירות הסמים והשפעתן על הציבור ובכלל זה נוכח המסוכנות העולה ממנה</w:t>
      </w:r>
      <w:r>
        <w:rPr>
          <w:rFonts w:cs="David" w:ascii="David" w:hAnsi="David"/>
          <w:rtl w:val="true"/>
        </w:rPr>
        <w:t xml:space="preserve">, </w:t>
      </w:r>
      <w:r>
        <w:rPr>
          <w:rFonts w:ascii="David" w:hAnsi="David"/>
          <w:rtl w:val="true"/>
        </w:rPr>
        <w:t>אין בכך פסול</w:t>
      </w:r>
      <w:r>
        <w:rPr>
          <w:rFonts w:cs="David" w:ascii="David" w:hAnsi="David"/>
          <w:rtl w:val="true"/>
        </w:rPr>
        <w:t xml:space="preserve">, </w:t>
      </w:r>
      <w:r>
        <w:rPr>
          <w:rFonts w:ascii="David" w:hAnsi="David"/>
          <w:rtl w:val="true"/>
        </w:rPr>
        <w:t>בפרט משאין בעצם ההרשעה כדי לפגוע בסיכויי המשיב לנצל את הכשרתו כמלגזן במקום עבודה חלופי</w:t>
      </w:r>
      <w:r>
        <w:rPr>
          <w:rFonts w:cs="David" w:ascii="David" w:hAnsi="David"/>
          <w:rtl w:val="true"/>
        </w:rPr>
        <w:t xml:space="preserve">. </w:t>
      </w:r>
    </w:p>
    <w:p>
      <w:pPr>
        <w:pStyle w:val="Normal"/>
        <w:spacing w:lineRule="auto" w:line="360"/>
        <w:ind w:start="720" w:end="0"/>
        <w:jc w:val="both"/>
        <w:rPr>
          <w:rFonts w:ascii="David" w:hAnsi="David" w:cs="David"/>
        </w:rPr>
      </w:pPr>
      <w:r>
        <w:rPr>
          <w:rFonts w:cs="David" w:ascii="David" w:hAnsi="David"/>
          <w:rtl w:val="true"/>
        </w:rPr>
      </w:r>
    </w:p>
    <w:p>
      <w:pPr>
        <w:pStyle w:val="Normal"/>
        <w:spacing w:lineRule="auto" w:line="360"/>
        <w:ind w:start="720" w:end="0"/>
        <w:jc w:val="both"/>
        <w:rPr>
          <w:rFonts w:ascii="David" w:hAnsi="David" w:cs="David"/>
        </w:rPr>
      </w:pPr>
      <w:r>
        <w:rPr>
          <w:rFonts w:ascii="David" w:hAnsi="David"/>
          <w:rtl w:val="true"/>
        </w:rPr>
        <w:t>עוד טענה המערערת</w:t>
      </w:r>
      <w:r>
        <w:rPr>
          <w:rFonts w:cs="David" w:ascii="David" w:hAnsi="David"/>
          <w:rtl w:val="true"/>
        </w:rPr>
        <w:t xml:space="preserve">, </w:t>
      </w:r>
      <w:r>
        <w:rPr>
          <w:rFonts w:ascii="David" w:hAnsi="David"/>
          <w:rtl w:val="true"/>
        </w:rPr>
        <w:t>כי טעה בית משפט קמא בכך שקבע</w:t>
      </w:r>
      <w:r>
        <w:rPr>
          <w:rFonts w:cs="David" w:ascii="David" w:hAnsi="David"/>
          <w:rtl w:val="true"/>
        </w:rPr>
        <w:t xml:space="preserve">, </w:t>
      </w:r>
      <w:r>
        <w:rPr>
          <w:rFonts w:ascii="David" w:hAnsi="David"/>
          <w:rtl w:val="true"/>
        </w:rPr>
        <w:t xml:space="preserve">כי הפיצוי בסך של </w:t>
      </w:r>
      <w:r>
        <w:rPr>
          <w:rFonts w:cs="David" w:ascii="David" w:hAnsi="David"/>
        </w:rPr>
        <w:t>5,000</w:t>
      </w:r>
      <w:r>
        <w:rPr>
          <w:rFonts w:cs="David" w:ascii="David" w:hAnsi="David"/>
          <w:rtl w:val="true"/>
        </w:rPr>
        <w:t xml:space="preserve"> ₪ </w:t>
      </w:r>
      <w:r>
        <w:rPr>
          <w:rFonts w:ascii="David" w:hAnsi="David"/>
          <w:rtl w:val="true"/>
        </w:rPr>
        <w:t>יועבר לשירות המבחן שיחליט לאן להעבירו שכן אין הסדר בחוק המסמיך את שירות המבחן לעשות כן</w:t>
      </w:r>
      <w:r>
        <w:rPr>
          <w:rFonts w:cs="David" w:ascii="David" w:hAnsi="David"/>
          <w:rtl w:val="true"/>
        </w:rPr>
        <w:t xml:space="preserve">. </w:t>
      </w:r>
      <w:r>
        <w:rPr>
          <w:rFonts w:ascii="David" w:hAnsi="David"/>
          <w:rtl w:val="true"/>
        </w:rPr>
        <w:t>לכן ביקשה המערערת</w:t>
      </w:r>
      <w:r>
        <w:rPr>
          <w:rFonts w:cs="David" w:ascii="David" w:hAnsi="David"/>
          <w:rtl w:val="true"/>
        </w:rPr>
        <w:t xml:space="preserve">, </w:t>
      </w:r>
      <w:r>
        <w:rPr>
          <w:rFonts w:ascii="David" w:hAnsi="David"/>
          <w:rtl w:val="true"/>
        </w:rPr>
        <w:t xml:space="preserve">כי הפיצוי שהוטל על המשיב יומר בקנס אשר יועבר לקרן החילוט שהוקמה לפי </w:t>
      </w:r>
      <w:hyperlink r:id="rId16">
        <w:r>
          <w:rPr>
            <w:rStyle w:val="Hyperlink"/>
            <w:rFonts w:ascii="David" w:hAnsi="David"/>
            <w:color w:val="0000FF"/>
            <w:u w:val="single"/>
            <w:rtl w:val="true"/>
          </w:rPr>
          <w:t xml:space="preserve">סעיף </w:t>
        </w:r>
        <w:r>
          <w:rPr>
            <w:rStyle w:val="Hyperlink"/>
            <w:rFonts w:cs="David" w:ascii="David" w:hAnsi="David"/>
            <w:color w:val="0000FF"/>
            <w:u w:val="single"/>
          </w:rPr>
          <w:t>36</w:t>
        </w:r>
        <w:r>
          <w:rPr>
            <w:rStyle w:val="Hyperlink"/>
            <w:rFonts w:ascii="David" w:hAnsi="David"/>
            <w:color w:val="0000FF"/>
            <w:u w:val="single"/>
            <w:rtl w:val="true"/>
          </w:rPr>
          <w:t>ח</w:t>
        </w:r>
      </w:hyperlink>
      <w:r>
        <w:rPr>
          <w:rFonts w:ascii="David" w:hAnsi="David"/>
          <w:rtl w:val="true"/>
        </w:rPr>
        <w:t xml:space="preserve"> לפקודת הסמים</w:t>
      </w:r>
      <w:r>
        <w:rPr>
          <w:rFonts w:cs="David" w:ascii="David" w:hAnsi="David"/>
          <w:rtl w:val="true"/>
        </w:rPr>
        <w:t>.</w:t>
      </w:r>
    </w:p>
    <w:p>
      <w:pPr>
        <w:pStyle w:val="Normal"/>
        <w:spacing w:lineRule="auto" w:line="360"/>
        <w:ind w:end="0"/>
        <w:jc w:val="both"/>
        <w:rPr>
          <w:rFonts w:ascii="David" w:hAnsi="David" w:cs="David"/>
          <w:b/>
          <w:bCs/>
          <w:u w:val="single"/>
        </w:rPr>
      </w:pPr>
      <w:r>
        <w:rPr>
          <w:rFonts w:cs="David" w:ascii="David" w:hAnsi="David"/>
          <w:b/>
          <w:bCs/>
          <w:u w:val="single"/>
          <w:rtl w:val="true"/>
        </w:rPr>
      </w:r>
    </w:p>
    <w:p>
      <w:pPr>
        <w:pStyle w:val="Normal"/>
        <w:spacing w:lineRule="auto" w:line="360"/>
        <w:ind w:hanging="720" w:start="720" w:end="0"/>
        <w:jc w:val="both"/>
        <w:rPr>
          <w:rFonts w:ascii="David" w:hAnsi="David" w:cs="David"/>
        </w:rPr>
      </w:pPr>
      <w:r>
        <w:rPr>
          <w:rFonts w:cs="David" w:ascii="David" w:hAnsi="David"/>
        </w:rPr>
        <w:t>9</w:t>
      </w:r>
      <w:r>
        <w:rPr>
          <w:rFonts w:cs="David" w:ascii="David" w:hAnsi="David"/>
          <w:rtl w:val="true"/>
        </w:rPr>
        <w:t>.</w:t>
        <w:tab/>
      </w:r>
      <w:r>
        <w:rPr>
          <w:rFonts w:ascii="David" w:hAnsi="David"/>
          <w:rtl w:val="true"/>
        </w:rPr>
        <w:t xml:space="preserve">בדיון שהתקיים בפנינו ביום </w:t>
      </w:r>
      <w:r>
        <w:rPr>
          <w:rFonts w:cs="David" w:ascii="David" w:hAnsi="David"/>
        </w:rPr>
        <w:t>26/11/15</w:t>
      </w:r>
      <w:r>
        <w:rPr>
          <w:rFonts w:cs="David" w:ascii="David" w:hAnsi="David"/>
          <w:rtl w:val="true"/>
        </w:rPr>
        <w:t xml:space="preserve"> </w:t>
      </w:r>
      <w:r>
        <w:rPr>
          <w:rFonts w:ascii="David" w:hAnsi="David"/>
          <w:rtl w:val="true"/>
        </w:rPr>
        <w:t>טען ב</w:t>
      </w:r>
      <w:r>
        <w:rPr>
          <w:rFonts w:cs="David" w:ascii="David" w:hAnsi="David"/>
          <w:rtl w:val="true"/>
        </w:rPr>
        <w:t>"</w:t>
      </w:r>
      <w:r>
        <w:rPr>
          <w:rFonts w:ascii="David" w:hAnsi="David"/>
          <w:rtl w:val="true"/>
        </w:rPr>
        <w:t>כ המשיב</w:t>
      </w:r>
      <w:r>
        <w:rPr>
          <w:rFonts w:cs="David" w:ascii="David" w:hAnsi="David"/>
          <w:rtl w:val="true"/>
        </w:rPr>
        <w:t xml:space="preserve">, </w:t>
      </w:r>
      <w:r>
        <w:rPr>
          <w:rFonts w:ascii="David" w:hAnsi="David"/>
          <w:rtl w:val="true"/>
        </w:rPr>
        <w:t>כי פסק דינו של בית משפט קמא לרבות לעניין ההחלטה להימנע מהרשעת המשיב בדין יסודו</w:t>
      </w:r>
      <w:r>
        <w:rPr>
          <w:rFonts w:cs="David" w:ascii="David" w:hAnsi="David"/>
          <w:rtl w:val="true"/>
        </w:rPr>
        <w:t xml:space="preserve">, </w:t>
      </w:r>
      <w:r>
        <w:rPr>
          <w:rFonts w:ascii="David" w:hAnsi="David"/>
          <w:rtl w:val="true"/>
        </w:rPr>
        <w:t>ודין הערעור להידחות</w:t>
      </w:r>
      <w:r>
        <w:rPr>
          <w:rFonts w:cs="David" w:ascii="David" w:hAnsi="David"/>
          <w:rtl w:val="true"/>
        </w:rPr>
        <w:t xml:space="preserve">. </w:t>
      </w:r>
    </w:p>
    <w:p>
      <w:pPr>
        <w:pStyle w:val="Normal"/>
        <w:spacing w:lineRule="auto" w:line="360"/>
        <w:ind w:hanging="720" w:start="720" w:end="0"/>
        <w:jc w:val="both"/>
        <w:rPr>
          <w:rFonts w:ascii="David" w:hAnsi="David" w:cs="David"/>
        </w:rPr>
      </w:pPr>
      <w:r>
        <w:rPr>
          <w:rFonts w:cs="David" w:ascii="David" w:hAnsi="David"/>
          <w:rtl w:val="true"/>
        </w:rPr>
      </w:r>
    </w:p>
    <w:p>
      <w:pPr>
        <w:pStyle w:val="Normal"/>
        <w:spacing w:lineRule="auto" w:line="360"/>
        <w:ind w:start="720" w:end="0"/>
        <w:jc w:val="both"/>
        <w:rPr>
          <w:rFonts w:ascii="David" w:hAnsi="David" w:cs="David"/>
        </w:rPr>
      </w:pPr>
      <w:r>
        <w:rPr>
          <w:rFonts w:ascii="David" w:hAnsi="David"/>
          <w:rtl w:val="true"/>
        </w:rPr>
        <w:t>אשר לטענות המערערת כנגד קביעות המומחה מטעם ההגנה ביחס לכמות הסם אותן אימץ בית משפט קמא</w:t>
      </w:r>
      <w:r>
        <w:rPr>
          <w:rFonts w:cs="David" w:ascii="David" w:hAnsi="David"/>
          <w:rtl w:val="true"/>
        </w:rPr>
        <w:t xml:space="preserve">, </w:t>
      </w:r>
      <w:r>
        <w:rPr>
          <w:rFonts w:ascii="David" w:hAnsi="David"/>
          <w:rtl w:val="true"/>
        </w:rPr>
        <w:t>טען ב</w:t>
      </w:r>
      <w:r>
        <w:rPr>
          <w:rFonts w:cs="David" w:ascii="David" w:hAnsi="David"/>
          <w:rtl w:val="true"/>
        </w:rPr>
        <w:t>"</w:t>
      </w:r>
      <w:r>
        <w:rPr>
          <w:rFonts w:ascii="David" w:hAnsi="David"/>
          <w:rtl w:val="true"/>
        </w:rPr>
        <w:t>כ המשיב</w:t>
      </w:r>
      <w:r>
        <w:rPr>
          <w:rFonts w:cs="David" w:ascii="David" w:hAnsi="David"/>
          <w:rtl w:val="true"/>
        </w:rPr>
        <w:t xml:space="preserve">, </w:t>
      </w:r>
      <w:r>
        <w:rPr>
          <w:rFonts w:ascii="David" w:hAnsi="David"/>
          <w:rtl w:val="true"/>
        </w:rPr>
        <w:t xml:space="preserve">כי </w:t>
      </w:r>
      <w:hyperlink r:id="rId17">
        <w:r>
          <w:rPr>
            <w:rStyle w:val="Hyperlink"/>
            <w:rFonts w:ascii="David" w:hAnsi="David"/>
            <w:color w:val="0000FF"/>
            <w:u w:val="single"/>
            <w:rtl w:val="true"/>
          </w:rPr>
          <w:t xml:space="preserve">סעיף </w:t>
        </w:r>
        <w:r>
          <w:rPr>
            <w:rStyle w:val="Hyperlink"/>
            <w:rFonts w:cs="David" w:ascii="David" w:hAnsi="David"/>
            <w:color w:val="0000FF"/>
            <w:u w:val="single"/>
          </w:rPr>
          <w:t>40</w:t>
        </w:r>
        <w:r>
          <w:rPr>
            <w:rStyle w:val="Hyperlink"/>
            <w:rFonts w:ascii="David" w:hAnsi="David"/>
            <w:color w:val="0000FF"/>
            <w:u w:val="single"/>
            <w:rtl w:val="true"/>
          </w:rPr>
          <w:t>י</w:t>
        </w:r>
        <w:r>
          <w:rPr>
            <w:rStyle w:val="Hyperlink"/>
            <w:rFonts w:cs="David" w:ascii="David" w:hAnsi="David"/>
            <w:color w:val="0000FF"/>
            <w:u w:val="single"/>
            <w:rtl w:val="true"/>
          </w:rPr>
          <w:t>'</w:t>
        </w:r>
      </w:hyperlink>
      <w:r>
        <w:rPr>
          <w:rFonts w:cs="David" w:ascii="David" w:hAnsi="David"/>
          <w:rtl w:val="true"/>
        </w:rPr>
        <w:t xml:space="preserve"> </w:t>
      </w:r>
      <w:r>
        <w:rPr>
          <w:rFonts w:ascii="David" w:hAnsi="David"/>
          <w:rtl w:val="true"/>
        </w:rPr>
        <w:t>ל</w:t>
      </w:r>
      <w:hyperlink r:id="rId18">
        <w:r>
          <w:rPr>
            <w:rStyle w:val="Hyperlink"/>
            <w:rFonts w:ascii="David" w:hAnsi="David"/>
            <w:color w:val="0000FF"/>
            <w:u w:val="single"/>
            <w:rtl w:val="true"/>
          </w:rPr>
          <w:t>חוק העונשין</w:t>
        </w:r>
      </w:hyperlink>
      <w:r>
        <w:rPr>
          <w:rFonts w:ascii="David" w:hAnsi="David"/>
          <w:rtl w:val="true"/>
        </w:rPr>
        <w:t xml:space="preserve"> מאפשר הבאת ראיות להוכחת נסיבות ביצוע העבירה ולכן לא נפל פגם בעצם הגשת חוות הדעת</w:t>
      </w:r>
      <w:r>
        <w:rPr>
          <w:rFonts w:cs="David" w:ascii="David" w:hAnsi="David"/>
          <w:rtl w:val="true"/>
        </w:rPr>
        <w:t xml:space="preserve">. </w:t>
      </w:r>
      <w:r>
        <w:rPr>
          <w:rFonts w:ascii="David" w:hAnsi="David"/>
          <w:rtl w:val="true"/>
        </w:rPr>
        <w:t>עוד נטען</w:t>
      </w:r>
      <w:r>
        <w:rPr>
          <w:rFonts w:cs="David" w:ascii="David" w:hAnsi="David"/>
          <w:rtl w:val="true"/>
        </w:rPr>
        <w:t xml:space="preserve">, </w:t>
      </w:r>
      <w:r>
        <w:rPr>
          <w:rFonts w:ascii="David" w:hAnsi="David"/>
          <w:rtl w:val="true"/>
        </w:rPr>
        <w:t>כי אין גם ממש בטענת המערערת</w:t>
      </w:r>
      <w:r>
        <w:rPr>
          <w:rFonts w:cs="David" w:ascii="David" w:hAnsi="David"/>
          <w:rtl w:val="true"/>
        </w:rPr>
        <w:t xml:space="preserve">, </w:t>
      </w:r>
      <w:r>
        <w:rPr>
          <w:rFonts w:ascii="David" w:hAnsi="David"/>
          <w:rtl w:val="true"/>
        </w:rPr>
        <w:t>לפיה חוות הדעת סותרת את הודאת המשיב בעובדות כתב האישום המתוקן מאחר שמטרת חוות הדעת הייתה להראות כי הסם שהמשיב ושותפו גידלו היה לשימוש עצמי</w:t>
      </w:r>
      <w:r>
        <w:rPr>
          <w:rFonts w:cs="David" w:ascii="David" w:hAnsi="David"/>
          <w:rtl w:val="true"/>
        </w:rPr>
        <w:t xml:space="preserve">. </w:t>
      </w:r>
    </w:p>
    <w:p>
      <w:pPr>
        <w:pStyle w:val="Normal"/>
        <w:spacing w:lineRule="auto" w:line="360"/>
        <w:ind w:start="720" w:end="0"/>
        <w:jc w:val="both"/>
        <w:rPr>
          <w:rFonts w:ascii="David" w:hAnsi="David" w:cs="David"/>
        </w:rPr>
      </w:pPr>
      <w:r>
        <w:rPr>
          <w:rFonts w:cs="David" w:ascii="David" w:hAnsi="David"/>
          <w:rtl w:val="true"/>
        </w:rPr>
      </w:r>
    </w:p>
    <w:p>
      <w:pPr>
        <w:pStyle w:val="Normal"/>
        <w:spacing w:lineRule="auto" w:line="360"/>
        <w:ind w:start="720" w:end="0"/>
        <w:jc w:val="both"/>
        <w:rPr>
          <w:rFonts w:ascii="David" w:hAnsi="David" w:cs="David"/>
        </w:rPr>
      </w:pPr>
      <w:r>
        <w:rPr>
          <w:rFonts w:ascii="David" w:hAnsi="David"/>
          <w:rtl w:val="true"/>
        </w:rPr>
        <w:t>עוד טען ב</w:t>
      </w:r>
      <w:r>
        <w:rPr>
          <w:rFonts w:cs="David" w:ascii="David" w:hAnsi="David"/>
          <w:rtl w:val="true"/>
        </w:rPr>
        <w:t>"</w:t>
      </w:r>
      <w:r>
        <w:rPr>
          <w:rFonts w:ascii="David" w:hAnsi="David"/>
          <w:rtl w:val="true"/>
        </w:rPr>
        <w:t>כ המשיב</w:t>
      </w:r>
      <w:r>
        <w:rPr>
          <w:rFonts w:cs="David" w:ascii="David" w:hAnsi="David"/>
          <w:rtl w:val="true"/>
        </w:rPr>
        <w:t xml:space="preserve">, </w:t>
      </w:r>
      <w:r>
        <w:rPr>
          <w:rFonts w:ascii="David" w:hAnsi="David"/>
          <w:rtl w:val="true"/>
        </w:rPr>
        <w:t>כי גם הגשת הודעותיהם של המשיב והנאשם הנוסף במשטרה במהלך הטיעון לעונש נועדה להוכיח</w:t>
      </w:r>
      <w:r>
        <w:rPr>
          <w:rFonts w:cs="David" w:ascii="David" w:hAnsi="David"/>
          <w:rtl w:val="true"/>
        </w:rPr>
        <w:t xml:space="preserve">, </w:t>
      </w:r>
      <w:r>
        <w:rPr>
          <w:rFonts w:ascii="David" w:hAnsi="David"/>
          <w:rtl w:val="true"/>
        </w:rPr>
        <w:t>כי הסם שגידלו נועד לשימוש עצמי</w:t>
      </w:r>
      <w:r>
        <w:rPr>
          <w:rFonts w:cs="David" w:ascii="David" w:hAnsi="David"/>
          <w:rtl w:val="true"/>
        </w:rPr>
        <w:t xml:space="preserve">. </w:t>
      </w:r>
    </w:p>
    <w:p>
      <w:pPr>
        <w:pStyle w:val="Normal"/>
        <w:spacing w:lineRule="auto" w:line="360"/>
        <w:ind w:start="720" w:end="0"/>
        <w:jc w:val="both"/>
        <w:rPr>
          <w:rFonts w:ascii="David" w:hAnsi="David" w:cs="David"/>
        </w:rPr>
      </w:pPr>
      <w:r>
        <w:rPr>
          <w:rFonts w:cs="David" w:ascii="David" w:hAnsi="David"/>
          <w:rtl w:val="true"/>
        </w:rPr>
      </w:r>
    </w:p>
    <w:p>
      <w:pPr>
        <w:pStyle w:val="Normal"/>
        <w:spacing w:lineRule="auto" w:line="360"/>
        <w:ind w:start="720" w:end="0"/>
        <w:jc w:val="both"/>
        <w:rPr>
          <w:rFonts w:ascii="David" w:hAnsi="David" w:cs="David"/>
        </w:rPr>
      </w:pPr>
      <w:r>
        <w:rPr>
          <w:rFonts w:ascii="David" w:hAnsi="David"/>
          <w:rtl w:val="true"/>
        </w:rPr>
        <w:t>בנוגע לטענת המשיב ביחס לקביעתו של בית משפט קמא בדבר חלקם ותפקידם של המשיב והנאשם הנוסף בביצוע העבירה</w:t>
      </w:r>
      <w:r>
        <w:rPr>
          <w:rFonts w:cs="David" w:ascii="David" w:hAnsi="David"/>
          <w:rtl w:val="true"/>
        </w:rPr>
        <w:t xml:space="preserve">, </w:t>
      </w:r>
      <w:r>
        <w:rPr>
          <w:rFonts w:ascii="David" w:hAnsi="David"/>
          <w:rtl w:val="true"/>
        </w:rPr>
        <w:t>טען ב</w:t>
      </w:r>
      <w:r>
        <w:rPr>
          <w:rFonts w:cs="David" w:ascii="David" w:hAnsi="David"/>
          <w:rtl w:val="true"/>
        </w:rPr>
        <w:t>"</w:t>
      </w:r>
      <w:r>
        <w:rPr>
          <w:rFonts w:ascii="David" w:hAnsi="David"/>
          <w:rtl w:val="true"/>
        </w:rPr>
        <w:t>כ המשיב</w:t>
      </w:r>
      <w:r>
        <w:rPr>
          <w:rFonts w:cs="David" w:ascii="David" w:hAnsi="David"/>
          <w:rtl w:val="true"/>
        </w:rPr>
        <w:t xml:space="preserve">, </w:t>
      </w:r>
      <w:r>
        <w:rPr>
          <w:rFonts w:ascii="David" w:hAnsi="David"/>
          <w:rtl w:val="true"/>
        </w:rPr>
        <w:t>כי בית משפט קמא אימץ בפסק דינו את מתחם העונש ההולם שנקבע בעניינו של הנאשם הנוסף ובחר לסטות מאותו מתחם לקולא כפי שנעשה גם בעניינו של הנאשם הנוסף</w:t>
      </w:r>
      <w:r>
        <w:rPr>
          <w:rFonts w:cs="David" w:ascii="David" w:hAnsi="David"/>
          <w:rtl w:val="true"/>
        </w:rPr>
        <w:t xml:space="preserve">. </w:t>
      </w:r>
      <w:r>
        <w:rPr>
          <w:rFonts w:ascii="David" w:hAnsi="David"/>
          <w:rtl w:val="true"/>
        </w:rPr>
        <w:t>נטען</w:t>
      </w:r>
      <w:r>
        <w:rPr>
          <w:rFonts w:cs="David" w:ascii="David" w:hAnsi="David"/>
          <w:rtl w:val="true"/>
        </w:rPr>
        <w:t xml:space="preserve">, </w:t>
      </w:r>
      <w:r>
        <w:rPr>
          <w:rFonts w:ascii="David" w:hAnsi="David"/>
          <w:rtl w:val="true"/>
        </w:rPr>
        <w:t>כי השוני בהחלטות נבע מכך</w:t>
      </w:r>
      <w:r>
        <w:rPr>
          <w:rFonts w:cs="David" w:ascii="David" w:hAnsi="David"/>
          <w:rtl w:val="true"/>
        </w:rPr>
        <w:t xml:space="preserve">, </w:t>
      </w:r>
      <w:r>
        <w:rPr>
          <w:rFonts w:ascii="David" w:hAnsi="David"/>
          <w:rtl w:val="true"/>
        </w:rPr>
        <w:t>כי בעניינו של המשיב ניתנה המלצה של שירות המבחן להימנע מהרשעתו ונשמעה עדות מהימנה של יו</w:t>
      </w:r>
      <w:r>
        <w:rPr>
          <w:rFonts w:cs="David" w:ascii="David" w:hAnsi="David"/>
          <w:rtl w:val="true"/>
        </w:rPr>
        <w:t>"</w:t>
      </w:r>
      <w:r>
        <w:rPr>
          <w:rFonts w:ascii="David" w:hAnsi="David"/>
          <w:rtl w:val="true"/>
        </w:rPr>
        <w:t>ר ועד העובדים בנמל חיפה אשר ציין</w:t>
      </w:r>
      <w:r>
        <w:rPr>
          <w:rFonts w:cs="David" w:ascii="David" w:hAnsi="David"/>
          <w:rtl w:val="true"/>
        </w:rPr>
        <w:t xml:space="preserve">, </w:t>
      </w:r>
      <w:r>
        <w:rPr>
          <w:rFonts w:ascii="David" w:hAnsi="David"/>
          <w:rtl w:val="true"/>
        </w:rPr>
        <w:t>כי קיים סיכוי</w:t>
      </w:r>
      <w:r>
        <w:rPr>
          <w:rFonts w:cs="David" w:ascii="David" w:hAnsi="David"/>
          <w:rtl w:val="true"/>
        </w:rPr>
        <w:t xml:space="preserve">, </w:t>
      </w:r>
      <w:r>
        <w:rPr>
          <w:rFonts w:ascii="David" w:hAnsi="David"/>
          <w:rtl w:val="true"/>
        </w:rPr>
        <w:t>כי המשיב יוחזר לעבודתו בנמל ככל שלא יורשע</w:t>
      </w:r>
      <w:r>
        <w:rPr>
          <w:rFonts w:cs="David" w:ascii="David" w:hAnsi="David"/>
          <w:rtl w:val="true"/>
        </w:rPr>
        <w:t>.</w:t>
      </w:r>
    </w:p>
    <w:p>
      <w:pPr>
        <w:pStyle w:val="Normal"/>
        <w:spacing w:lineRule="auto" w:line="360"/>
        <w:ind w:start="720" w:end="0"/>
        <w:jc w:val="both"/>
        <w:rPr>
          <w:rFonts w:ascii="David" w:hAnsi="David" w:cs="David"/>
        </w:rPr>
      </w:pPr>
      <w:r>
        <w:rPr>
          <w:rFonts w:cs="David" w:ascii="David" w:hAnsi="David"/>
          <w:rtl w:val="true"/>
        </w:rPr>
      </w:r>
    </w:p>
    <w:p>
      <w:pPr>
        <w:pStyle w:val="Normal"/>
        <w:spacing w:lineRule="auto" w:line="360"/>
        <w:ind w:start="720" w:end="0"/>
        <w:jc w:val="both"/>
        <w:rPr>
          <w:rFonts w:ascii="David" w:hAnsi="David" w:cs="David"/>
        </w:rPr>
      </w:pPr>
      <w:r>
        <w:rPr>
          <w:rFonts w:ascii="David" w:hAnsi="David"/>
          <w:rtl w:val="true"/>
        </w:rPr>
        <w:t>ביחס לטענת המערערת לעניין סכום הפיצוי שנפסק והבקשה להמירו בקנס</w:t>
      </w:r>
      <w:r>
        <w:rPr>
          <w:rFonts w:cs="David" w:ascii="David" w:hAnsi="David"/>
          <w:rtl w:val="true"/>
        </w:rPr>
        <w:t xml:space="preserve">, </w:t>
      </w:r>
      <w:r>
        <w:rPr>
          <w:rFonts w:ascii="David" w:hAnsi="David"/>
          <w:rtl w:val="true"/>
        </w:rPr>
        <w:t>ציין ב</w:t>
      </w:r>
      <w:r>
        <w:rPr>
          <w:rFonts w:cs="David" w:ascii="David" w:hAnsi="David"/>
          <w:rtl w:val="true"/>
        </w:rPr>
        <w:t>"</w:t>
      </w:r>
      <w:r>
        <w:rPr>
          <w:rFonts w:ascii="David" w:hAnsi="David"/>
          <w:rtl w:val="true"/>
        </w:rPr>
        <w:t>כ המערער</w:t>
      </w:r>
      <w:r>
        <w:rPr>
          <w:rFonts w:cs="David" w:ascii="David" w:hAnsi="David"/>
          <w:rtl w:val="true"/>
        </w:rPr>
        <w:t xml:space="preserve">, </w:t>
      </w:r>
      <w:r>
        <w:rPr>
          <w:rFonts w:ascii="David" w:hAnsi="David"/>
          <w:rtl w:val="true"/>
        </w:rPr>
        <w:t>כי ככל שהדבר יניח את דעתה של המערערת</w:t>
      </w:r>
      <w:r>
        <w:rPr>
          <w:rFonts w:cs="David" w:ascii="David" w:hAnsi="David"/>
          <w:rtl w:val="true"/>
        </w:rPr>
        <w:t xml:space="preserve">, </w:t>
      </w:r>
      <w:r>
        <w:rPr>
          <w:rFonts w:ascii="David" w:hAnsi="David"/>
          <w:rtl w:val="true"/>
        </w:rPr>
        <w:t>אין התנגדות מצד המשיב להשוות את סכום הפיצוי לסכום שהוטל על הנאשם הנוסף</w:t>
      </w:r>
      <w:r>
        <w:rPr>
          <w:rFonts w:cs="David" w:ascii="David" w:hAnsi="David"/>
          <w:rtl w:val="true"/>
        </w:rPr>
        <w:t xml:space="preserve">, </w:t>
      </w:r>
      <w:r>
        <w:rPr>
          <w:rFonts w:ascii="David" w:hAnsi="David"/>
          <w:rtl w:val="true"/>
        </w:rPr>
        <w:t>באופן שהמשיב ישלם בנוסף ל</w:t>
      </w:r>
      <w:r>
        <w:rPr>
          <w:rFonts w:cs="David" w:ascii="David" w:hAnsi="David"/>
          <w:rtl w:val="true"/>
        </w:rPr>
        <w:t>-</w:t>
      </w:r>
      <w:r>
        <w:rPr>
          <w:rFonts w:cs="David" w:ascii="David" w:hAnsi="David"/>
        </w:rPr>
        <w:t>5,000</w:t>
      </w:r>
      <w:r>
        <w:rPr>
          <w:rFonts w:cs="David" w:ascii="David" w:hAnsi="David"/>
          <w:rtl w:val="true"/>
        </w:rPr>
        <w:t xml:space="preserve"> ₪ </w:t>
      </w:r>
      <w:r>
        <w:rPr>
          <w:rFonts w:ascii="David" w:hAnsi="David"/>
          <w:rtl w:val="true"/>
        </w:rPr>
        <w:t xml:space="preserve">שהוטלו עליו במסגרת פסק דינו של בית משפט קמא סך נוסף של </w:t>
      </w:r>
      <w:r>
        <w:rPr>
          <w:rFonts w:cs="David" w:ascii="David" w:hAnsi="David"/>
        </w:rPr>
        <w:t>6,000</w:t>
      </w:r>
      <w:r>
        <w:rPr>
          <w:rFonts w:cs="David" w:ascii="David" w:hAnsi="David"/>
          <w:rtl w:val="true"/>
        </w:rPr>
        <w:t xml:space="preserve"> ₪.  </w:t>
      </w:r>
      <w:r>
        <w:rPr>
          <w:rFonts w:ascii="David" w:hAnsi="David"/>
          <w:rtl w:val="true"/>
        </w:rPr>
        <w:t>כן ניתנה הסכמתו של ב</w:t>
      </w:r>
      <w:r>
        <w:rPr>
          <w:rFonts w:cs="David" w:ascii="David" w:hAnsi="David"/>
          <w:rtl w:val="true"/>
        </w:rPr>
        <w:t>"</w:t>
      </w:r>
      <w:r>
        <w:rPr>
          <w:rFonts w:ascii="David" w:hAnsi="David"/>
          <w:rtl w:val="true"/>
        </w:rPr>
        <w:t>כ המשיב להארכת תוקפו של צו הפיקוח</w:t>
      </w:r>
      <w:r>
        <w:rPr>
          <w:rFonts w:cs="David" w:ascii="David" w:hAnsi="David"/>
          <w:rtl w:val="true"/>
        </w:rPr>
        <w:t>.</w:t>
      </w:r>
    </w:p>
    <w:p>
      <w:pPr>
        <w:pStyle w:val="Normal"/>
        <w:spacing w:lineRule="auto" w:line="360"/>
        <w:ind w:start="720" w:end="0"/>
        <w:jc w:val="both"/>
        <w:rPr>
          <w:rFonts w:ascii="David" w:hAnsi="David" w:cs="David"/>
        </w:rPr>
      </w:pPr>
      <w:r>
        <w:rPr>
          <w:rFonts w:cs="David" w:ascii="David" w:hAnsi="David"/>
          <w:rtl w:val="true"/>
        </w:rPr>
      </w:r>
    </w:p>
    <w:p>
      <w:pPr>
        <w:pStyle w:val="Normal"/>
        <w:spacing w:lineRule="auto" w:line="360"/>
        <w:ind w:start="720" w:end="0"/>
        <w:jc w:val="both"/>
        <w:rPr>
          <w:rFonts w:ascii="David" w:hAnsi="David" w:cs="David"/>
          <w:b/>
          <w:bCs/>
          <w:u w:val="single"/>
        </w:rPr>
      </w:pPr>
      <w:r>
        <w:rPr>
          <w:rFonts w:ascii="David" w:hAnsi="David"/>
          <w:b/>
          <w:b/>
          <w:bCs/>
          <w:u w:val="single"/>
          <w:rtl w:val="true"/>
        </w:rPr>
        <w:t>דיון והכרעה</w:t>
      </w:r>
    </w:p>
    <w:p>
      <w:pPr>
        <w:pStyle w:val="Normal"/>
        <w:spacing w:lineRule="auto" w:line="360"/>
        <w:ind w:start="720" w:end="0"/>
        <w:jc w:val="both"/>
        <w:rPr>
          <w:rFonts w:ascii="David" w:hAnsi="David" w:cs="David"/>
          <w:b/>
          <w:bCs/>
          <w:u w:val="single"/>
        </w:rPr>
      </w:pPr>
      <w:r>
        <w:rPr>
          <w:rFonts w:cs="David" w:ascii="David" w:hAnsi="David"/>
          <w:b/>
          <w:bCs/>
          <w:u w:val="single"/>
          <w:rtl w:val="true"/>
        </w:rPr>
      </w:r>
    </w:p>
    <w:p>
      <w:pPr>
        <w:pStyle w:val="Normal"/>
        <w:spacing w:lineRule="auto" w:line="360"/>
        <w:ind w:hanging="720" w:start="720" w:end="0"/>
        <w:jc w:val="both"/>
        <w:rPr>
          <w:rFonts w:ascii="David" w:hAnsi="David" w:cs="David"/>
        </w:rPr>
      </w:pPr>
      <w:r>
        <w:rPr>
          <w:rFonts w:cs="David" w:ascii="David" w:hAnsi="David"/>
        </w:rPr>
        <w:t>10</w:t>
      </w:r>
      <w:r>
        <w:rPr>
          <w:rFonts w:cs="David" w:ascii="David" w:hAnsi="David"/>
          <w:rtl w:val="true"/>
        </w:rPr>
        <w:t>.</w:t>
        <w:tab/>
      </w:r>
      <w:r>
        <w:rPr>
          <w:rFonts w:ascii="David" w:hAnsi="David"/>
          <w:rtl w:val="true"/>
        </w:rPr>
        <w:t>במסגרת הערעור חולקת המערערת על החלטת בית משפט קמא להימנע מהרשעת המשיב</w:t>
      </w:r>
      <w:r>
        <w:rPr>
          <w:rFonts w:cs="David" w:ascii="David" w:hAnsi="David"/>
          <w:rtl w:val="true"/>
        </w:rPr>
        <w:t xml:space="preserve">, </w:t>
      </w:r>
      <w:r>
        <w:rPr>
          <w:rFonts w:ascii="David" w:hAnsi="David"/>
          <w:rtl w:val="true"/>
        </w:rPr>
        <w:t>אשר הודה בביצוע עבירת הסמים שיוחסה לו במסגרת כתב האישום המתוקן</w:t>
      </w:r>
      <w:r>
        <w:rPr>
          <w:rFonts w:cs="David" w:ascii="David" w:hAnsi="David"/>
          <w:rtl w:val="true"/>
        </w:rPr>
        <w:t xml:space="preserve">. </w:t>
      </w:r>
    </w:p>
    <w:p>
      <w:pPr>
        <w:pStyle w:val="Normal"/>
        <w:spacing w:lineRule="auto" w:line="360"/>
        <w:ind w:hanging="720" w:start="720" w:end="0"/>
        <w:jc w:val="both"/>
        <w:rPr>
          <w:rFonts w:ascii="David" w:hAnsi="David" w:cs="David"/>
        </w:rPr>
      </w:pPr>
      <w:r>
        <w:rPr>
          <w:rFonts w:cs="David" w:ascii="David" w:hAnsi="David"/>
          <w:rtl w:val="true"/>
        </w:rPr>
      </w:r>
    </w:p>
    <w:p>
      <w:pPr>
        <w:pStyle w:val="Normal"/>
        <w:spacing w:lineRule="auto" w:line="360"/>
        <w:ind w:hanging="720" w:start="720" w:end="0"/>
        <w:jc w:val="both"/>
        <w:rPr>
          <w:rFonts w:ascii="David" w:hAnsi="David" w:cs="David"/>
        </w:rPr>
      </w:pPr>
      <w:r>
        <w:rPr>
          <w:rFonts w:cs="David" w:ascii="David" w:hAnsi="David"/>
        </w:rPr>
        <w:t>11</w:t>
      </w:r>
      <w:r>
        <w:rPr>
          <w:rFonts w:cs="David" w:ascii="David" w:hAnsi="David"/>
          <w:rtl w:val="true"/>
        </w:rPr>
        <w:t>.</w:t>
        <w:tab/>
      </w:r>
      <w:r>
        <w:rPr>
          <w:rFonts w:ascii="David" w:hAnsi="David"/>
          <w:rtl w:val="true"/>
        </w:rPr>
        <w:t>אכן</w:t>
      </w:r>
      <w:r>
        <w:rPr>
          <w:rFonts w:cs="David" w:ascii="David" w:hAnsi="David"/>
          <w:rtl w:val="true"/>
        </w:rPr>
        <w:t xml:space="preserve">, </w:t>
      </w:r>
      <w:r>
        <w:rPr>
          <w:rFonts w:ascii="David" w:hAnsi="David"/>
          <w:rtl w:val="true"/>
        </w:rPr>
        <w:t>הלכה היא בדין הפלילי</w:t>
      </w:r>
      <w:r>
        <w:rPr>
          <w:rFonts w:cs="David" w:ascii="David" w:hAnsi="David"/>
          <w:rtl w:val="true"/>
        </w:rPr>
        <w:t xml:space="preserve">, </w:t>
      </w:r>
      <w:r>
        <w:rPr>
          <w:rFonts w:ascii="David" w:hAnsi="David"/>
          <w:rtl w:val="true"/>
        </w:rPr>
        <w:t>כי אדם שביצע עבירה צפוי להיות מורשע בדין</w:t>
      </w:r>
      <w:r>
        <w:rPr>
          <w:rFonts w:cs="David" w:ascii="David" w:hAnsi="David"/>
          <w:rtl w:val="true"/>
        </w:rPr>
        <w:t xml:space="preserve">. </w:t>
      </w:r>
      <w:r>
        <w:rPr>
          <w:rFonts w:ascii="David" w:hAnsi="David"/>
          <w:rtl w:val="true"/>
        </w:rPr>
        <w:t>מכאן עולה</w:t>
      </w:r>
      <w:r>
        <w:rPr>
          <w:rFonts w:cs="David" w:ascii="David" w:hAnsi="David"/>
          <w:rtl w:val="true"/>
        </w:rPr>
        <w:t xml:space="preserve">, </w:t>
      </w:r>
      <w:r>
        <w:rPr>
          <w:rFonts w:ascii="David" w:hAnsi="David"/>
          <w:rtl w:val="true"/>
        </w:rPr>
        <w:t>אפוא</w:t>
      </w:r>
      <w:r>
        <w:rPr>
          <w:rFonts w:cs="David" w:ascii="David" w:hAnsi="David"/>
          <w:rtl w:val="true"/>
        </w:rPr>
        <w:t xml:space="preserve">, </w:t>
      </w:r>
      <w:r>
        <w:rPr>
          <w:rFonts w:ascii="David" w:hAnsi="David"/>
          <w:rtl w:val="true"/>
        </w:rPr>
        <w:t>כי הימנעות מהרשעת נאשם שאשמתו הוכחה היא</w:t>
      </w:r>
      <w:r>
        <w:rPr>
          <w:rFonts w:cs="David" w:ascii="David" w:hAnsi="David"/>
          <w:rtl w:val="true"/>
        </w:rPr>
        <w:t xml:space="preserve">, </w:t>
      </w:r>
      <w:r>
        <w:rPr>
          <w:rFonts w:ascii="David" w:hAnsi="David"/>
          <w:rtl w:val="true"/>
        </w:rPr>
        <w:t>חריג לכלל</w:t>
      </w:r>
      <w:r>
        <w:rPr>
          <w:rFonts w:cs="David" w:ascii="David" w:hAnsi="David"/>
          <w:rtl w:val="true"/>
        </w:rPr>
        <w:t xml:space="preserve">, </w:t>
      </w:r>
      <w:r>
        <w:rPr>
          <w:rFonts w:ascii="David" w:hAnsi="David"/>
          <w:rtl w:val="true"/>
        </w:rPr>
        <w:t>שיופעל במקרים נדירים בלבד</w:t>
      </w:r>
      <w:r>
        <w:rPr>
          <w:rFonts w:cs="David" w:ascii="David" w:hAnsi="David"/>
          <w:rtl w:val="true"/>
        </w:rPr>
        <w:t xml:space="preserve">, </w:t>
      </w:r>
      <w:r>
        <w:rPr>
          <w:rFonts w:ascii="David" w:hAnsi="David"/>
          <w:rtl w:val="true"/>
        </w:rPr>
        <w:t>בהם יוכח</w:t>
      </w:r>
      <w:r>
        <w:rPr>
          <w:rFonts w:cs="David" w:ascii="David" w:hAnsi="David"/>
          <w:rtl w:val="true"/>
        </w:rPr>
        <w:t xml:space="preserve">, </w:t>
      </w:r>
      <w:r>
        <w:rPr>
          <w:rFonts w:ascii="David" w:hAnsi="David"/>
          <w:rtl w:val="true"/>
        </w:rPr>
        <w:t>כי הנזק שייגרם לנאשם מההרשעה גבוה יותר מהתועלת שתצמח ממיצוי הדין עם הנאשם</w:t>
      </w:r>
      <w:r>
        <w:rPr>
          <w:rFonts w:cs="David" w:ascii="David" w:hAnsi="David"/>
          <w:rtl w:val="true"/>
        </w:rPr>
        <w:t xml:space="preserve">, </w:t>
      </w:r>
      <w:r>
        <w:rPr>
          <w:rFonts w:ascii="David" w:hAnsi="David"/>
          <w:rtl w:val="true"/>
        </w:rPr>
        <w:t>קרי</w:t>
      </w:r>
      <w:r>
        <w:rPr>
          <w:rFonts w:cs="David" w:ascii="David" w:hAnsi="David"/>
          <w:rtl w:val="true"/>
        </w:rPr>
        <w:t xml:space="preserve">, </w:t>
      </w:r>
      <w:r>
        <w:rPr>
          <w:rFonts w:ascii="David" w:hAnsi="David"/>
          <w:rtl w:val="true"/>
        </w:rPr>
        <w:t>כאשר לא מתקיים יחס סביר בין הנזק שצפוי לנאשם מן ההרשעה לחומרת העבירה</w:t>
      </w:r>
      <w:r>
        <w:rPr>
          <w:rFonts w:cs="David" w:ascii="David" w:hAnsi="David"/>
          <w:rtl w:val="true"/>
        </w:rPr>
        <w:t xml:space="preserve">. </w:t>
      </w:r>
      <w:r>
        <w:rPr>
          <w:rFonts w:ascii="David" w:hAnsi="David"/>
          <w:rtl w:val="true"/>
        </w:rPr>
        <w:t>על כך עמד בית המשפט העליון ע</w:t>
      </w:r>
      <w:r>
        <w:rPr>
          <w:rFonts w:cs="David" w:ascii="David" w:hAnsi="David"/>
          <w:rtl w:val="true"/>
        </w:rPr>
        <w:t>"</w:t>
      </w:r>
      <w:r>
        <w:rPr>
          <w:rFonts w:ascii="David" w:hAnsi="David"/>
          <w:rtl w:val="true"/>
        </w:rPr>
        <w:t xml:space="preserve">פ </w:t>
      </w:r>
      <w:hyperlink r:id="rId19">
        <w:r>
          <w:rPr>
            <w:rStyle w:val="Hyperlink"/>
            <w:rFonts w:cs="David" w:ascii="David" w:hAnsi="David"/>
            <w:color w:val="0000FF"/>
            <w:u w:val="single"/>
          </w:rPr>
          <w:t>9893/06</w:t>
        </w:r>
      </w:hyperlink>
      <w:r>
        <w:rPr>
          <w:rFonts w:ascii="David" w:hAnsi="David"/>
          <w:b/>
          <w:b/>
          <w:bCs/>
          <w:rtl w:val="true"/>
        </w:rPr>
        <w:t>אסנת אלון לאופר נ</w:t>
      </w:r>
      <w:r>
        <w:rPr>
          <w:rFonts w:cs="David" w:ascii="David" w:hAnsi="David"/>
          <w:b/>
          <w:bCs/>
          <w:rtl w:val="true"/>
        </w:rPr>
        <w:t xml:space="preserve">' </w:t>
      </w:r>
      <w:r>
        <w:rPr>
          <w:rFonts w:ascii="David" w:hAnsi="David"/>
          <w:b/>
          <w:b/>
          <w:bCs/>
          <w:rtl w:val="true"/>
        </w:rPr>
        <w:t>מדינת ישראל</w:t>
      </w:r>
      <w:r>
        <w:rPr>
          <w:rFonts w:cs="David" w:ascii="David" w:hAnsi="David"/>
          <w:rtl w:val="true"/>
        </w:rPr>
        <w:t>, (</w:t>
      </w:r>
      <w:r>
        <w:rPr>
          <w:rFonts w:cs="David" w:ascii="David" w:hAnsi="David"/>
        </w:rPr>
        <w:t>31/12/07</w:t>
      </w:r>
      <w:r>
        <w:rPr>
          <w:rFonts w:cs="David" w:ascii="David" w:hAnsi="David"/>
          <w:rtl w:val="true"/>
        </w:rPr>
        <w:t>) (</w:t>
      </w:r>
      <w:r>
        <w:rPr>
          <w:rFonts w:ascii="David" w:hAnsi="David"/>
          <w:rtl w:val="true"/>
        </w:rPr>
        <w:t>להלן</w:t>
      </w:r>
      <w:r>
        <w:rPr>
          <w:rFonts w:cs="David" w:ascii="David" w:hAnsi="David"/>
          <w:rtl w:val="true"/>
        </w:rPr>
        <w:t xml:space="preserve">: </w:t>
      </w:r>
      <w:r>
        <w:rPr>
          <w:rFonts w:cs="David" w:ascii="David" w:hAnsi="David"/>
          <w:b/>
          <w:bCs/>
          <w:rtl w:val="true"/>
        </w:rPr>
        <w:t>"</w:t>
      </w:r>
      <w:r>
        <w:rPr>
          <w:rFonts w:ascii="David" w:hAnsi="David"/>
          <w:b/>
          <w:b/>
          <w:bCs/>
          <w:rtl w:val="true"/>
        </w:rPr>
        <w:t>פסק דין אלון</w:t>
      </w:r>
      <w:r>
        <w:rPr>
          <w:rFonts w:cs="David" w:ascii="David" w:hAnsi="David"/>
          <w:b/>
          <w:bCs/>
          <w:rtl w:val="true"/>
        </w:rPr>
        <w:t>"</w:t>
      </w:r>
      <w:r>
        <w:rPr>
          <w:rFonts w:cs="David" w:ascii="David" w:hAnsi="David"/>
          <w:rtl w:val="true"/>
        </w:rPr>
        <w:t xml:space="preserve">), </w:t>
      </w:r>
      <w:r>
        <w:rPr>
          <w:rFonts w:ascii="David" w:hAnsi="David"/>
          <w:rtl w:val="true"/>
        </w:rPr>
        <w:t>בציינו כדלקמן</w:t>
      </w:r>
      <w:r>
        <w:rPr>
          <w:rFonts w:cs="David" w:ascii="David" w:hAnsi="David"/>
          <w:rtl w:val="true"/>
        </w:rPr>
        <w:t xml:space="preserve">: </w:t>
      </w:r>
    </w:p>
    <w:p>
      <w:pPr>
        <w:pStyle w:val="Normal"/>
        <w:spacing w:lineRule="auto" w:line="360"/>
        <w:ind w:hanging="720" w:start="720" w:end="0"/>
        <w:jc w:val="both"/>
        <w:rPr>
          <w:rFonts w:ascii="David" w:hAnsi="David" w:cs="David"/>
        </w:rPr>
      </w:pPr>
      <w:r>
        <w:rPr>
          <w:rFonts w:cs="David" w:ascii="David" w:hAnsi="David"/>
          <w:rtl w:val="true"/>
        </w:rPr>
      </w:r>
    </w:p>
    <w:p>
      <w:pPr>
        <w:pStyle w:val="Normal"/>
        <w:ind w:hanging="1127" w:start="1127" w:end="426"/>
        <w:jc w:val="both"/>
        <w:rPr>
          <w:rFonts w:ascii="David" w:hAnsi="David" w:cs="David"/>
          <w:b/>
          <w:bCs/>
        </w:rPr>
      </w:pPr>
      <w:r>
        <w:rPr>
          <w:rFonts w:cs="David" w:ascii="David" w:hAnsi="David"/>
          <w:rtl w:val="true"/>
        </w:rPr>
        <w:tab/>
      </w:r>
      <w:r>
        <w:rPr>
          <w:rFonts w:cs="David" w:ascii="David" w:hAnsi="David"/>
          <w:b/>
          <w:bCs/>
          <w:rtl w:val="true"/>
        </w:rPr>
        <w:t>"</w:t>
      </w:r>
      <w:r>
        <w:rPr>
          <w:rFonts w:ascii="David" w:hAnsi="David"/>
          <w:b/>
          <w:b/>
          <w:bCs/>
          <w:rtl w:val="true"/>
        </w:rPr>
        <w:t>החלופה העונשית של הימנעות מהרשעה</w:t>
      </w:r>
      <w:r>
        <w:rPr>
          <w:rFonts w:cs="David" w:ascii="David" w:hAnsi="David"/>
          <w:b/>
          <w:bCs/>
          <w:rtl w:val="true"/>
        </w:rPr>
        <w:t xml:space="preserve">, </w:t>
      </w:r>
      <w:r>
        <w:rPr>
          <w:rFonts w:ascii="David" w:hAnsi="David"/>
          <w:b/>
          <w:b/>
          <w:bCs/>
          <w:rtl w:val="true"/>
        </w:rPr>
        <w:t>תוך הטלת צו מבחן או צו שירות לתועלת הציבור</w:t>
      </w:r>
      <w:r>
        <w:rPr>
          <w:rFonts w:cs="David" w:ascii="David" w:hAnsi="David"/>
          <w:b/>
          <w:bCs/>
          <w:rtl w:val="true"/>
        </w:rPr>
        <w:t xml:space="preserve">, </w:t>
      </w:r>
      <w:r>
        <w:rPr>
          <w:rFonts w:ascii="David" w:hAnsi="David"/>
          <w:b/>
          <w:b/>
          <w:bCs/>
          <w:rtl w:val="true"/>
        </w:rPr>
        <w:t>מהווה</w:t>
      </w:r>
      <w:r>
        <w:rPr>
          <w:rFonts w:cs="David" w:ascii="David" w:hAnsi="David"/>
          <w:b/>
          <w:bCs/>
          <w:rtl w:val="true"/>
        </w:rPr>
        <w:t xml:space="preserve">, </w:t>
      </w:r>
      <w:r>
        <w:rPr>
          <w:rFonts w:ascii="David" w:hAnsi="David"/>
          <w:b/>
          <w:b/>
          <w:bCs/>
          <w:rtl w:val="true"/>
        </w:rPr>
        <w:t>ביסודה</w:t>
      </w:r>
      <w:r>
        <w:rPr>
          <w:rFonts w:cs="David" w:ascii="David" w:hAnsi="David"/>
          <w:b/>
          <w:bCs/>
          <w:rtl w:val="true"/>
        </w:rPr>
        <w:t xml:space="preserve">, </w:t>
      </w:r>
      <w:r>
        <w:rPr>
          <w:rFonts w:ascii="David" w:hAnsi="David"/>
          <w:b/>
          <w:b/>
          <w:bCs/>
          <w:rtl w:val="true"/>
        </w:rPr>
        <w:t>חריג לכלל הרחב הנטוע בתורת הענישה לפיו</w:t>
      </w:r>
      <w:r>
        <w:rPr>
          <w:rFonts w:cs="David" w:ascii="David" w:hAnsi="David"/>
          <w:b/>
          <w:bCs/>
          <w:rtl w:val="true"/>
        </w:rPr>
        <w:t xml:space="preserve">, </w:t>
      </w:r>
      <w:r>
        <w:rPr>
          <w:rFonts w:ascii="David" w:hAnsi="David"/>
          <w:b/>
          <w:b/>
          <w:bCs/>
          <w:rtl w:val="true"/>
        </w:rPr>
        <w:t>מקום שהוכחה אשמתו של אדם</w:t>
      </w:r>
      <w:r>
        <w:rPr>
          <w:rFonts w:cs="David" w:ascii="David" w:hAnsi="David"/>
          <w:b/>
          <w:bCs/>
          <w:rtl w:val="true"/>
        </w:rPr>
        <w:t xml:space="preserve">, </w:t>
      </w:r>
      <w:r>
        <w:rPr>
          <w:rFonts w:ascii="David" w:hAnsi="David"/>
          <w:b/>
          <w:b/>
          <w:bCs/>
          <w:rtl w:val="true"/>
        </w:rPr>
        <w:t>יש להרשיעו בדין</w:t>
      </w:r>
      <w:r>
        <w:rPr>
          <w:rFonts w:cs="David" w:ascii="David" w:hAnsi="David"/>
          <w:b/>
          <w:bCs/>
          <w:rtl w:val="true"/>
        </w:rPr>
        <w:t xml:space="preserve">. </w:t>
      </w:r>
      <w:r>
        <w:rPr>
          <w:rFonts w:ascii="David" w:hAnsi="David"/>
          <w:b/>
          <w:b/>
          <w:bCs/>
          <w:rtl w:val="true"/>
        </w:rPr>
        <w:t>הרשעתו של מי שעבר עבירה פלילית</w:t>
      </w:r>
      <w:r>
        <w:rPr>
          <w:rFonts w:cs="David" w:ascii="David" w:hAnsi="David"/>
          <w:b/>
          <w:bCs/>
          <w:rtl w:val="true"/>
        </w:rPr>
        <w:t xml:space="preserve">, </w:t>
      </w:r>
      <w:r>
        <w:rPr>
          <w:rFonts w:ascii="David" w:hAnsi="David"/>
          <w:b/>
          <w:b/>
          <w:bCs/>
          <w:rtl w:val="true"/>
        </w:rPr>
        <w:t>היא פועל יוצא מהפרת הנורמה הפלילית</w:t>
      </w:r>
      <w:r>
        <w:rPr>
          <w:rFonts w:cs="David" w:ascii="David" w:hAnsi="David"/>
          <w:b/>
          <w:bCs/>
          <w:rtl w:val="true"/>
        </w:rPr>
        <w:t xml:space="preserve">, </w:t>
      </w:r>
      <w:r>
        <w:rPr>
          <w:rFonts w:ascii="David" w:hAnsi="David"/>
          <w:b/>
          <w:b/>
          <w:bCs/>
          <w:rtl w:val="true"/>
        </w:rPr>
        <w:t>והיא מהווה חוליה טבעית הנגזרת מהוכחת האשמה הפלילית</w:t>
      </w:r>
      <w:r>
        <w:rPr>
          <w:rFonts w:cs="David" w:ascii="David" w:hAnsi="David"/>
          <w:b/>
          <w:bCs/>
          <w:rtl w:val="true"/>
        </w:rPr>
        <w:t xml:space="preserve">. </w:t>
      </w:r>
      <w:r>
        <w:rPr>
          <w:rFonts w:ascii="David" w:hAnsi="David"/>
          <w:b/>
          <w:b/>
          <w:bCs/>
          <w:rtl w:val="true"/>
        </w:rPr>
        <w:t>הרשעת נאשם בעקבות הוכחת אשמתו מממשת את תכלית ההליך הפלילי</w:t>
      </w:r>
      <w:r>
        <w:rPr>
          <w:rFonts w:cs="David" w:ascii="David" w:hAnsi="David"/>
          <w:b/>
          <w:bCs/>
          <w:rtl w:val="true"/>
        </w:rPr>
        <w:t xml:space="preserve">, </w:t>
      </w:r>
      <w:r>
        <w:rPr>
          <w:rFonts w:ascii="David" w:hAnsi="David"/>
          <w:b/>
          <w:b/>
          <w:bCs/>
          <w:rtl w:val="true"/>
        </w:rPr>
        <w:t>ומשלימה את שלביו השונים</w:t>
      </w:r>
      <w:r>
        <w:rPr>
          <w:rFonts w:cs="David" w:ascii="David" w:hAnsi="David"/>
          <w:b/>
          <w:bCs/>
          <w:rtl w:val="true"/>
        </w:rPr>
        <w:t xml:space="preserve">; </w:t>
      </w:r>
      <w:r>
        <w:rPr>
          <w:rFonts w:ascii="David" w:hAnsi="David"/>
          <w:b/>
          <w:b/>
          <w:bCs/>
          <w:rtl w:val="true"/>
        </w:rPr>
        <w:t>היא מגשימה את ערך השוויון בין נאשמים בהליך הפלילי</w:t>
      </w:r>
      <w:r>
        <w:rPr>
          <w:rFonts w:cs="David" w:ascii="David" w:hAnsi="David"/>
          <w:b/>
          <w:bCs/>
          <w:rtl w:val="true"/>
        </w:rPr>
        <w:t xml:space="preserve">, </w:t>
      </w:r>
      <w:r>
        <w:rPr>
          <w:rFonts w:ascii="David" w:hAnsi="David"/>
          <w:b/>
          <w:b/>
          <w:bCs/>
          <w:rtl w:val="true"/>
        </w:rPr>
        <w:t>ומונעת הפלייה בדרך החלתו</w:t>
      </w:r>
      <w:r>
        <w:rPr>
          <w:rFonts w:cs="David" w:ascii="David" w:hAnsi="David"/>
          <w:b/>
          <w:bCs/>
          <w:rtl w:val="true"/>
        </w:rPr>
        <w:t>..."</w:t>
      </w:r>
    </w:p>
    <w:p>
      <w:pPr>
        <w:pStyle w:val="Normal"/>
        <w:spacing w:lineRule="auto" w:line="360"/>
        <w:ind w:hanging="720" w:start="720" w:end="0"/>
        <w:jc w:val="both"/>
        <w:rPr>
          <w:rFonts w:ascii="David" w:hAnsi="David" w:cs="David"/>
        </w:rPr>
      </w:pPr>
      <w:r>
        <w:rPr>
          <w:rFonts w:cs="David" w:ascii="David" w:hAnsi="David"/>
          <w:rtl w:val="true"/>
        </w:rPr>
        <w:tab/>
      </w:r>
    </w:p>
    <w:p>
      <w:pPr>
        <w:pStyle w:val="Normal"/>
        <w:spacing w:lineRule="auto" w:line="360"/>
        <w:ind w:start="720" w:end="0"/>
        <w:jc w:val="both"/>
        <w:rPr>
          <w:rFonts w:ascii="David" w:hAnsi="David" w:cs="David"/>
        </w:rPr>
      </w:pPr>
      <w:r>
        <w:rPr>
          <w:rFonts w:ascii="David" w:hAnsi="David"/>
          <w:rtl w:val="true"/>
        </w:rPr>
        <w:t>ראו גם</w:t>
      </w:r>
      <w:r>
        <w:rPr>
          <w:rFonts w:cs="David" w:ascii="David" w:hAnsi="David"/>
          <w:rtl w:val="true"/>
        </w:rPr>
        <w:t xml:space="preserve">: </w:t>
      </w:r>
      <w:hyperlink r:id="rId20">
        <w:r>
          <w:rPr>
            <w:rStyle w:val="Hyperlink"/>
            <w:rFonts w:ascii="David" w:hAnsi="David"/>
            <w:color w:val="0000FF"/>
            <w:u w:val="single"/>
            <w:rtl w:val="true"/>
          </w:rPr>
          <w:t>ע</w:t>
        </w:r>
        <w:r>
          <w:rPr>
            <w:rStyle w:val="Hyperlink"/>
            <w:rFonts w:cs="David" w:ascii="David" w:hAnsi="David"/>
            <w:color w:val="0000FF"/>
            <w:u w:val="single"/>
            <w:rtl w:val="true"/>
          </w:rPr>
          <w:t>"</w:t>
        </w:r>
        <w:r>
          <w:rPr>
            <w:rStyle w:val="Hyperlink"/>
            <w:rFonts w:ascii="David" w:hAnsi="David"/>
            <w:color w:val="0000FF"/>
            <w:u w:val="single"/>
            <w:rtl w:val="true"/>
          </w:rPr>
          <w:t xml:space="preserve">פ </w:t>
        </w:r>
        <w:r>
          <w:rPr>
            <w:rStyle w:val="Hyperlink"/>
            <w:rFonts w:cs="David" w:ascii="David" w:hAnsi="David"/>
            <w:color w:val="0000FF"/>
            <w:u w:val="single"/>
          </w:rPr>
          <w:t>2555/12</w:t>
        </w:r>
      </w:hyperlink>
      <w:r>
        <w:rPr>
          <w:rFonts w:cs="David" w:ascii="David" w:hAnsi="David"/>
          <w:rtl w:val="true"/>
        </w:rPr>
        <w:t xml:space="preserve"> </w:t>
      </w:r>
      <w:r>
        <w:rPr>
          <w:rFonts w:ascii="David" w:hAnsi="David"/>
          <w:b/>
          <w:b/>
          <w:bCs/>
          <w:rtl w:val="true"/>
        </w:rPr>
        <w:t>חי נחמיאס נ</w:t>
      </w:r>
      <w:r>
        <w:rPr>
          <w:rFonts w:cs="David" w:ascii="David" w:hAnsi="David"/>
          <w:b/>
          <w:bCs/>
          <w:rtl w:val="true"/>
        </w:rPr>
        <w:t xml:space="preserve">' </w:t>
      </w:r>
      <w:r>
        <w:rPr>
          <w:rFonts w:ascii="David" w:hAnsi="David"/>
          <w:b/>
          <w:b/>
          <w:bCs/>
          <w:rtl w:val="true"/>
        </w:rPr>
        <w:t>מדינת ישראל</w:t>
      </w:r>
      <w:r>
        <w:rPr>
          <w:rFonts w:cs="David" w:ascii="David" w:hAnsi="David"/>
          <w:rtl w:val="true"/>
        </w:rPr>
        <w:t>, (</w:t>
      </w:r>
      <w:r>
        <w:rPr>
          <w:rFonts w:cs="David" w:ascii="David" w:hAnsi="David"/>
        </w:rPr>
        <w:t>09/01/2014</w:t>
      </w:r>
      <w:r>
        <w:rPr>
          <w:rFonts w:cs="David" w:ascii="David" w:hAnsi="David"/>
          <w:rtl w:val="true"/>
        </w:rPr>
        <w:t>).</w:t>
      </w:r>
    </w:p>
    <w:p>
      <w:pPr>
        <w:pStyle w:val="Normal"/>
        <w:spacing w:lineRule="auto" w:line="360"/>
        <w:ind w:hanging="720" w:start="720" w:end="0"/>
        <w:jc w:val="both"/>
        <w:rPr>
          <w:rFonts w:ascii="David" w:hAnsi="David" w:cs="David"/>
        </w:rPr>
      </w:pPr>
      <w:r>
        <w:rPr>
          <w:rFonts w:cs="David" w:ascii="David" w:hAnsi="David"/>
          <w:rtl w:val="true"/>
        </w:rPr>
      </w:r>
    </w:p>
    <w:p>
      <w:pPr>
        <w:pStyle w:val="Normal"/>
        <w:spacing w:lineRule="auto" w:line="360"/>
        <w:ind w:hanging="720" w:start="720" w:end="0"/>
        <w:jc w:val="both"/>
        <w:rPr>
          <w:rFonts w:ascii="David" w:hAnsi="David" w:cs="David"/>
        </w:rPr>
      </w:pPr>
      <w:r>
        <w:rPr>
          <w:rFonts w:cs="David" w:ascii="David" w:hAnsi="David"/>
        </w:rPr>
        <w:t>12</w:t>
      </w:r>
      <w:r>
        <w:rPr>
          <w:rFonts w:cs="David" w:ascii="David" w:hAnsi="David"/>
          <w:rtl w:val="true"/>
        </w:rPr>
        <w:t>.</w:t>
        <w:tab/>
      </w:r>
      <w:r>
        <w:rPr>
          <w:rFonts w:ascii="David" w:hAnsi="David"/>
          <w:rtl w:val="true"/>
        </w:rPr>
        <w:t>אולם לכלל זה חריגים בהם יעדיף בית המשפט להימנע מהרשעת נאשם גם לאחר שאשמתו הוכחה</w:t>
      </w:r>
      <w:r>
        <w:rPr>
          <w:rFonts w:cs="David" w:ascii="David" w:hAnsi="David"/>
          <w:rtl w:val="true"/>
        </w:rPr>
        <w:t xml:space="preserve">. </w:t>
      </w:r>
      <w:r>
        <w:rPr>
          <w:rFonts w:ascii="David" w:hAnsi="David"/>
          <w:rtl w:val="true"/>
        </w:rPr>
        <w:t>לצורך כך על הנאשם להוכיח</w:t>
      </w:r>
      <w:r>
        <w:rPr>
          <w:rFonts w:cs="David" w:ascii="David" w:hAnsi="David"/>
          <w:rtl w:val="true"/>
        </w:rPr>
        <w:t xml:space="preserve">, </w:t>
      </w:r>
      <w:r>
        <w:rPr>
          <w:rFonts w:ascii="David" w:hAnsi="David"/>
          <w:rtl w:val="true"/>
        </w:rPr>
        <w:t>קיומם של שני תנאים מצטברים</w:t>
      </w:r>
      <w:r>
        <w:rPr>
          <w:rFonts w:cs="David" w:ascii="David" w:hAnsi="David"/>
          <w:rtl w:val="true"/>
        </w:rPr>
        <w:t xml:space="preserve">. </w:t>
      </w:r>
      <w:r>
        <w:rPr>
          <w:rFonts w:ascii="David" w:hAnsi="David"/>
          <w:rtl w:val="true"/>
        </w:rPr>
        <w:t>האחד</w:t>
      </w:r>
      <w:r>
        <w:rPr>
          <w:rFonts w:cs="David" w:ascii="David" w:hAnsi="David"/>
          <w:rtl w:val="true"/>
        </w:rPr>
        <w:t xml:space="preserve">, </w:t>
      </w:r>
      <w:r>
        <w:rPr>
          <w:rFonts w:ascii="David" w:hAnsi="David"/>
          <w:rtl w:val="true"/>
        </w:rPr>
        <w:t>כי סוג העבירה</w:t>
      </w:r>
      <w:r>
        <w:rPr>
          <w:rFonts w:cs="David" w:ascii="David" w:hAnsi="David"/>
          <w:rtl w:val="true"/>
        </w:rPr>
        <w:t xml:space="preserve">, </w:t>
      </w:r>
      <w:r>
        <w:rPr>
          <w:rFonts w:ascii="David" w:hAnsi="David"/>
          <w:rtl w:val="true"/>
        </w:rPr>
        <w:t>חומרתה ונסיבותיה מאפשרים לוותר על ההרשעה מבלי שהדבר יפגע באופן חמור באינטרס הציבורי בהרשעה</w:t>
      </w:r>
      <w:r>
        <w:rPr>
          <w:rFonts w:cs="David" w:ascii="David" w:hAnsi="David"/>
          <w:rtl w:val="true"/>
        </w:rPr>
        <w:t xml:space="preserve">. </w:t>
      </w:r>
      <w:r>
        <w:rPr>
          <w:rFonts w:ascii="David" w:hAnsi="David"/>
          <w:rtl w:val="true"/>
        </w:rPr>
        <w:t>והתנאי השני</w:t>
      </w:r>
      <w:r>
        <w:rPr>
          <w:rFonts w:cs="David" w:ascii="David" w:hAnsi="David"/>
          <w:rtl w:val="true"/>
        </w:rPr>
        <w:t xml:space="preserve">, </w:t>
      </w:r>
      <w:r>
        <w:rPr>
          <w:rFonts w:ascii="David" w:hAnsi="David"/>
          <w:rtl w:val="true"/>
        </w:rPr>
        <w:t>הוא כי נסיבותיו האישיות של הנאשם והפגיעה הצפויה בו עקב ההרשעה הם כאלה שיש בהם פוטנציאל ממשי לפגוע בסיכויי שיקומו של הנאשם</w:t>
      </w:r>
      <w:r>
        <w:rPr>
          <w:rFonts w:cs="David" w:ascii="David" w:hAnsi="David"/>
          <w:rtl w:val="true"/>
        </w:rPr>
        <w:t xml:space="preserve">. </w:t>
      </w:r>
      <w:r>
        <w:rPr>
          <w:rFonts w:ascii="David" w:hAnsi="David"/>
          <w:rtl w:val="true"/>
        </w:rPr>
        <w:t>ראו</w:t>
      </w:r>
      <w:r>
        <w:rPr>
          <w:rFonts w:cs="David" w:ascii="David" w:hAnsi="David"/>
          <w:rtl w:val="true"/>
        </w:rPr>
        <w:t xml:space="preserve">: </w:t>
      </w:r>
      <w:r>
        <w:rPr>
          <w:rFonts w:ascii="David" w:hAnsi="David"/>
          <w:b/>
          <w:b/>
          <w:bCs/>
          <w:rtl w:val="true"/>
        </w:rPr>
        <w:t>הלכת כתב</w:t>
      </w:r>
      <w:r>
        <w:rPr>
          <w:rFonts w:cs="David" w:ascii="David" w:hAnsi="David"/>
          <w:rtl w:val="true"/>
        </w:rPr>
        <w:t xml:space="preserve">; </w:t>
      </w:r>
      <w:hyperlink r:id="rId21">
        <w:r>
          <w:rPr>
            <w:rStyle w:val="Hyperlink"/>
            <w:rFonts w:ascii="David" w:hAnsi="David"/>
            <w:color w:val="0000FF"/>
            <w:u w:val="single"/>
            <w:rtl w:val="true"/>
          </w:rPr>
          <w:t>רע</w:t>
        </w:r>
        <w:r>
          <w:rPr>
            <w:rStyle w:val="Hyperlink"/>
            <w:rFonts w:cs="David" w:ascii="David" w:hAnsi="David"/>
            <w:color w:val="0000FF"/>
            <w:u w:val="single"/>
            <w:rtl w:val="true"/>
          </w:rPr>
          <w:t>"</w:t>
        </w:r>
        <w:r>
          <w:rPr>
            <w:rStyle w:val="Hyperlink"/>
            <w:rFonts w:ascii="David" w:hAnsi="David"/>
            <w:color w:val="0000FF"/>
            <w:u w:val="single"/>
            <w:rtl w:val="true"/>
          </w:rPr>
          <w:t xml:space="preserve">פ </w:t>
        </w:r>
        <w:r>
          <w:rPr>
            <w:rStyle w:val="Hyperlink"/>
            <w:rFonts w:cs="David" w:ascii="David" w:hAnsi="David"/>
            <w:color w:val="0000FF"/>
            <w:u w:val="single"/>
          </w:rPr>
          <w:t>5579/10</w:t>
        </w:r>
      </w:hyperlink>
      <w:r>
        <w:rPr>
          <w:rFonts w:cs="David" w:ascii="David" w:hAnsi="David"/>
          <w:rtl w:val="true"/>
        </w:rPr>
        <w:t xml:space="preserve"> </w:t>
      </w:r>
      <w:r>
        <w:rPr>
          <w:rFonts w:ascii="David" w:hAnsi="David"/>
          <w:b/>
          <w:b/>
          <w:bCs/>
          <w:rtl w:val="true"/>
        </w:rPr>
        <w:t>דוד קריה נ</w:t>
      </w:r>
      <w:r>
        <w:rPr>
          <w:rFonts w:cs="David" w:ascii="David" w:hAnsi="David"/>
          <w:b/>
          <w:bCs/>
          <w:rtl w:val="true"/>
        </w:rPr>
        <w:t xml:space="preserve">' </w:t>
      </w:r>
      <w:r>
        <w:rPr>
          <w:rFonts w:ascii="David" w:hAnsi="David"/>
          <w:b/>
          <w:b/>
          <w:bCs/>
          <w:rtl w:val="true"/>
        </w:rPr>
        <w:t>מדינת ישראל</w:t>
      </w:r>
      <w:r>
        <w:rPr>
          <w:rFonts w:cs="David" w:ascii="David" w:hAnsi="David"/>
          <w:rtl w:val="true"/>
        </w:rPr>
        <w:t>, (</w:t>
      </w:r>
      <w:r>
        <w:rPr>
          <w:rFonts w:cs="David" w:ascii="David" w:hAnsi="David"/>
        </w:rPr>
        <w:t>02/08/10</w:t>
      </w:r>
      <w:r>
        <w:rPr>
          <w:rFonts w:cs="David" w:ascii="David" w:hAnsi="David"/>
          <w:rtl w:val="true"/>
        </w:rPr>
        <w:t xml:space="preserve">). </w:t>
      </w:r>
      <w:r>
        <w:rPr>
          <w:rFonts w:ascii="David" w:hAnsi="David"/>
          <w:rtl w:val="true"/>
        </w:rPr>
        <w:t xml:space="preserve">יפים לעניין זה דברים עליהם עמד בית המשפט העליון בפסק דין אלון </w:t>
      </w:r>
      <w:r>
        <w:rPr>
          <w:rFonts w:cs="David" w:ascii="David" w:hAnsi="David"/>
          <w:rtl w:val="true"/>
        </w:rPr>
        <w:t>(</w:t>
      </w:r>
      <w:r>
        <w:rPr>
          <w:rFonts w:ascii="David" w:hAnsi="David"/>
          <w:rtl w:val="true"/>
        </w:rPr>
        <w:t xml:space="preserve">פסקאות </w:t>
      </w:r>
      <w:r>
        <w:rPr>
          <w:rFonts w:cs="David" w:ascii="David" w:hAnsi="David"/>
        </w:rPr>
        <w:t>9</w:t>
      </w:r>
      <w:r>
        <w:rPr>
          <w:rFonts w:cs="David" w:ascii="David" w:hAnsi="David"/>
          <w:rtl w:val="true"/>
        </w:rPr>
        <w:t xml:space="preserve">, </w:t>
      </w:r>
      <w:r>
        <w:rPr>
          <w:rFonts w:cs="David" w:ascii="David" w:hAnsi="David"/>
        </w:rPr>
        <w:t>10</w:t>
      </w:r>
      <w:r>
        <w:rPr>
          <w:rFonts w:cs="David" w:ascii="David" w:hAnsi="David"/>
          <w:rtl w:val="true"/>
        </w:rPr>
        <w:t xml:space="preserve"> </w:t>
      </w:r>
      <w:r>
        <w:rPr>
          <w:rFonts w:ascii="David" w:hAnsi="David"/>
          <w:rtl w:val="true"/>
        </w:rPr>
        <w:t>ו</w:t>
      </w:r>
      <w:r>
        <w:rPr>
          <w:rFonts w:cs="David" w:ascii="David" w:hAnsi="David"/>
          <w:rtl w:val="true"/>
        </w:rPr>
        <w:t>-</w:t>
      </w:r>
      <w:r>
        <w:rPr>
          <w:rFonts w:cs="David" w:ascii="David" w:hAnsi="David"/>
        </w:rPr>
        <w:t>11</w:t>
      </w:r>
      <w:r>
        <w:rPr>
          <w:rFonts w:cs="David" w:ascii="David" w:hAnsi="David"/>
          <w:rtl w:val="true"/>
        </w:rPr>
        <w:t xml:space="preserve">) </w:t>
      </w:r>
      <w:r>
        <w:rPr>
          <w:rFonts w:ascii="David" w:hAnsi="David"/>
          <w:rtl w:val="true"/>
        </w:rPr>
        <w:t>בקבעו</w:t>
      </w:r>
      <w:r>
        <w:rPr>
          <w:rFonts w:cs="David" w:ascii="David" w:hAnsi="David"/>
          <w:rtl w:val="true"/>
        </w:rPr>
        <w:t>:</w:t>
      </w:r>
    </w:p>
    <w:p>
      <w:pPr>
        <w:pStyle w:val="Normal"/>
        <w:spacing w:lineRule="auto" w:line="360"/>
        <w:ind w:hanging="720" w:start="720" w:end="0"/>
        <w:jc w:val="both"/>
        <w:rPr>
          <w:rFonts w:ascii="David" w:hAnsi="David" w:cs="David"/>
        </w:rPr>
      </w:pPr>
      <w:r>
        <w:rPr>
          <w:rFonts w:cs="David" w:ascii="David" w:hAnsi="David"/>
          <w:rtl w:val="true"/>
        </w:rPr>
      </w:r>
    </w:p>
    <w:p>
      <w:pPr>
        <w:pStyle w:val="Normal"/>
        <w:ind w:start="1127" w:end="426"/>
        <w:jc w:val="both"/>
        <w:rPr>
          <w:rFonts w:ascii="David" w:hAnsi="David" w:cs="David"/>
          <w:b/>
          <w:bCs/>
        </w:rPr>
      </w:pPr>
      <w:r>
        <w:rPr>
          <w:rFonts w:cs="David" w:ascii="David" w:hAnsi="David"/>
          <w:b/>
          <w:bCs/>
          <w:rtl w:val="true"/>
        </w:rPr>
        <w:t>"</w:t>
      </w:r>
      <w:r>
        <w:rPr>
          <w:rFonts w:ascii="David" w:hAnsi="David"/>
          <w:b/>
          <w:b/>
          <w:bCs/>
          <w:rtl w:val="true"/>
        </w:rPr>
        <w:t>חרף הכלל האמור</w:t>
      </w:r>
      <w:r>
        <w:rPr>
          <w:rFonts w:cs="David" w:ascii="David" w:hAnsi="David"/>
          <w:b/>
          <w:bCs/>
          <w:rtl w:val="true"/>
        </w:rPr>
        <w:t xml:space="preserve">, </w:t>
      </w:r>
      <w:r>
        <w:rPr>
          <w:rFonts w:ascii="David" w:hAnsi="David"/>
          <w:b/>
          <w:b/>
          <w:bCs/>
          <w:rtl w:val="true"/>
        </w:rPr>
        <w:t>המשפט מניח</w:t>
      </w:r>
      <w:r>
        <w:rPr>
          <w:rFonts w:cs="David" w:ascii="David" w:hAnsi="David"/>
          <w:b/>
          <w:bCs/>
          <w:rtl w:val="true"/>
        </w:rPr>
        <w:t xml:space="preserve">, </w:t>
      </w:r>
      <w:r>
        <w:rPr>
          <w:rFonts w:ascii="David" w:hAnsi="David"/>
          <w:b/>
          <w:b/>
          <w:bCs/>
          <w:rtl w:val="true"/>
        </w:rPr>
        <w:t>כי במורכבות החיים האנושיים על תהפוכותיהם</w:t>
      </w:r>
      <w:r>
        <w:rPr>
          <w:rFonts w:cs="David" w:ascii="David" w:hAnsi="David"/>
          <w:b/>
          <w:bCs/>
          <w:rtl w:val="true"/>
        </w:rPr>
        <w:t xml:space="preserve">, </w:t>
      </w:r>
      <w:r>
        <w:rPr>
          <w:rFonts w:ascii="David" w:hAnsi="David"/>
          <w:b/>
          <w:b/>
          <w:bCs/>
          <w:rtl w:val="true"/>
        </w:rPr>
        <w:t>בהשתקפותם בהליך הפלילי</w:t>
      </w:r>
      <w:r>
        <w:rPr>
          <w:rFonts w:cs="David" w:ascii="David" w:hAnsi="David"/>
          <w:b/>
          <w:bCs/>
          <w:rtl w:val="true"/>
        </w:rPr>
        <w:t xml:space="preserve">, </w:t>
      </w:r>
      <w:r>
        <w:rPr>
          <w:rFonts w:ascii="David" w:hAnsi="David"/>
          <w:b/>
          <w:b/>
          <w:bCs/>
          <w:rtl w:val="true"/>
        </w:rPr>
        <w:t>עשויים להיווצר מצבים קיצוניים אשר אינם מתאימים להחלת העקרון העונשי הרחב</w:t>
      </w:r>
      <w:r>
        <w:rPr>
          <w:rFonts w:cs="David" w:ascii="David" w:hAnsi="David"/>
          <w:b/>
          <w:bCs/>
          <w:rtl w:val="true"/>
        </w:rPr>
        <w:t xml:space="preserve">, </w:t>
      </w:r>
      <w:r>
        <w:rPr>
          <w:rFonts w:ascii="David" w:hAnsi="David"/>
          <w:b/>
          <w:b/>
          <w:bCs/>
          <w:rtl w:val="true"/>
        </w:rPr>
        <w:t>המחייב הרשעה פלילית בעקבות הוכחת אשמה</w:t>
      </w:r>
      <w:r>
        <w:rPr>
          <w:rFonts w:cs="David" w:ascii="David" w:hAnsi="David"/>
          <w:b/>
          <w:bCs/>
          <w:rtl w:val="true"/>
        </w:rPr>
        <w:t xml:space="preserve">. </w:t>
      </w:r>
      <w:r>
        <w:rPr>
          <w:rFonts w:ascii="David" w:hAnsi="David"/>
          <w:b/>
          <w:b/>
          <w:bCs/>
          <w:rtl w:val="true"/>
        </w:rPr>
        <w:t>במצבים חריגים מיוחדים ויוצאי דופן</w:t>
      </w:r>
      <w:r>
        <w:rPr>
          <w:rFonts w:cs="David" w:ascii="David" w:hAnsi="David"/>
          <w:b/>
          <w:bCs/>
          <w:rtl w:val="true"/>
        </w:rPr>
        <w:t xml:space="preserve">, </w:t>
      </w:r>
      <w:r>
        <w:rPr>
          <w:rFonts w:ascii="David" w:hAnsi="David"/>
          <w:b/>
          <w:b/>
          <w:bCs/>
          <w:rtl w:val="true"/>
        </w:rPr>
        <w:t>כאשר עלול להיווצר פער בלתי נסבל בין עוצמת פגיעתה של ההרשעה הפלילית בנאשם האינדיבידואלי לבין תועלתה של ההרשעה לאינטרס הציבורי</w:t>
      </w:r>
      <w:r>
        <w:rPr>
          <w:rFonts w:cs="David" w:ascii="David" w:hAnsi="David"/>
          <w:b/>
          <w:bCs/>
          <w:rtl w:val="true"/>
        </w:rPr>
        <w:t>-</w:t>
      </w:r>
      <w:r>
        <w:rPr>
          <w:rFonts w:ascii="David" w:hAnsi="David"/>
          <w:b/>
          <w:b/>
          <w:bCs/>
          <w:rtl w:val="true"/>
        </w:rPr>
        <w:t>חברתי הכללי</w:t>
      </w:r>
      <w:r>
        <w:rPr>
          <w:rFonts w:cs="David" w:ascii="David" w:hAnsi="David"/>
          <w:b/>
          <w:bCs/>
          <w:rtl w:val="true"/>
        </w:rPr>
        <w:t xml:space="preserve">, </w:t>
      </w:r>
      <w:r>
        <w:rPr>
          <w:rFonts w:ascii="David" w:hAnsi="David"/>
          <w:b/>
          <w:b/>
          <w:bCs/>
          <w:rtl w:val="true"/>
        </w:rPr>
        <w:t>נתון בידי בית המשפט הכח להחליט כי</w:t>
      </w:r>
      <w:r>
        <w:rPr>
          <w:rFonts w:cs="David" w:ascii="David" w:hAnsi="David"/>
          <w:b/>
          <w:bCs/>
          <w:rtl w:val="true"/>
        </w:rPr>
        <w:t xml:space="preserve">, </w:t>
      </w:r>
      <w:r>
        <w:rPr>
          <w:rFonts w:ascii="David" w:hAnsi="David"/>
          <w:b/>
          <w:b/>
          <w:bCs/>
          <w:rtl w:val="true"/>
        </w:rPr>
        <w:t>חרף אשמתו של הנאשם</w:t>
      </w:r>
      <w:r>
        <w:rPr>
          <w:rFonts w:cs="David" w:ascii="David" w:hAnsi="David"/>
          <w:b/>
          <w:bCs/>
          <w:rtl w:val="true"/>
        </w:rPr>
        <w:t xml:space="preserve">, </w:t>
      </w:r>
      <w:r>
        <w:rPr>
          <w:rFonts w:ascii="David" w:hAnsi="David"/>
          <w:b/>
          <w:b/>
          <w:bCs/>
          <w:rtl w:val="true"/>
        </w:rPr>
        <w:t>הוא לא יורשע בדין</w:t>
      </w:r>
      <w:r>
        <w:rPr>
          <w:rFonts w:cs="David" w:ascii="David" w:hAnsi="David"/>
          <w:b/>
          <w:bCs/>
          <w:rtl w:val="true"/>
        </w:rPr>
        <w:t>.</w:t>
      </w:r>
    </w:p>
    <w:p>
      <w:pPr>
        <w:pStyle w:val="Normal"/>
        <w:ind w:start="1127" w:end="426"/>
        <w:jc w:val="both"/>
        <w:rPr>
          <w:rFonts w:ascii="David" w:hAnsi="David" w:cs="David"/>
          <w:b/>
          <w:bCs/>
        </w:rPr>
      </w:pPr>
      <w:r>
        <w:rPr>
          <w:rFonts w:cs="David" w:ascii="David" w:hAnsi="David"/>
          <w:b/>
          <w:bCs/>
          <w:rtl w:val="true"/>
        </w:rPr>
      </w:r>
    </w:p>
    <w:p>
      <w:pPr>
        <w:pStyle w:val="Normal"/>
        <w:ind w:start="1127" w:end="426"/>
        <w:jc w:val="both"/>
        <w:rPr>
          <w:rFonts w:ascii="David" w:hAnsi="David" w:cs="David"/>
          <w:b/>
          <w:bCs/>
        </w:rPr>
      </w:pPr>
      <w:r>
        <w:rPr>
          <w:rFonts w:cs="David" w:ascii="David" w:hAnsi="David"/>
          <w:b/>
          <w:bCs/>
          <w:rtl w:val="true"/>
        </w:rPr>
        <w:t>...</w:t>
      </w:r>
    </w:p>
    <w:p>
      <w:pPr>
        <w:pStyle w:val="Normal"/>
        <w:spacing w:lineRule="auto" w:line="360"/>
        <w:ind w:end="0"/>
        <w:jc w:val="both"/>
        <w:rPr>
          <w:rFonts w:ascii="David" w:hAnsi="David" w:cs="David"/>
          <w:b/>
          <w:bCs/>
        </w:rPr>
      </w:pPr>
      <w:r>
        <w:rPr>
          <w:rFonts w:cs="David" w:ascii="David" w:hAnsi="David"/>
          <w:b/>
          <w:bCs/>
          <w:rtl w:val="true"/>
        </w:rPr>
      </w:r>
    </w:p>
    <w:p>
      <w:pPr>
        <w:pStyle w:val="Normal"/>
        <w:ind w:start="1127" w:end="426"/>
        <w:jc w:val="both"/>
        <w:rPr>
          <w:rFonts w:ascii="David" w:hAnsi="David" w:cs="David"/>
          <w:b/>
          <w:bCs/>
        </w:rPr>
      </w:pPr>
      <w:r>
        <w:rPr>
          <w:rFonts w:ascii="David" w:hAnsi="David"/>
          <w:b/>
          <w:b/>
          <w:bCs/>
          <w:rtl w:val="true"/>
        </w:rPr>
        <w:t>מקום שבנסיבות מיוחדות וחריגות עלול להיווצר יחס בלתי סביר באורח קיצוני בין חשיבות ההרשעה לאינטרס הציבורי הכללי לבין עוצמת הפגיעה בנאשם הצפויה מההרשעה</w:t>
      </w:r>
      <w:r>
        <w:rPr>
          <w:rFonts w:cs="David" w:ascii="David" w:hAnsi="David"/>
          <w:b/>
          <w:bCs/>
          <w:rtl w:val="true"/>
        </w:rPr>
        <w:t xml:space="preserve">, </w:t>
      </w:r>
      <w:r>
        <w:rPr>
          <w:rFonts w:ascii="David" w:hAnsi="David"/>
          <w:b/>
          <w:b/>
          <w:bCs/>
          <w:rtl w:val="true"/>
        </w:rPr>
        <w:t>עשויה לקום הצדקה לעשות שימוש בסמכות השיפוטית של אי הרשעה</w:t>
      </w:r>
      <w:r>
        <w:rPr>
          <w:rFonts w:cs="David" w:ascii="David" w:hAnsi="David"/>
          <w:b/>
          <w:bCs/>
          <w:rtl w:val="true"/>
        </w:rPr>
        <w:t xml:space="preserve">. </w:t>
      </w:r>
      <w:r>
        <w:rPr>
          <w:rFonts w:ascii="David" w:hAnsi="David"/>
          <w:b/>
          <w:b/>
          <w:bCs/>
          <w:rtl w:val="true"/>
        </w:rPr>
        <w:t>לצורך כך</w:t>
      </w:r>
      <w:r>
        <w:rPr>
          <w:rFonts w:cs="David" w:ascii="David" w:hAnsi="David"/>
          <w:b/>
          <w:bCs/>
          <w:rtl w:val="true"/>
        </w:rPr>
        <w:t xml:space="preserve">, </w:t>
      </w:r>
      <w:r>
        <w:rPr>
          <w:rFonts w:ascii="David" w:hAnsi="David"/>
          <w:b/>
          <w:b/>
          <w:bCs/>
          <w:rtl w:val="true"/>
        </w:rPr>
        <w:t>יש להתחשב</w:t>
      </w:r>
      <w:r>
        <w:rPr>
          <w:rFonts w:cs="David" w:ascii="David" w:hAnsi="David"/>
          <w:b/>
          <w:bCs/>
          <w:rtl w:val="true"/>
        </w:rPr>
        <w:t xml:space="preserve">, </w:t>
      </w:r>
      <w:r>
        <w:rPr>
          <w:rFonts w:ascii="David" w:hAnsi="David"/>
          <w:b/>
          <w:b/>
          <w:bCs/>
          <w:rtl w:val="true"/>
        </w:rPr>
        <w:t>מן הצד האחד</w:t>
      </w:r>
      <w:r>
        <w:rPr>
          <w:rFonts w:cs="David" w:ascii="David" w:hAnsi="David"/>
          <w:b/>
          <w:bCs/>
          <w:rtl w:val="true"/>
        </w:rPr>
        <w:t xml:space="preserve">, </w:t>
      </w:r>
      <w:r>
        <w:rPr>
          <w:rFonts w:ascii="David" w:hAnsi="David"/>
          <w:b/>
          <w:b/>
          <w:bCs/>
          <w:rtl w:val="true"/>
        </w:rPr>
        <w:t>במשמעותה של העבירה שנעברה מבחינת השלכתה על הנורמות החברתיות</w:t>
      </w:r>
      <w:r>
        <w:rPr>
          <w:rFonts w:cs="David" w:ascii="David" w:hAnsi="David"/>
          <w:b/>
          <w:bCs/>
          <w:rtl w:val="true"/>
        </w:rPr>
        <w:t xml:space="preserve">, </w:t>
      </w:r>
      <w:r>
        <w:rPr>
          <w:rFonts w:ascii="David" w:hAnsi="David"/>
          <w:b/>
          <w:b/>
          <w:bCs/>
          <w:rtl w:val="true"/>
        </w:rPr>
        <w:t>והמסר הציבורי המתחייב מהן</w:t>
      </w:r>
      <w:r>
        <w:rPr>
          <w:rFonts w:cs="David" w:ascii="David" w:hAnsi="David"/>
          <w:b/>
          <w:bCs/>
          <w:rtl w:val="true"/>
        </w:rPr>
        <w:t xml:space="preserve">; </w:t>
      </w:r>
      <w:r>
        <w:rPr>
          <w:rFonts w:ascii="David" w:hAnsi="David"/>
          <w:b/>
          <w:b/>
          <w:bCs/>
          <w:rtl w:val="true"/>
        </w:rPr>
        <w:t>יש להתחשב בזהותו של עובר העבירה ובמעמדו בציבור</w:t>
      </w:r>
      <w:r>
        <w:rPr>
          <w:rFonts w:cs="David" w:ascii="David" w:hAnsi="David"/>
          <w:b/>
          <w:bCs/>
          <w:rtl w:val="true"/>
        </w:rPr>
        <w:t xml:space="preserve">, </w:t>
      </w:r>
      <w:r>
        <w:rPr>
          <w:rFonts w:ascii="David" w:hAnsi="David"/>
          <w:b/>
          <w:b/>
          <w:bCs/>
          <w:rtl w:val="true"/>
        </w:rPr>
        <w:t>ולבחון באיזו מידה זהותו משפיעה על עוצמת הפגיעה שנגרמה מהעבירה על המערכת הציבורית</w:t>
      </w:r>
      <w:r>
        <w:rPr>
          <w:rFonts w:cs="David" w:ascii="David" w:hAnsi="David"/>
          <w:b/>
          <w:bCs/>
          <w:rtl w:val="true"/>
        </w:rPr>
        <w:t xml:space="preserve">; </w:t>
      </w:r>
      <w:r>
        <w:rPr>
          <w:rFonts w:ascii="David" w:hAnsi="David"/>
          <w:b/>
          <w:b/>
          <w:bCs/>
          <w:rtl w:val="true"/>
        </w:rPr>
        <w:t>יש לשקול במבט רחב גם את השפעת אי ההרשעה על ההליך הפלילי בכללותו</w:t>
      </w:r>
      <w:r>
        <w:rPr>
          <w:rFonts w:cs="David" w:ascii="David" w:hAnsi="David"/>
          <w:b/>
          <w:bCs/>
          <w:rtl w:val="true"/>
        </w:rPr>
        <w:t xml:space="preserve">, </w:t>
      </w:r>
      <w:r>
        <w:rPr>
          <w:rFonts w:ascii="David" w:hAnsi="David"/>
          <w:b/>
          <w:b/>
          <w:bCs/>
          <w:rtl w:val="true"/>
        </w:rPr>
        <w:t>ואת המסר החברתי שאי הרשעה עלול לאצור בחובו בנסיבות הענין הספציפי</w:t>
      </w:r>
      <w:r>
        <w:rPr>
          <w:rFonts w:cs="David" w:ascii="David" w:hAnsi="David"/>
          <w:b/>
          <w:bCs/>
          <w:rtl w:val="true"/>
        </w:rPr>
        <w:t>.</w:t>
      </w:r>
    </w:p>
    <w:p>
      <w:pPr>
        <w:pStyle w:val="Normal"/>
        <w:ind w:start="1127" w:end="426"/>
        <w:jc w:val="both"/>
        <w:rPr>
          <w:rFonts w:ascii="David" w:hAnsi="David" w:cs="David"/>
          <w:b/>
          <w:bCs/>
        </w:rPr>
      </w:pPr>
      <w:r>
        <w:rPr>
          <w:rFonts w:cs="David" w:ascii="David" w:hAnsi="David"/>
          <w:b/>
          <w:bCs/>
          <w:rtl w:val="true"/>
        </w:rPr>
      </w:r>
    </w:p>
    <w:p>
      <w:pPr>
        <w:pStyle w:val="Normal"/>
        <w:ind w:start="1127" w:end="426"/>
        <w:jc w:val="both"/>
        <w:rPr>
          <w:rFonts w:ascii="David" w:hAnsi="David" w:cs="David"/>
          <w:b/>
          <w:bCs/>
        </w:rPr>
      </w:pPr>
      <w:r>
        <w:rPr>
          <w:rFonts w:cs="David" w:ascii="David" w:hAnsi="David"/>
          <w:b/>
          <w:bCs/>
          <w:rtl w:val="true"/>
        </w:rPr>
      </w:r>
    </w:p>
    <w:p>
      <w:pPr>
        <w:pStyle w:val="Normal"/>
        <w:ind w:start="1127" w:end="426"/>
        <w:jc w:val="both"/>
        <w:rPr>
          <w:rFonts w:ascii="David" w:hAnsi="David" w:cs="David"/>
          <w:b/>
          <w:bCs/>
        </w:rPr>
      </w:pPr>
      <w:r>
        <w:rPr>
          <w:rFonts w:ascii="David" w:hAnsi="David"/>
          <w:b/>
          <w:b/>
          <w:bCs/>
          <w:rtl w:val="true"/>
        </w:rPr>
        <w:t>מנגד</w:t>
      </w:r>
      <w:r>
        <w:rPr>
          <w:rFonts w:cs="David" w:ascii="David" w:hAnsi="David"/>
          <w:b/>
          <w:bCs/>
          <w:rtl w:val="true"/>
        </w:rPr>
        <w:t xml:space="preserve">, </w:t>
      </w:r>
      <w:r>
        <w:rPr>
          <w:rFonts w:ascii="David" w:hAnsi="David"/>
          <w:b/>
          <w:b/>
          <w:bCs/>
          <w:rtl w:val="true"/>
        </w:rPr>
        <w:t>יש לתת את הדעת לנאשם האינדיבידואלי</w:t>
      </w:r>
      <w:r>
        <w:rPr>
          <w:rFonts w:cs="David" w:ascii="David" w:hAnsi="David"/>
          <w:b/>
          <w:bCs/>
          <w:rtl w:val="true"/>
        </w:rPr>
        <w:t xml:space="preserve">, </w:t>
      </w:r>
      <w:r>
        <w:rPr>
          <w:rFonts w:ascii="David" w:hAnsi="David"/>
          <w:b/>
          <w:b/>
          <w:bCs/>
          <w:rtl w:val="true"/>
        </w:rPr>
        <w:t>לנסיבותיו האישיות המיוחדות</w:t>
      </w:r>
      <w:r>
        <w:rPr>
          <w:rFonts w:cs="David" w:ascii="David" w:hAnsi="David"/>
          <w:b/>
          <w:bCs/>
          <w:rtl w:val="true"/>
        </w:rPr>
        <w:t xml:space="preserve">, </w:t>
      </w:r>
      <w:r>
        <w:rPr>
          <w:rFonts w:ascii="David" w:hAnsi="David"/>
          <w:b/>
          <w:b/>
          <w:bCs/>
          <w:rtl w:val="true"/>
        </w:rPr>
        <w:t>ולהשפעת ההרשעה על חייו</w:t>
      </w:r>
      <w:r>
        <w:rPr>
          <w:rFonts w:cs="David" w:ascii="David" w:hAnsi="David"/>
          <w:b/>
          <w:bCs/>
          <w:rtl w:val="true"/>
        </w:rPr>
        <w:t xml:space="preserve">, </w:t>
      </w:r>
      <w:r>
        <w:rPr>
          <w:rFonts w:ascii="David" w:hAnsi="David"/>
          <w:b/>
          <w:b/>
          <w:bCs/>
          <w:rtl w:val="true"/>
        </w:rPr>
        <w:t>ועל סיכויי שיקומו</w:t>
      </w:r>
      <w:r>
        <w:rPr>
          <w:rFonts w:cs="David" w:ascii="David" w:hAnsi="David"/>
          <w:b/>
          <w:bCs/>
          <w:rtl w:val="true"/>
        </w:rPr>
        <w:t xml:space="preserve">; </w:t>
      </w:r>
      <w:r>
        <w:rPr>
          <w:rFonts w:ascii="David" w:hAnsi="David"/>
          <w:b/>
          <w:b/>
          <w:bCs/>
          <w:rtl w:val="true"/>
        </w:rPr>
        <w:t>יש לקחת בחשבון נסיבות אישיות שונות – גיל</w:t>
      </w:r>
      <w:r>
        <w:rPr>
          <w:rFonts w:cs="David" w:ascii="David" w:hAnsi="David"/>
          <w:b/>
          <w:bCs/>
          <w:rtl w:val="true"/>
        </w:rPr>
        <w:t xml:space="preserve">, </w:t>
      </w:r>
      <w:r>
        <w:rPr>
          <w:rFonts w:ascii="David" w:hAnsi="David"/>
          <w:b/>
          <w:b/>
          <w:bCs/>
          <w:rtl w:val="true"/>
        </w:rPr>
        <w:t>עבר פלילי קודם</w:t>
      </w:r>
      <w:r>
        <w:rPr>
          <w:rFonts w:cs="David" w:ascii="David" w:hAnsi="David"/>
          <w:b/>
          <w:bCs/>
          <w:rtl w:val="true"/>
        </w:rPr>
        <w:t xml:space="preserve">, </w:t>
      </w:r>
      <w:r>
        <w:rPr>
          <w:rFonts w:ascii="David" w:hAnsi="David"/>
          <w:b/>
          <w:b/>
          <w:bCs/>
          <w:rtl w:val="true"/>
        </w:rPr>
        <w:t>ונתונים שונים הקשורים למצבו האישי והבריאותי</w:t>
      </w:r>
      <w:r>
        <w:rPr>
          <w:rFonts w:cs="David" w:ascii="David" w:hAnsi="David"/>
          <w:b/>
          <w:bCs/>
          <w:rtl w:val="true"/>
        </w:rPr>
        <w:t xml:space="preserve">. </w:t>
      </w:r>
      <w:r>
        <w:rPr>
          <w:rFonts w:ascii="David" w:hAnsi="David"/>
          <w:b/>
          <w:b/>
          <w:bCs/>
          <w:rtl w:val="true"/>
        </w:rPr>
        <w:t>יש לבחון את השפעת ההרשעה על עיסוקו המקצועי של הנאשם</w:t>
      </w:r>
      <w:r>
        <w:rPr>
          <w:rFonts w:cs="David" w:ascii="David" w:hAnsi="David"/>
          <w:b/>
          <w:bCs/>
          <w:rtl w:val="true"/>
        </w:rPr>
        <w:t xml:space="preserve">, </w:t>
      </w:r>
      <w:r>
        <w:rPr>
          <w:rFonts w:ascii="David" w:hAnsi="David"/>
          <w:b/>
          <w:b/>
          <w:bCs/>
          <w:rtl w:val="true"/>
        </w:rPr>
        <w:t>ועל מצבו הכלכלי והמשפחתי</w:t>
      </w:r>
      <w:r>
        <w:rPr>
          <w:rFonts w:cs="David" w:ascii="David" w:hAnsi="David"/>
          <w:b/>
          <w:bCs/>
          <w:rtl w:val="true"/>
        </w:rPr>
        <w:t xml:space="preserve">. </w:t>
      </w:r>
      <w:r>
        <w:rPr>
          <w:rFonts w:ascii="David" w:hAnsi="David"/>
          <w:b/>
          <w:b/>
          <w:bCs/>
          <w:rtl w:val="true"/>
        </w:rPr>
        <w:t>בסופו של יום</w:t>
      </w:r>
      <w:r>
        <w:rPr>
          <w:rFonts w:cs="David" w:ascii="David" w:hAnsi="David"/>
          <w:b/>
          <w:bCs/>
          <w:rtl w:val="true"/>
        </w:rPr>
        <w:t xml:space="preserve">, </w:t>
      </w:r>
      <w:r>
        <w:rPr>
          <w:rFonts w:ascii="David" w:hAnsi="David"/>
          <w:b/>
          <w:b/>
          <w:bCs/>
          <w:rtl w:val="true"/>
        </w:rPr>
        <w:t>ניצבת השאלה בכל עוצמתה – האם</w:t>
      </w:r>
      <w:r>
        <w:rPr>
          <w:rFonts w:cs="David" w:ascii="David" w:hAnsi="David"/>
          <w:b/>
          <w:bCs/>
          <w:rtl w:val="true"/>
        </w:rPr>
        <w:t xml:space="preserve">, </w:t>
      </w:r>
      <w:r>
        <w:rPr>
          <w:rFonts w:ascii="David" w:hAnsi="David"/>
          <w:b/>
          <w:b/>
          <w:bCs/>
          <w:rtl w:val="true"/>
        </w:rPr>
        <w:t>בנסיבות המיוחדות של הענין</w:t>
      </w:r>
      <w:r>
        <w:rPr>
          <w:rFonts w:cs="David" w:ascii="David" w:hAnsi="David"/>
          <w:b/>
          <w:bCs/>
          <w:rtl w:val="true"/>
        </w:rPr>
        <w:t xml:space="preserve">, </w:t>
      </w:r>
      <w:r>
        <w:rPr>
          <w:rFonts w:ascii="David" w:hAnsi="David"/>
          <w:b/>
          <w:b/>
          <w:bCs/>
          <w:rtl w:val="true"/>
        </w:rPr>
        <w:t>השיקול האינדיבידואלי</w:t>
      </w:r>
      <w:r>
        <w:rPr>
          <w:rFonts w:cs="David" w:ascii="David" w:hAnsi="David"/>
          <w:b/>
          <w:bCs/>
          <w:rtl w:val="true"/>
        </w:rPr>
        <w:t xml:space="preserve">, </w:t>
      </w:r>
      <w:r>
        <w:rPr>
          <w:rFonts w:ascii="David" w:hAnsi="David"/>
          <w:b/>
          <w:b/>
          <w:bCs/>
          <w:rtl w:val="true"/>
        </w:rPr>
        <w:t>על היבטיו השונים</w:t>
      </w:r>
      <w:r>
        <w:rPr>
          <w:rFonts w:cs="David" w:ascii="David" w:hAnsi="David"/>
          <w:b/>
          <w:bCs/>
          <w:rtl w:val="true"/>
        </w:rPr>
        <w:t xml:space="preserve">, </w:t>
      </w:r>
      <w:r>
        <w:rPr>
          <w:rFonts w:ascii="David" w:hAnsi="David"/>
          <w:b/>
          <w:b/>
          <w:bCs/>
          <w:rtl w:val="true"/>
        </w:rPr>
        <w:t>גובר על השיקול הציבורי</w:t>
      </w:r>
      <w:r>
        <w:rPr>
          <w:rFonts w:cs="David" w:ascii="David" w:hAnsi="David"/>
          <w:b/>
          <w:bCs/>
          <w:rtl w:val="true"/>
        </w:rPr>
        <w:t>-</w:t>
      </w:r>
      <w:r>
        <w:rPr>
          <w:rFonts w:ascii="David" w:hAnsi="David"/>
          <w:b/>
          <w:b/>
          <w:bCs/>
          <w:rtl w:val="true"/>
        </w:rPr>
        <w:t>מערכתי הכללי</w:t>
      </w:r>
      <w:r>
        <w:rPr>
          <w:rFonts w:cs="David" w:ascii="David" w:hAnsi="David"/>
          <w:b/>
          <w:bCs/>
          <w:rtl w:val="true"/>
        </w:rPr>
        <w:t xml:space="preserve">, </w:t>
      </w:r>
      <w:r>
        <w:rPr>
          <w:rFonts w:ascii="David" w:hAnsi="David"/>
          <w:b/>
          <w:b/>
          <w:bCs/>
          <w:rtl w:val="true"/>
        </w:rPr>
        <w:t>באופן שהגם שהנאשם ביצע את העבירה בה הואשם</w:t>
      </w:r>
      <w:r>
        <w:rPr>
          <w:rFonts w:cs="David" w:ascii="David" w:hAnsi="David"/>
          <w:b/>
          <w:bCs/>
          <w:rtl w:val="true"/>
        </w:rPr>
        <w:t xml:space="preserve">, </w:t>
      </w:r>
      <w:r>
        <w:rPr>
          <w:rFonts w:ascii="David" w:hAnsi="David"/>
          <w:b/>
          <w:b/>
          <w:bCs/>
          <w:rtl w:val="true"/>
        </w:rPr>
        <w:t>סובלת הנורמה החברתית הכללית את אי הרשעתו בדין</w:t>
      </w:r>
      <w:r>
        <w:rPr>
          <w:rFonts w:cs="David" w:ascii="David" w:hAnsi="David"/>
          <w:b/>
          <w:bCs/>
          <w:rtl w:val="true"/>
        </w:rPr>
        <w:t>."</w:t>
      </w:r>
    </w:p>
    <w:p>
      <w:pPr>
        <w:pStyle w:val="Normal"/>
        <w:spacing w:lineRule="auto" w:line="360"/>
        <w:ind w:start="720" w:end="0"/>
        <w:jc w:val="both"/>
        <w:rPr>
          <w:rFonts w:ascii="David" w:hAnsi="David" w:cs="David"/>
          <w:b/>
          <w:bCs/>
        </w:rPr>
      </w:pPr>
      <w:r>
        <w:rPr>
          <w:rFonts w:cs="David" w:ascii="David" w:hAnsi="David"/>
          <w:b/>
          <w:bCs/>
          <w:rtl w:val="true"/>
        </w:rPr>
      </w:r>
    </w:p>
    <w:p>
      <w:pPr>
        <w:pStyle w:val="Normal"/>
        <w:spacing w:lineRule="auto" w:line="360"/>
        <w:ind w:hanging="720" w:start="720" w:end="0"/>
        <w:jc w:val="both"/>
        <w:rPr>
          <w:rFonts w:ascii="David" w:hAnsi="David" w:cs="David"/>
        </w:rPr>
      </w:pPr>
      <w:r>
        <w:rPr>
          <w:rFonts w:cs="David" w:ascii="David" w:hAnsi="David"/>
        </w:rPr>
        <w:t>13</w:t>
      </w:r>
      <w:r>
        <w:rPr>
          <w:rFonts w:cs="David" w:ascii="David" w:hAnsi="David"/>
          <w:rtl w:val="true"/>
        </w:rPr>
        <w:t>.</w:t>
        <w:tab/>
      </w:r>
      <w:r>
        <w:rPr>
          <w:rFonts w:ascii="David" w:hAnsi="David"/>
          <w:rtl w:val="true"/>
        </w:rPr>
        <w:t>בעניינינו</w:t>
      </w:r>
      <w:r>
        <w:rPr>
          <w:rFonts w:cs="David" w:ascii="David" w:hAnsi="David"/>
          <w:rtl w:val="true"/>
        </w:rPr>
        <w:t xml:space="preserve">, </w:t>
      </w:r>
      <w:r>
        <w:rPr>
          <w:rFonts w:ascii="David" w:hAnsi="David"/>
          <w:rtl w:val="true"/>
        </w:rPr>
        <w:t>המשיב הודה בביצוע עבירה של גידול</w:t>
      </w:r>
      <w:r>
        <w:rPr>
          <w:rFonts w:cs="David" w:ascii="David" w:hAnsi="David"/>
          <w:rtl w:val="true"/>
        </w:rPr>
        <w:t>/</w:t>
      </w:r>
      <w:r>
        <w:rPr>
          <w:rFonts w:ascii="David" w:hAnsi="David"/>
          <w:rtl w:val="true"/>
        </w:rPr>
        <w:t>ייצור</w:t>
      </w:r>
      <w:r>
        <w:rPr>
          <w:rFonts w:cs="David" w:ascii="David" w:hAnsi="David"/>
          <w:rtl w:val="true"/>
        </w:rPr>
        <w:t>/</w:t>
      </w:r>
      <w:r>
        <w:rPr>
          <w:rFonts w:ascii="David" w:hAnsi="David"/>
          <w:rtl w:val="true"/>
        </w:rPr>
        <w:t>הכנת סמים מסוכנים</w:t>
      </w:r>
      <w:r>
        <w:rPr>
          <w:rFonts w:cs="David" w:ascii="David" w:hAnsi="David"/>
          <w:rtl w:val="true"/>
        </w:rPr>
        <w:t xml:space="preserve">. </w:t>
      </w:r>
      <w:r>
        <w:rPr>
          <w:rFonts w:ascii="David" w:hAnsi="David"/>
          <w:rtl w:val="true"/>
        </w:rPr>
        <w:t>בית משפט קמא הורה לאחר הודאת המשיב בעובדות כתב האישום המתוקן</w:t>
      </w:r>
      <w:r>
        <w:rPr>
          <w:rFonts w:cs="David" w:ascii="David" w:hAnsi="David"/>
          <w:rtl w:val="true"/>
        </w:rPr>
        <w:t xml:space="preserve">, </w:t>
      </w:r>
      <w:r>
        <w:rPr>
          <w:rFonts w:ascii="David" w:hAnsi="David"/>
          <w:rtl w:val="true"/>
        </w:rPr>
        <w:t>על קבלת תסקיר שירות מבחן בעניינו</w:t>
      </w:r>
      <w:r>
        <w:rPr>
          <w:rFonts w:cs="David" w:ascii="David" w:hAnsi="David"/>
          <w:rtl w:val="true"/>
        </w:rPr>
        <w:t xml:space="preserve">, </w:t>
      </w:r>
      <w:r>
        <w:rPr>
          <w:rFonts w:ascii="David" w:hAnsi="David"/>
          <w:rtl w:val="true"/>
        </w:rPr>
        <w:t>ולבסוף החליט להימנע מהרשעת המשיב</w:t>
      </w:r>
      <w:r>
        <w:rPr>
          <w:rFonts w:cs="David" w:ascii="David" w:hAnsi="David"/>
          <w:rtl w:val="true"/>
        </w:rPr>
        <w:t xml:space="preserve">, </w:t>
      </w:r>
      <w:r>
        <w:rPr>
          <w:rFonts w:ascii="David" w:hAnsi="David"/>
          <w:rtl w:val="true"/>
        </w:rPr>
        <w:t>בין היתר על סמך התרשמותו מהעדים שנשמעו במהלך הטיעונים לעונש ולאחר שהשתכנע</w:t>
      </w:r>
      <w:r>
        <w:rPr>
          <w:rFonts w:cs="David" w:ascii="David" w:hAnsi="David"/>
          <w:rtl w:val="true"/>
        </w:rPr>
        <w:t xml:space="preserve">, </w:t>
      </w:r>
      <w:r>
        <w:rPr>
          <w:rFonts w:ascii="David" w:hAnsi="David"/>
          <w:rtl w:val="true"/>
        </w:rPr>
        <w:t>כי בעניינו של המשיב</w:t>
      </w:r>
      <w:r>
        <w:rPr>
          <w:rFonts w:cs="David" w:ascii="David" w:hAnsi="David"/>
          <w:rtl w:val="true"/>
        </w:rPr>
        <w:t xml:space="preserve">, </w:t>
      </w:r>
      <w:r>
        <w:rPr>
          <w:rFonts w:ascii="David" w:hAnsi="David"/>
          <w:rtl w:val="true"/>
        </w:rPr>
        <w:t>קיימים שיקולי שיקום המצדיקים אי הרשעה</w:t>
      </w:r>
      <w:r>
        <w:rPr>
          <w:rFonts w:cs="David" w:ascii="David" w:hAnsi="David"/>
          <w:rtl w:val="true"/>
        </w:rPr>
        <w:t xml:space="preserve">. </w:t>
      </w:r>
    </w:p>
    <w:p>
      <w:pPr>
        <w:pStyle w:val="Normal"/>
        <w:spacing w:lineRule="auto" w:line="360"/>
        <w:ind w:hanging="720" w:start="720" w:end="0"/>
        <w:jc w:val="both"/>
        <w:rPr>
          <w:rFonts w:ascii="David" w:hAnsi="David" w:cs="David"/>
        </w:rPr>
      </w:pPr>
      <w:r>
        <w:rPr>
          <w:rFonts w:cs="David" w:ascii="David" w:hAnsi="David"/>
          <w:rtl w:val="true"/>
        </w:rPr>
      </w:r>
    </w:p>
    <w:p>
      <w:pPr>
        <w:pStyle w:val="Normal"/>
        <w:spacing w:lineRule="auto" w:line="360"/>
        <w:ind w:hanging="720" w:start="720" w:end="0"/>
        <w:jc w:val="both"/>
        <w:rPr>
          <w:rFonts w:ascii="David" w:hAnsi="David" w:cs="David"/>
        </w:rPr>
      </w:pPr>
      <w:r>
        <w:rPr>
          <w:rFonts w:cs="David" w:ascii="David" w:hAnsi="David"/>
        </w:rPr>
        <w:t>14</w:t>
      </w:r>
      <w:r>
        <w:rPr>
          <w:rFonts w:cs="David" w:ascii="David" w:hAnsi="David"/>
          <w:rtl w:val="true"/>
        </w:rPr>
        <w:t>.</w:t>
        <w:tab/>
      </w:r>
      <w:r>
        <w:rPr>
          <w:rFonts w:ascii="David" w:hAnsi="David"/>
          <w:rtl w:val="true"/>
        </w:rPr>
        <w:t>המערערת אינה מסכימה עם החלטת בית משפט קמא</w:t>
      </w:r>
      <w:r>
        <w:rPr>
          <w:rFonts w:cs="David" w:ascii="David" w:hAnsi="David"/>
          <w:rtl w:val="true"/>
        </w:rPr>
        <w:t xml:space="preserve">, </w:t>
      </w:r>
      <w:r>
        <w:rPr>
          <w:rFonts w:ascii="David" w:hAnsi="David"/>
          <w:rtl w:val="true"/>
        </w:rPr>
        <w:t>ובמסגרת הערעור טענה</w:t>
      </w:r>
      <w:r>
        <w:rPr>
          <w:rFonts w:cs="David" w:ascii="David" w:hAnsi="David"/>
          <w:rtl w:val="true"/>
        </w:rPr>
        <w:t xml:space="preserve">, </w:t>
      </w:r>
      <w:r>
        <w:rPr>
          <w:rFonts w:ascii="David" w:hAnsi="David"/>
          <w:rtl w:val="true"/>
        </w:rPr>
        <w:t>כי שגה בית משפט קמא כאשר נימק החלטתו להימנע מהרשעת המערער</w:t>
      </w:r>
      <w:r>
        <w:rPr>
          <w:rFonts w:cs="David" w:ascii="David" w:hAnsi="David"/>
          <w:rtl w:val="true"/>
        </w:rPr>
        <w:t xml:space="preserve">, </w:t>
      </w:r>
      <w:r>
        <w:rPr>
          <w:rFonts w:ascii="David" w:hAnsi="David"/>
          <w:rtl w:val="true"/>
        </w:rPr>
        <w:t>בין היתר על מסקנות חוות הדעת שהוגשה מטעם ההגנה ואשר הוכנה על ידי ד</w:t>
      </w:r>
      <w:r>
        <w:rPr>
          <w:rFonts w:cs="David" w:ascii="David" w:hAnsi="David"/>
          <w:rtl w:val="true"/>
        </w:rPr>
        <w:t>"</w:t>
      </w:r>
      <w:r>
        <w:rPr>
          <w:rFonts w:ascii="David" w:hAnsi="David"/>
          <w:rtl w:val="true"/>
        </w:rPr>
        <w:t>ר נועם צכנובסקי – המומחה למדעי הצמח</w:t>
      </w:r>
      <w:r>
        <w:rPr>
          <w:rFonts w:cs="David" w:ascii="David" w:hAnsi="David"/>
          <w:rtl w:val="true"/>
        </w:rPr>
        <w:t xml:space="preserve">, </w:t>
      </w:r>
      <w:r>
        <w:rPr>
          <w:rFonts w:ascii="David" w:hAnsi="David"/>
          <w:rtl w:val="true"/>
        </w:rPr>
        <w:t>אשר ציין כי כמות הסם הפעיל בסם שנתפש בבית המשיב נמוכה בהרבה מהנקוב בכתב האישום ועל הסתמכותו של בית משפט קמא על הודעות המשיב והנאשם הנוסף במשטרה מהן הסיק כי חלקו של המשיב בביצוע העבירה נמוך משל חלקו של הנאשם הנוסף</w:t>
      </w:r>
      <w:r>
        <w:rPr>
          <w:rFonts w:cs="David" w:ascii="David" w:hAnsi="David"/>
          <w:rtl w:val="true"/>
        </w:rPr>
        <w:t xml:space="preserve">. </w:t>
      </w:r>
      <w:r>
        <w:rPr>
          <w:rFonts w:ascii="David" w:hAnsi="David"/>
          <w:rtl w:val="true"/>
        </w:rPr>
        <w:t>המערערת טענה</w:t>
      </w:r>
      <w:r>
        <w:rPr>
          <w:rFonts w:cs="David" w:ascii="David" w:hAnsi="David"/>
          <w:rtl w:val="true"/>
        </w:rPr>
        <w:t xml:space="preserve">, </w:t>
      </w:r>
      <w:r>
        <w:rPr>
          <w:rFonts w:ascii="David" w:hAnsi="David"/>
          <w:rtl w:val="true"/>
        </w:rPr>
        <w:t>כי משהודה המשיב בעובדות כתב האישום המתוקן</w:t>
      </w:r>
      <w:r>
        <w:rPr>
          <w:rFonts w:cs="David" w:ascii="David" w:hAnsi="David"/>
          <w:rtl w:val="true"/>
        </w:rPr>
        <w:t xml:space="preserve">, </w:t>
      </w:r>
      <w:r>
        <w:rPr>
          <w:rFonts w:ascii="David" w:hAnsi="David"/>
          <w:rtl w:val="true"/>
        </w:rPr>
        <w:t>לא היה מקום להתחשב בטענות שעומדות בסתירה לאמור בכתב האישום</w:t>
      </w:r>
      <w:r>
        <w:rPr>
          <w:rFonts w:cs="David" w:ascii="David" w:hAnsi="David"/>
          <w:rtl w:val="true"/>
        </w:rPr>
        <w:t xml:space="preserve">. </w:t>
      </w:r>
    </w:p>
    <w:p>
      <w:pPr>
        <w:pStyle w:val="Normal"/>
        <w:spacing w:lineRule="auto" w:line="360"/>
        <w:ind w:hanging="720" w:start="720" w:end="0"/>
        <w:jc w:val="both"/>
        <w:rPr>
          <w:rFonts w:ascii="David" w:hAnsi="David" w:cs="David"/>
        </w:rPr>
      </w:pPr>
      <w:r>
        <w:rPr>
          <w:rFonts w:cs="David" w:ascii="David" w:hAnsi="David"/>
          <w:rtl w:val="true"/>
        </w:rPr>
      </w:r>
    </w:p>
    <w:p>
      <w:pPr>
        <w:pStyle w:val="Normal"/>
        <w:spacing w:lineRule="auto" w:line="360"/>
        <w:ind w:hanging="720" w:start="720" w:end="0"/>
        <w:jc w:val="both"/>
        <w:rPr>
          <w:rFonts w:ascii="David" w:hAnsi="David" w:cs="David"/>
        </w:rPr>
      </w:pPr>
      <w:r>
        <w:rPr>
          <w:rFonts w:cs="David" w:ascii="David" w:hAnsi="David"/>
        </w:rPr>
        <w:t>15</w:t>
      </w:r>
      <w:r>
        <w:rPr>
          <w:rFonts w:cs="David" w:ascii="David" w:hAnsi="David"/>
          <w:rtl w:val="true"/>
        </w:rPr>
        <w:t>.</w:t>
        <w:tab/>
      </w:r>
      <w:r>
        <w:rPr>
          <w:rFonts w:ascii="David" w:hAnsi="David"/>
          <w:rtl w:val="true"/>
        </w:rPr>
        <w:t>אכן</w:t>
      </w:r>
      <w:r>
        <w:rPr>
          <w:rFonts w:cs="David" w:ascii="David" w:hAnsi="David"/>
          <w:rtl w:val="true"/>
        </w:rPr>
        <w:t xml:space="preserve">, </w:t>
      </w:r>
      <w:r>
        <w:rPr>
          <w:rFonts w:ascii="David" w:hAnsi="David"/>
          <w:rtl w:val="true"/>
        </w:rPr>
        <w:t>בית המשפט העליון פסק זה מכבר</w:t>
      </w:r>
      <w:r>
        <w:rPr>
          <w:rFonts w:cs="David" w:ascii="David" w:hAnsi="David"/>
          <w:rtl w:val="true"/>
        </w:rPr>
        <w:t xml:space="preserve">, </w:t>
      </w:r>
      <w:r>
        <w:rPr>
          <w:rFonts w:ascii="David" w:hAnsi="David"/>
          <w:rtl w:val="true"/>
        </w:rPr>
        <w:t>כי ככלל</w:t>
      </w:r>
      <w:r>
        <w:rPr>
          <w:rFonts w:cs="David" w:ascii="David" w:hAnsi="David"/>
          <w:rtl w:val="true"/>
        </w:rPr>
        <w:t xml:space="preserve">, </w:t>
      </w:r>
      <w:r>
        <w:rPr>
          <w:rFonts w:ascii="David" w:hAnsi="David"/>
          <w:rtl w:val="true"/>
        </w:rPr>
        <w:t>על כתב האישום לכלול את כל העובדות והנסיבות הרלוונטיות לביצוע העבירה</w:t>
      </w:r>
      <w:r>
        <w:rPr>
          <w:rFonts w:cs="David" w:ascii="David" w:hAnsi="David"/>
          <w:rtl w:val="true"/>
        </w:rPr>
        <w:t xml:space="preserve">, </w:t>
      </w:r>
      <w:r>
        <w:rPr>
          <w:rFonts w:ascii="David" w:hAnsi="David"/>
          <w:rtl w:val="true"/>
        </w:rPr>
        <w:t>ואל לו לבית המשפט להביא בחשבון בשלב גזירת הדין עובדות שלא בא זכרן בכתב האישום בו הודה הנאשם</w:t>
      </w:r>
      <w:r>
        <w:rPr>
          <w:rFonts w:cs="David" w:ascii="David" w:hAnsi="David"/>
          <w:rtl w:val="true"/>
        </w:rPr>
        <w:t xml:space="preserve">. </w:t>
      </w:r>
      <w:r>
        <w:rPr>
          <w:rFonts w:ascii="David" w:hAnsi="David"/>
          <w:rtl w:val="true"/>
        </w:rPr>
        <w:t>ראו</w:t>
      </w:r>
      <w:r>
        <w:rPr>
          <w:rFonts w:cs="David" w:ascii="David" w:hAnsi="David"/>
          <w:rtl w:val="true"/>
        </w:rPr>
        <w:t xml:space="preserve">: </w:t>
      </w:r>
      <w:hyperlink r:id="rId22">
        <w:r>
          <w:rPr>
            <w:rStyle w:val="Hyperlink"/>
            <w:rFonts w:ascii="David" w:hAnsi="David"/>
            <w:color w:val="0000FF"/>
            <w:u w:val="single"/>
            <w:rtl w:val="true"/>
          </w:rPr>
          <w:t>ע</w:t>
        </w:r>
        <w:r>
          <w:rPr>
            <w:rStyle w:val="Hyperlink"/>
            <w:rFonts w:cs="David" w:ascii="David" w:hAnsi="David"/>
            <w:color w:val="0000FF"/>
            <w:u w:val="single"/>
            <w:rtl w:val="true"/>
          </w:rPr>
          <w:t>"</w:t>
        </w:r>
        <w:r>
          <w:rPr>
            <w:rStyle w:val="Hyperlink"/>
            <w:rFonts w:ascii="David" w:hAnsi="David"/>
            <w:color w:val="0000FF"/>
            <w:u w:val="single"/>
            <w:rtl w:val="true"/>
          </w:rPr>
          <w:t xml:space="preserve">פ </w:t>
        </w:r>
        <w:r>
          <w:rPr>
            <w:rStyle w:val="Hyperlink"/>
            <w:rFonts w:cs="David" w:ascii="David" w:hAnsi="David"/>
            <w:color w:val="0000FF"/>
            <w:u w:val="single"/>
          </w:rPr>
          <w:t>4289/14</w:t>
        </w:r>
      </w:hyperlink>
      <w:r>
        <w:rPr>
          <w:rFonts w:cs="David" w:ascii="David" w:hAnsi="David"/>
          <w:rtl w:val="true"/>
        </w:rPr>
        <w:t xml:space="preserve"> </w:t>
      </w:r>
      <w:r>
        <w:rPr>
          <w:rFonts w:ascii="David" w:hAnsi="David"/>
          <w:b/>
          <w:b/>
          <w:bCs/>
          <w:rtl w:val="true"/>
        </w:rPr>
        <w:t>אורן חנונה נ</w:t>
      </w:r>
      <w:r>
        <w:rPr>
          <w:rFonts w:cs="David" w:ascii="David" w:hAnsi="David"/>
          <w:b/>
          <w:bCs/>
          <w:rtl w:val="true"/>
        </w:rPr>
        <w:t xml:space="preserve">' </w:t>
      </w:r>
      <w:r>
        <w:rPr>
          <w:rFonts w:ascii="David" w:hAnsi="David"/>
          <w:b/>
          <w:b/>
          <w:bCs/>
          <w:rtl w:val="true"/>
        </w:rPr>
        <w:t>מדינת ישראל</w:t>
      </w:r>
      <w:r>
        <w:rPr>
          <w:rFonts w:cs="David" w:ascii="David" w:hAnsi="David"/>
          <w:rtl w:val="true"/>
        </w:rPr>
        <w:t>, (</w:t>
      </w:r>
      <w:r>
        <w:rPr>
          <w:rFonts w:cs="David" w:ascii="David" w:hAnsi="David"/>
        </w:rPr>
        <w:t>20/01/15</w:t>
      </w:r>
      <w:r>
        <w:rPr>
          <w:rFonts w:cs="David" w:ascii="David" w:hAnsi="David"/>
          <w:rtl w:val="true"/>
        </w:rPr>
        <w:t xml:space="preserve">). </w:t>
      </w:r>
      <w:r>
        <w:rPr>
          <w:rFonts w:ascii="David" w:hAnsi="David"/>
          <w:rtl w:val="true"/>
        </w:rPr>
        <w:t>אולם</w:t>
      </w:r>
      <w:r>
        <w:rPr>
          <w:rFonts w:cs="David" w:ascii="David" w:hAnsi="David"/>
          <w:rtl w:val="true"/>
        </w:rPr>
        <w:t xml:space="preserve">, </w:t>
      </w:r>
      <w:r>
        <w:rPr>
          <w:rFonts w:ascii="David" w:hAnsi="David"/>
          <w:rtl w:val="true"/>
        </w:rPr>
        <w:t>בית המשפט העליון</w:t>
      </w:r>
      <w:r>
        <w:rPr>
          <w:rFonts w:cs="David" w:ascii="David" w:hAnsi="David"/>
          <w:rtl w:val="true"/>
        </w:rPr>
        <w:t xml:space="preserve">, </w:t>
      </w:r>
      <w:r>
        <w:rPr>
          <w:rFonts w:ascii="David" w:hAnsi="David"/>
          <w:rtl w:val="true"/>
        </w:rPr>
        <w:t>מכיר בכך</w:t>
      </w:r>
      <w:r>
        <w:rPr>
          <w:rFonts w:cs="David" w:ascii="David" w:hAnsi="David"/>
          <w:rtl w:val="true"/>
        </w:rPr>
        <w:t xml:space="preserve">, </w:t>
      </w:r>
      <w:r>
        <w:rPr>
          <w:rFonts w:ascii="David" w:hAnsi="David"/>
          <w:rtl w:val="true"/>
        </w:rPr>
        <w:t>כי הפסיקה בנושא זה אינה אחידה כך שהיו מקרים בהם התאפשרה בשלב גזירת העונש הבאת ראיות להוכחת נסיבות ביצוע העבירה</w:t>
      </w:r>
      <w:r>
        <w:rPr>
          <w:rFonts w:cs="David" w:ascii="David" w:hAnsi="David"/>
          <w:rtl w:val="true"/>
        </w:rPr>
        <w:t xml:space="preserve">, </w:t>
      </w:r>
      <w:r>
        <w:rPr>
          <w:rFonts w:ascii="David" w:hAnsi="David"/>
          <w:rtl w:val="true"/>
        </w:rPr>
        <w:t>חרף העובדה כי נסיבות אלה לא מצאו ביטוין בכתב האישום בו הודה הנאשם</w:t>
      </w:r>
      <w:r>
        <w:rPr>
          <w:rFonts w:cs="David" w:ascii="David" w:hAnsi="David"/>
          <w:rtl w:val="true"/>
        </w:rPr>
        <w:t xml:space="preserve">. </w:t>
      </w:r>
      <w:hyperlink r:id="rId23">
        <w:r>
          <w:rPr>
            <w:rStyle w:val="Hyperlink"/>
            <w:rFonts w:ascii="David" w:hAnsi="David"/>
            <w:color w:val="0000FF"/>
            <w:u w:val="single"/>
            <w:rtl w:val="true"/>
          </w:rPr>
          <w:t>ע</w:t>
        </w:r>
        <w:r>
          <w:rPr>
            <w:rStyle w:val="Hyperlink"/>
            <w:rFonts w:cs="David" w:ascii="David" w:hAnsi="David"/>
            <w:color w:val="0000FF"/>
            <w:u w:val="single"/>
            <w:rtl w:val="true"/>
          </w:rPr>
          <w:t>"</w:t>
        </w:r>
        <w:r>
          <w:rPr>
            <w:rStyle w:val="Hyperlink"/>
            <w:rFonts w:ascii="David" w:hAnsi="David"/>
            <w:color w:val="0000FF"/>
            <w:u w:val="single"/>
            <w:rtl w:val="true"/>
          </w:rPr>
          <w:t xml:space="preserve">פ </w:t>
        </w:r>
        <w:r>
          <w:rPr>
            <w:rStyle w:val="Hyperlink"/>
            <w:rFonts w:cs="David" w:ascii="David" w:hAnsi="David"/>
            <w:color w:val="0000FF"/>
            <w:u w:val="single"/>
          </w:rPr>
          <w:t>3667/13</w:t>
        </w:r>
      </w:hyperlink>
      <w:r>
        <w:rPr>
          <w:rFonts w:cs="David" w:ascii="David" w:hAnsi="David"/>
          <w:rtl w:val="true"/>
        </w:rPr>
        <w:t xml:space="preserve"> </w:t>
      </w:r>
      <w:r>
        <w:rPr>
          <w:rFonts w:ascii="David" w:hAnsi="David"/>
          <w:b/>
          <w:b/>
          <w:bCs/>
          <w:rtl w:val="true"/>
        </w:rPr>
        <w:t>ח</w:t>
      </w:r>
      <w:r>
        <w:rPr>
          <w:rFonts w:cs="David" w:ascii="David" w:hAnsi="David"/>
          <w:b/>
          <w:bCs/>
          <w:rtl w:val="true"/>
        </w:rPr>
        <w:t>'</w:t>
      </w:r>
      <w:r>
        <w:rPr>
          <w:rFonts w:ascii="David" w:hAnsi="David"/>
          <w:b/>
          <w:b/>
          <w:bCs/>
          <w:rtl w:val="true"/>
        </w:rPr>
        <w:t>טיב נ</w:t>
      </w:r>
      <w:r>
        <w:rPr>
          <w:rFonts w:cs="David" w:ascii="David" w:hAnsi="David"/>
          <w:b/>
          <w:bCs/>
          <w:rtl w:val="true"/>
        </w:rPr>
        <w:t xml:space="preserve">' </w:t>
      </w:r>
      <w:r>
        <w:rPr>
          <w:rFonts w:ascii="David" w:hAnsi="David"/>
          <w:b/>
          <w:b/>
          <w:bCs/>
          <w:rtl w:val="true"/>
        </w:rPr>
        <w:t>מדינת ישראל</w:t>
      </w:r>
      <w:r>
        <w:rPr>
          <w:rFonts w:cs="David" w:ascii="David" w:hAnsi="David"/>
          <w:rtl w:val="true"/>
        </w:rPr>
        <w:t>, (</w:t>
      </w:r>
      <w:r>
        <w:rPr>
          <w:rFonts w:cs="David" w:ascii="David" w:hAnsi="David"/>
        </w:rPr>
        <w:t>14/10/14</w:t>
      </w:r>
      <w:r>
        <w:rPr>
          <w:rFonts w:cs="David" w:ascii="David" w:hAnsi="David"/>
          <w:rtl w:val="true"/>
        </w:rPr>
        <w:t xml:space="preserve">). </w:t>
      </w:r>
    </w:p>
    <w:p>
      <w:pPr>
        <w:pStyle w:val="Normal"/>
        <w:spacing w:lineRule="auto" w:line="360"/>
        <w:ind w:hanging="720" w:start="720" w:end="0"/>
        <w:jc w:val="both"/>
        <w:rPr>
          <w:rFonts w:ascii="David" w:hAnsi="David" w:cs="David"/>
        </w:rPr>
      </w:pPr>
      <w:r>
        <w:rPr>
          <w:rFonts w:cs="David" w:ascii="David" w:hAnsi="David"/>
          <w:rtl w:val="true"/>
        </w:rPr>
      </w:r>
    </w:p>
    <w:p>
      <w:pPr>
        <w:pStyle w:val="Normal"/>
        <w:spacing w:lineRule="auto" w:line="360"/>
        <w:ind w:hanging="720" w:start="720" w:end="0"/>
        <w:jc w:val="both"/>
        <w:rPr>
          <w:rFonts w:ascii="David" w:hAnsi="David" w:cs="David"/>
        </w:rPr>
      </w:pPr>
      <w:r>
        <w:rPr>
          <w:rFonts w:cs="David" w:ascii="David" w:hAnsi="David"/>
        </w:rPr>
        <w:t>16</w:t>
      </w:r>
      <w:r>
        <w:rPr>
          <w:rFonts w:cs="David" w:ascii="David" w:hAnsi="David"/>
          <w:rtl w:val="true"/>
        </w:rPr>
        <w:t>.</w:t>
        <w:tab/>
      </w:r>
      <w:r>
        <w:rPr>
          <w:rFonts w:ascii="David" w:hAnsi="David"/>
          <w:rtl w:val="true"/>
        </w:rPr>
        <w:t xml:space="preserve">עם כניסתו של תיקון </w:t>
      </w:r>
      <w:r>
        <w:rPr>
          <w:rFonts w:cs="David" w:ascii="David" w:hAnsi="David"/>
        </w:rPr>
        <w:t>113</w:t>
      </w:r>
      <w:r>
        <w:rPr>
          <w:rFonts w:cs="David" w:ascii="David" w:hAnsi="David"/>
          <w:rtl w:val="true"/>
        </w:rPr>
        <w:t xml:space="preserve"> </w:t>
      </w:r>
      <w:r>
        <w:rPr>
          <w:rFonts w:ascii="David" w:hAnsi="David"/>
          <w:rtl w:val="true"/>
        </w:rPr>
        <w:t>ל</w:t>
      </w:r>
      <w:hyperlink r:id="rId24">
        <w:r>
          <w:rPr>
            <w:rStyle w:val="Hyperlink"/>
            <w:rFonts w:ascii="David" w:hAnsi="David"/>
            <w:color w:val="0000FF"/>
            <w:u w:val="single"/>
            <w:rtl w:val="true"/>
          </w:rPr>
          <w:t>חוק העונשין</w:t>
        </w:r>
      </w:hyperlink>
      <w:r>
        <w:rPr>
          <w:rFonts w:ascii="David" w:hAnsi="David"/>
          <w:rtl w:val="true"/>
        </w:rPr>
        <w:t xml:space="preserve"> לתוקף</w:t>
      </w:r>
      <w:r>
        <w:rPr>
          <w:rFonts w:cs="David" w:ascii="David" w:hAnsi="David"/>
          <w:rtl w:val="true"/>
        </w:rPr>
        <w:t xml:space="preserve">, </w:t>
      </w:r>
      <w:r>
        <w:rPr>
          <w:rFonts w:ascii="David" w:hAnsi="David"/>
          <w:rtl w:val="true"/>
        </w:rPr>
        <w:t xml:space="preserve">הוסף ההסדר שנקבע </w:t>
      </w:r>
      <w:hyperlink r:id="rId25">
        <w:r>
          <w:rPr>
            <w:rStyle w:val="Hyperlink"/>
            <w:rFonts w:ascii="David" w:hAnsi="David"/>
            <w:color w:val="0000FF"/>
            <w:u w:val="single"/>
            <w:rtl w:val="true"/>
          </w:rPr>
          <w:t xml:space="preserve">בסעיף </w:t>
        </w:r>
        <w:r>
          <w:rPr>
            <w:rStyle w:val="Hyperlink"/>
            <w:rFonts w:cs="David" w:ascii="David" w:hAnsi="David"/>
            <w:color w:val="0000FF"/>
            <w:u w:val="single"/>
          </w:rPr>
          <w:t>40</w:t>
        </w:r>
        <w:r>
          <w:rPr>
            <w:rStyle w:val="Hyperlink"/>
            <w:rFonts w:ascii="David" w:hAnsi="David"/>
            <w:color w:val="0000FF"/>
            <w:u w:val="single"/>
            <w:rtl w:val="true"/>
          </w:rPr>
          <w:t>י</w:t>
        </w:r>
      </w:hyperlink>
      <w:r>
        <w:rPr>
          <w:rFonts w:ascii="David" w:hAnsi="David"/>
          <w:rtl w:val="true"/>
        </w:rPr>
        <w:t xml:space="preserve"> לחוק העונשין</w:t>
      </w:r>
      <w:r>
        <w:rPr>
          <w:rFonts w:cs="David" w:ascii="David" w:hAnsi="David"/>
          <w:rtl w:val="true"/>
        </w:rPr>
        <w:t xml:space="preserve">, </w:t>
      </w:r>
      <w:r>
        <w:rPr>
          <w:rFonts w:ascii="David" w:hAnsi="David"/>
          <w:rtl w:val="true"/>
        </w:rPr>
        <w:t xml:space="preserve">הנושא כותרת </w:t>
      </w:r>
      <w:r>
        <w:rPr>
          <w:rFonts w:cs="David" w:ascii="David" w:hAnsi="David"/>
          <w:b/>
          <w:bCs/>
          <w:rtl w:val="true"/>
        </w:rPr>
        <w:t>"</w:t>
      </w:r>
      <w:r>
        <w:rPr>
          <w:rFonts w:ascii="David" w:hAnsi="David"/>
          <w:b/>
          <w:b/>
          <w:bCs/>
          <w:rtl w:val="true"/>
        </w:rPr>
        <w:t>הוכחת נסיבות הקשורות בביצוע העבירה</w:t>
      </w:r>
      <w:r>
        <w:rPr>
          <w:rFonts w:cs="David" w:ascii="David" w:hAnsi="David"/>
          <w:b/>
          <w:bCs/>
          <w:rtl w:val="true"/>
        </w:rPr>
        <w:t>"</w:t>
      </w:r>
      <w:r>
        <w:rPr>
          <w:rFonts w:cs="David" w:ascii="David" w:hAnsi="David"/>
          <w:rtl w:val="true"/>
        </w:rPr>
        <w:t xml:space="preserve">, </w:t>
      </w:r>
      <w:r>
        <w:rPr>
          <w:rFonts w:ascii="David" w:hAnsi="David"/>
          <w:rtl w:val="true"/>
        </w:rPr>
        <w:t>וזו לשונו</w:t>
      </w:r>
      <w:r>
        <w:rPr>
          <w:rFonts w:cs="David" w:ascii="David" w:hAnsi="David"/>
          <w:rtl w:val="true"/>
        </w:rPr>
        <w:t>:</w:t>
      </w:r>
    </w:p>
    <w:p>
      <w:pPr>
        <w:pStyle w:val="Normal"/>
        <w:spacing w:lineRule="auto" w:line="360"/>
        <w:ind w:start="720" w:end="0"/>
        <w:jc w:val="both"/>
        <w:rPr>
          <w:rFonts w:ascii="David" w:hAnsi="David" w:cs="David"/>
        </w:rPr>
      </w:pPr>
      <w:r>
        <w:rPr>
          <w:rFonts w:cs="David" w:ascii="David" w:hAnsi="David"/>
          <w:rtl w:val="true"/>
        </w:rPr>
      </w:r>
    </w:p>
    <w:p>
      <w:pPr>
        <w:pStyle w:val="Normal"/>
        <w:ind w:start="1127" w:end="426"/>
        <w:jc w:val="both"/>
        <w:rPr>
          <w:rFonts w:ascii="David" w:hAnsi="David" w:cs="David"/>
          <w:b/>
          <w:bCs/>
        </w:rPr>
      </w:pPr>
      <w:r>
        <w:rPr>
          <w:rFonts w:cs="David" w:ascii="David" w:hAnsi="David"/>
          <w:b/>
          <w:bCs/>
          <w:rtl w:val="true"/>
        </w:rPr>
        <w:t>"(</w:t>
      </w:r>
      <w:r>
        <w:rPr>
          <w:rFonts w:ascii="David" w:hAnsi="David"/>
          <w:b/>
          <w:b/>
          <w:bCs/>
          <w:rtl w:val="true"/>
        </w:rPr>
        <w:t>א</w:t>
      </w:r>
      <w:r>
        <w:rPr>
          <w:rFonts w:cs="David" w:ascii="David" w:hAnsi="David"/>
          <w:b/>
          <w:bCs/>
          <w:rtl w:val="true"/>
        </w:rPr>
        <w:t xml:space="preserve">) </w:t>
      </w:r>
      <w:r>
        <w:rPr>
          <w:rFonts w:ascii="David" w:hAnsi="David"/>
          <w:b/>
          <w:b/>
          <w:bCs/>
          <w:rtl w:val="true"/>
        </w:rPr>
        <w:t>בית המשפט יקבע כי התקיימו נסיבות הקשורות בביצוע העבירה</w:t>
      </w:r>
      <w:r>
        <w:rPr>
          <w:rFonts w:cs="David" w:ascii="David" w:hAnsi="David"/>
          <w:b/>
          <w:bCs/>
          <w:rtl w:val="true"/>
        </w:rPr>
        <w:t xml:space="preserve">, </w:t>
      </w:r>
      <w:r>
        <w:rPr>
          <w:rFonts w:ascii="David" w:hAnsi="David"/>
          <w:b/>
          <w:b/>
          <w:bCs/>
          <w:rtl w:val="true"/>
        </w:rPr>
        <w:t>על בסיס ראיות שהובאו בשלב בירור האשמה</w:t>
      </w:r>
      <w:r>
        <w:rPr>
          <w:rFonts w:cs="David" w:ascii="David" w:hAnsi="David"/>
          <w:b/>
          <w:bCs/>
          <w:rtl w:val="true"/>
        </w:rPr>
        <w:t>.</w:t>
      </w:r>
    </w:p>
    <w:p>
      <w:pPr>
        <w:pStyle w:val="Normal"/>
        <w:ind w:start="1127" w:end="426"/>
        <w:jc w:val="both"/>
        <w:rPr>
          <w:rFonts w:ascii="David" w:hAnsi="David" w:cs="David"/>
          <w:b/>
          <w:bCs/>
        </w:rPr>
      </w:pPr>
      <w:r>
        <w:rPr>
          <w:rFonts w:cs="David" w:ascii="David" w:hAnsi="David"/>
          <w:b/>
          <w:bCs/>
          <w:rtl w:val="true"/>
        </w:rPr>
        <w:t>(</w:t>
      </w:r>
      <w:r>
        <w:rPr>
          <w:rFonts w:ascii="David" w:hAnsi="David"/>
          <w:b/>
          <w:b/>
          <w:bCs/>
          <w:rtl w:val="true"/>
        </w:rPr>
        <w:t>ב</w:t>
      </w:r>
      <w:r>
        <w:rPr>
          <w:rFonts w:cs="David" w:ascii="David" w:hAnsi="David"/>
          <w:b/>
          <w:bCs/>
          <w:rtl w:val="true"/>
        </w:rPr>
        <w:t xml:space="preserve">) </w:t>
      </w:r>
      <w:r>
        <w:rPr>
          <w:rFonts w:ascii="David" w:hAnsi="David"/>
          <w:b/>
          <w:b/>
          <w:bCs/>
          <w:rtl w:val="true"/>
        </w:rPr>
        <w:t xml:space="preserve">על אף האמור בסעיף קטן </w:t>
      </w:r>
      <w:r>
        <w:rPr>
          <w:rFonts w:cs="David" w:ascii="David" w:hAnsi="David"/>
          <w:b/>
          <w:bCs/>
          <w:rtl w:val="true"/>
        </w:rPr>
        <w:t>(</w:t>
      </w:r>
      <w:r>
        <w:rPr>
          <w:rFonts w:ascii="David" w:hAnsi="David"/>
          <w:b/>
          <w:b/>
          <w:bCs/>
          <w:rtl w:val="true"/>
        </w:rPr>
        <w:t>א</w:t>
      </w:r>
      <w:r>
        <w:rPr>
          <w:rFonts w:cs="David" w:ascii="David" w:hAnsi="David"/>
          <w:b/>
          <w:bCs/>
          <w:rtl w:val="true"/>
        </w:rPr>
        <w:t>) –</w:t>
      </w:r>
    </w:p>
    <w:p>
      <w:pPr>
        <w:pStyle w:val="Normal"/>
        <w:ind w:start="1127" w:end="426"/>
        <w:jc w:val="both"/>
        <w:rPr>
          <w:rFonts w:ascii="David" w:hAnsi="David" w:cs="David"/>
          <w:b/>
          <w:bCs/>
        </w:rPr>
      </w:pPr>
      <w:r>
        <w:rPr>
          <w:rFonts w:cs="David" w:ascii="David" w:hAnsi="David"/>
          <w:b/>
          <w:bCs/>
          <w:rtl w:val="true"/>
        </w:rPr>
        <w:t>(</w:t>
      </w:r>
      <w:r>
        <w:rPr>
          <w:rFonts w:cs="David" w:ascii="David" w:hAnsi="David"/>
          <w:b/>
          <w:bCs/>
        </w:rPr>
        <w:t>1</w:t>
      </w:r>
      <w:r>
        <w:rPr>
          <w:rFonts w:cs="David" w:ascii="David" w:hAnsi="David"/>
          <w:b/>
          <w:bCs/>
          <w:rtl w:val="true"/>
        </w:rPr>
        <w:t xml:space="preserve">) </w:t>
      </w:r>
      <w:r>
        <w:rPr>
          <w:rFonts w:ascii="David" w:hAnsi="David"/>
          <w:b/>
          <w:b/>
          <w:bCs/>
          <w:rtl w:val="true"/>
        </w:rPr>
        <w:t>בשלב הטיעונים לעונש</w:t>
      </w:r>
      <w:r>
        <w:rPr>
          <w:rFonts w:cs="David" w:ascii="David" w:hAnsi="David"/>
          <w:b/>
          <w:bCs/>
          <w:rtl w:val="true"/>
        </w:rPr>
        <w:t xml:space="preserve">, </w:t>
      </w:r>
      <w:r>
        <w:rPr>
          <w:rFonts w:ascii="David" w:hAnsi="David"/>
          <w:b/>
          <w:b/>
          <w:bCs/>
          <w:rtl w:val="true"/>
        </w:rPr>
        <w:t>הנאשם רשאי להביא ראיות מטעמו</w:t>
      </w:r>
      <w:r>
        <w:rPr>
          <w:rFonts w:cs="David" w:ascii="David" w:hAnsi="David"/>
          <w:b/>
          <w:bCs/>
          <w:rtl w:val="true"/>
        </w:rPr>
        <w:t xml:space="preserve">, </w:t>
      </w:r>
      <w:r>
        <w:rPr>
          <w:rFonts w:ascii="David" w:hAnsi="David"/>
          <w:b/>
          <w:b/>
          <w:bCs/>
          <w:rtl w:val="true"/>
        </w:rPr>
        <w:t>ובלבד שאינן סותרות את הנטען על ידו בשלב בירור האשמה</w:t>
      </w:r>
      <w:r>
        <w:rPr>
          <w:rFonts w:cs="David" w:ascii="David" w:hAnsi="David"/>
          <w:b/>
          <w:bCs/>
          <w:rtl w:val="true"/>
        </w:rPr>
        <w:t xml:space="preserve">, </w:t>
      </w:r>
      <w:r>
        <w:rPr>
          <w:rFonts w:ascii="David" w:hAnsi="David"/>
          <w:b/>
          <w:b/>
          <w:bCs/>
          <w:rtl w:val="true"/>
        </w:rPr>
        <w:t>והצדדים רשאים להביא ראיות שנקבע בחיקוק כי יובאו בשלב זה</w:t>
      </w:r>
      <w:r>
        <w:rPr>
          <w:rFonts w:cs="David" w:ascii="David" w:hAnsi="David"/>
          <w:b/>
          <w:bCs/>
          <w:rtl w:val="true"/>
        </w:rPr>
        <w:t>;</w:t>
      </w:r>
    </w:p>
    <w:p>
      <w:pPr>
        <w:pStyle w:val="Normal"/>
        <w:ind w:start="1127" w:end="426"/>
        <w:jc w:val="both"/>
        <w:rPr>
          <w:rFonts w:ascii="David" w:hAnsi="David" w:cs="David"/>
          <w:b/>
          <w:bCs/>
        </w:rPr>
      </w:pPr>
      <w:r>
        <w:rPr>
          <w:rFonts w:cs="David" w:ascii="David" w:hAnsi="David"/>
          <w:b/>
          <w:bCs/>
          <w:rtl w:val="true"/>
        </w:rPr>
        <w:t>(</w:t>
      </w:r>
      <w:r>
        <w:rPr>
          <w:rFonts w:cs="David" w:ascii="David" w:hAnsi="David"/>
          <w:b/>
          <w:bCs/>
        </w:rPr>
        <w:t>2</w:t>
      </w:r>
      <w:r>
        <w:rPr>
          <w:rFonts w:cs="David" w:ascii="David" w:hAnsi="David"/>
          <w:b/>
          <w:bCs/>
          <w:rtl w:val="true"/>
        </w:rPr>
        <w:t xml:space="preserve">) </w:t>
      </w:r>
      <w:r>
        <w:rPr>
          <w:rFonts w:ascii="David" w:hAnsi="David"/>
          <w:b/>
          <w:b/>
          <w:bCs/>
          <w:rtl w:val="true"/>
        </w:rPr>
        <w:t>בית המשפט רשאי</w:t>
      </w:r>
      <w:r>
        <w:rPr>
          <w:rFonts w:cs="David" w:ascii="David" w:hAnsi="David"/>
          <w:b/>
          <w:bCs/>
          <w:rtl w:val="true"/>
        </w:rPr>
        <w:t xml:space="preserve">, </w:t>
      </w:r>
      <w:r>
        <w:rPr>
          <w:rFonts w:ascii="David" w:hAnsi="David"/>
          <w:b/>
          <w:b/>
          <w:bCs/>
          <w:rtl w:val="true"/>
        </w:rPr>
        <w:t>לבקשת אחד מהצדדים</w:t>
      </w:r>
      <w:r>
        <w:rPr>
          <w:rFonts w:cs="David" w:ascii="David" w:hAnsi="David"/>
          <w:b/>
          <w:bCs/>
          <w:rtl w:val="true"/>
        </w:rPr>
        <w:t xml:space="preserve">, </w:t>
      </w:r>
      <w:r>
        <w:rPr>
          <w:rFonts w:ascii="David" w:hAnsi="David"/>
          <w:b/>
          <w:b/>
          <w:bCs/>
          <w:rtl w:val="true"/>
        </w:rPr>
        <w:t>להתיר להביא ראיות בעניין נסיבות הקשורות בביצוע העבירה בשלב הטיעונים לעונש</w:t>
      </w:r>
      <w:r>
        <w:rPr>
          <w:rFonts w:cs="David" w:ascii="David" w:hAnsi="David"/>
          <w:b/>
          <w:bCs/>
          <w:rtl w:val="true"/>
        </w:rPr>
        <w:t xml:space="preserve">, </w:t>
      </w:r>
      <w:r>
        <w:rPr>
          <w:rFonts w:ascii="David" w:hAnsi="David"/>
          <w:b/>
          <w:b/>
          <w:bCs/>
          <w:rtl w:val="true"/>
        </w:rPr>
        <w:t>אם שוכנע כי לא היתה אפשרות לטעון לגביהן בשלב בירור האשמה או אם הדבר דרוש כדי למנוע עיוות דין</w:t>
      </w:r>
      <w:r>
        <w:rPr>
          <w:rFonts w:cs="David" w:ascii="David" w:hAnsi="David"/>
          <w:b/>
          <w:bCs/>
          <w:rtl w:val="true"/>
        </w:rPr>
        <w:t>.</w:t>
      </w:r>
    </w:p>
    <w:p>
      <w:pPr>
        <w:pStyle w:val="Normal"/>
        <w:ind w:start="1127" w:end="426"/>
        <w:jc w:val="both"/>
        <w:rPr>
          <w:rFonts w:ascii="David" w:hAnsi="David" w:cs="David"/>
          <w:b/>
          <w:bCs/>
        </w:rPr>
      </w:pPr>
      <w:r>
        <w:rPr>
          <w:rFonts w:cs="David" w:ascii="David" w:hAnsi="David"/>
          <w:b/>
          <w:bCs/>
          <w:rtl w:val="true"/>
        </w:rPr>
        <w:t>(</w:t>
      </w:r>
      <w:r>
        <w:rPr>
          <w:rFonts w:ascii="David" w:hAnsi="David"/>
          <w:b/>
          <w:b/>
          <w:bCs/>
          <w:rtl w:val="true"/>
        </w:rPr>
        <w:t>ג</w:t>
      </w:r>
      <w:r>
        <w:rPr>
          <w:rFonts w:cs="David" w:ascii="David" w:hAnsi="David"/>
          <w:b/>
          <w:bCs/>
          <w:rtl w:val="true"/>
        </w:rPr>
        <w:t xml:space="preserve">) </w:t>
      </w:r>
      <w:r>
        <w:rPr>
          <w:rFonts w:ascii="David" w:hAnsi="David"/>
          <w:b/>
          <w:b/>
          <w:bCs/>
          <w:rtl w:val="true"/>
        </w:rPr>
        <w:t>בית המשפט יקבע כי התקיימה נסיבה מחמירה הקשורה בביצוע העבירה אם היא הוכחה מעבר לספק סביר</w:t>
      </w:r>
      <w:r>
        <w:rPr>
          <w:rFonts w:cs="David" w:ascii="David" w:hAnsi="David"/>
          <w:b/>
          <w:bCs/>
          <w:rtl w:val="true"/>
        </w:rPr>
        <w:t xml:space="preserve">; </w:t>
      </w:r>
      <w:r>
        <w:rPr>
          <w:rFonts w:ascii="David" w:hAnsi="David"/>
          <w:b/>
          <w:b/>
          <w:bCs/>
          <w:rtl w:val="true"/>
        </w:rPr>
        <w:t>בית המשפט יקבע כי התקיימה נסיבה מקילה הקשורה בביצוע העבירה אם היא הוכחה ברמת ההוכחה הנדרשת במשפט אזרחי</w:t>
      </w:r>
      <w:r>
        <w:rPr>
          <w:rFonts w:cs="David" w:ascii="David" w:hAnsi="David"/>
          <w:b/>
          <w:bCs/>
          <w:rtl w:val="true"/>
        </w:rPr>
        <w:t>.</w:t>
      </w:r>
    </w:p>
    <w:p>
      <w:pPr>
        <w:pStyle w:val="Normal"/>
        <w:ind w:start="1127" w:end="426"/>
        <w:jc w:val="both"/>
        <w:rPr>
          <w:rFonts w:ascii="David" w:hAnsi="David" w:cs="David"/>
          <w:b/>
          <w:bCs/>
        </w:rPr>
      </w:pPr>
      <w:r>
        <w:rPr>
          <w:rFonts w:cs="David" w:ascii="David" w:hAnsi="David"/>
          <w:b/>
          <w:bCs/>
          <w:rtl w:val="true"/>
        </w:rPr>
        <w:t>(</w:t>
      </w:r>
      <w:r>
        <w:rPr>
          <w:rFonts w:ascii="David" w:hAnsi="David"/>
          <w:b/>
          <w:b/>
          <w:bCs/>
          <w:rtl w:val="true"/>
        </w:rPr>
        <w:t>ד</w:t>
      </w:r>
      <w:r>
        <w:rPr>
          <w:rFonts w:cs="David" w:ascii="David" w:hAnsi="David"/>
          <w:b/>
          <w:bCs/>
          <w:rtl w:val="true"/>
        </w:rPr>
        <w:t xml:space="preserve">) </w:t>
      </w:r>
      <w:r>
        <w:rPr>
          <w:rFonts w:ascii="David" w:hAnsi="David"/>
          <w:b/>
          <w:b/>
          <w:bCs/>
          <w:rtl w:val="true"/>
        </w:rPr>
        <w:t xml:space="preserve">בלי לגרוע מהוראת סעיף קטן </w:t>
      </w:r>
      <w:r>
        <w:rPr>
          <w:rFonts w:cs="David" w:ascii="David" w:hAnsi="David"/>
          <w:b/>
          <w:bCs/>
          <w:rtl w:val="true"/>
        </w:rPr>
        <w:t>(</w:t>
      </w:r>
      <w:r>
        <w:rPr>
          <w:rFonts w:ascii="David" w:hAnsi="David"/>
          <w:b/>
          <w:b/>
          <w:bCs/>
          <w:rtl w:val="true"/>
        </w:rPr>
        <w:t>ב</w:t>
      </w:r>
      <w:r>
        <w:rPr>
          <w:rFonts w:cs="David" w:ascii="David" w:hAnsi="David"/>
          <w:b/>
          <w:bCs/>
          <w:rtl w:val="true"/>
        </w:rPr>
        <w:t>)(</w:t>
      </w:r>
      <w:r>
        <w:rPr>
          <w:rFonts w:cs="David" w:ascii="David" w:hAnsi="David"/>
          <w:b/>
          <w:bCs/>
        </w:rPr>
        <w:t>2</w:t>
      </w:r>
      <w:r>
        <w:rPr>
          <w:rFonts w:cs="David" w:ascii="David" w:hAnsi="David"/>
          <w:b/>
          <w:bCs/>
          <w:rtl w:val="true"/>
        </w:rPr>
        <w:t xml:space="preserve">), </w:t>
      </w:r>
      <w:r>
        <w:rPr>
          <w:rFonts w:ascii="David" w:hAnsi="David"/>
          <w:b/>
          <w:b/>
          <w:bCs/>
          <w:rtl w:val="true"/>
        </w:rPr>
        <w:t>הודה הנאשם בעובדות כתב האישום</w:t>
      </w:r>
      <w:r>
        <w:rPr>
          <w:rFonts w:cs="David" w:ascii="David" w:hAnsi="David"/>
          <w:b/>
          <w:bCs/>
          <w:rtl w:val="true"/>
        </w:rPr>
        <w:t xml:space="preserve">, </w:t>
      </w:r>
      <w:r>
        <w:rPr>
          <w:rFonts w:ascii="David" w:hAnsi="David"/>
          <w:b/>
          <w:b/>
          <w:bCs/>
          <w:rtl w:val="true"/>
        </w:rPr>
        <w:t>בין לאחר שמיעת הראיות ובין לפני כן</w:t>
      </w:r>
      <w:r>
        <w:rPr>
          <w:rFonts w:cs="David" w:ascii="David" w:hAnsi="David"/>
          <w:b/>
          <w:bCs/>
          <w:rtl w:val="true"/>
        </w:rPr>
        <w:t xml:space="preserve">, </w:t>
      </w:r>
      <w:r>
        <w:rPr>
          <w:rFonts w:ascii="David" w:hAnsi="David"/>
          <w:b/>
          <w:b/>
          <w:bCs/>
          <w:rtl w:val="true"/>
        </w:rPr>
        <w:t>יכלול כתב האישום שבו הודה את כל העובדות והנסיבות הקשורות בביצוע העבירה</w:t>
      </w:r>
      <w:r>
        <w:rPr>
          <w:rFonts w:cs="David" w:ascii="David" w:hAnsi="David"/>
          <w:b/>
          <w:bCs/>
          <w:rtl w:val="true"/>
        </w:rPr>
        <w:t>."</w:t>
      </w:r>
    </w:p>
    <w:p>
      <w:pPr>
        <w:pStyle w:val="Normal"/>
        <w:spacing w:lineRule="auto" w:line="360"/>
        <w:ind w:hanging="720" w:start="720" w:end="0"/>
        <w:jc w:val="both"/>
        <w:rPr>
          <w:rFonts w:ascii="David" w:hAnsi="David" w:cs="David"/>
          <w:b/>
          <w:bCs/>
        </w:rPr>
      </w:pPr>
      <w:r>
        <w:rPr>
          <w:rFonts w:cs="David" w:ascii="David" w:hAnsi="David"/>
          <w:b/>
          <w:bCs/>
          <w:rtl w:val="true"/>
        </w:rPr>
      </w:r>
    </w:p>
    <w:p>
      <w:pPr>
        <w:pStyle w:val="Normal"/>
        <w:spacing w:lineRule="auto" w:line="360"/>
        <w:ind w:hanging="720" w:start="720" w:end="0"/>
        <w:jc w:val="both"/>
        <w:rPr>
          <w:rFonts w:ascii="David" w:hAnsi="David" w:cs="David"/>
        </w:rPr>
      </w:pPr>
      <w:r>
        <w:rPr>
          <w:rFonts w:cs="David" w:ascii="David" w:hAnsi="David"/>
        </w:rPr>
        <w:t>17</w:t>
      </w:r>
      <w:r>
        <w:rPr>
          <w:rFonts w:cs="David" w:ascii="David" w:hAnsi="David"/>
          <w:rtl w:val="true"/>
        </w:rPr>
        <w:t>.</w:t>
        <w:tab/>
      </w:r>
      <w:r>
        <w:rPr>
          <w:rFonts w:ascii="David" w:hAnsi="David"/>
          <w:rtl w:val="true"/>
        </w:rPr>
        <w:t xml:space="preserve">לפי </w:t>
      </w:r>
      <w:hyperlink r:id="rId26">
        <w:r>
          <w:rPr>
            <w:rStyle w:val="Hyperlink"/>
            <w:rFonts w:ascii="David" w:hAnsi="David"/>
            <w:color w:val="0000FF"/>
            <w:u w:val="single"/>
            <w:rtl w:val="true"/>
          </w:rPr>
          <w:t xml:space="preserve">סעיף </w:t>
        </w:r>
        <w:r>
          <w:rPr>
            <w:rStyle w:val="Hyperlink"/>
            <w:rFonts w:cs="David" w:ascii="David" w:hAnsi="David"/>
            <w:color w:val="0000FF"/>
            <w:u w:val="single"/>
          </w:rPr>
          <w:t>40</w:t>
        </w:r>
        <w:r>
          <w:rPr>
            <w:rStyle w:val="Hyperlink"/>
            <w:rFonts w:ascii="David" w:hAnsi="David"/>
            <w:color w:val="0000FF"/>
            <w:u w:val="single"/>
            <w:rtl w:val="true"/>
          </w:rPr>
          <w:t>י</w:t>
        </w:r>
      </w:hyperlink>
      <w:r>
        <w:rPr>
          <w:rFonts w:ascii="David" w:hAnsi="David"/>
          <w:rtl w:val="true"/>
        </w:rPr>
        <w:t xml:space="preserve"> ל</w:t>
      </w:r>
      <w:hyperlink r:id="rId27">
        <w:r>
          <w:rPr>
            <w:rStyle w:val="Hyperlink"/>
            <w:rFonts w:ascii="David" w:hAnsi="David"/>
            <w:color w:val="0000FF"/>
            <w:u w:val="single"/>
            <w:rtl w:val="true"/>
          </w:rPr>
          <w:t>חוק העונשין</w:t>
        </w:r>
      </w:hyperlink>
      <w:r>
        <w:rPr>
          <w:rFonts w:ascii="David" w:hAnsi="David"/>
          <w:rtl w:val="true"/>
        </w:rPr>
        <w:t xml:space="preserve"> הנ</w:t>
      </w:r>
      <w:r>
        <w:rPr>
          <w:rFonts w:cs="David" w:ascii="David" w:hAnsi="David"/>
          <w:rtl w:val="true"/>
        </w:rPr>
        <w:t>"</w:t>
      </w:r>
      <w:r>
        <w:rPr>
          <w:rFonts w:ascii="David" w:hAnsi="David"/>
          <w:rtl w:val="true"/>
        </w:rPr>
        <w:t>ל</w:t>
      </w:r>
      <w:r>
        <w:rPr>
          <w:rFonts w:cs="David" w:ascii="David" w:hAnsi="David"/>
          <w:rtl w:val="true"/>
        </w:rPr>
        <w:t xml:space="preserve">, </w:t>
      </w:r>
      <w:r>
        <w:rPr>
          <w:rFonts w:ascii="David" w:hAnsi="David"/>
          <w:rtl w:val="true"/>
        </w:rPr>
        <w:t>הכלל הוא</w:t>
      </w:r>
      <w:r>
        <w:rPr>
          <w:rFonts w:cs="David" w:ascii="David" w:hAnsi="David"/>
          <w:rtl w:val="true"/>
        </w:rPr>
        <w:t xml:space="preserve">, </w:t>
      </w:r>
      <w:r>
        <w:rPr>
          <w:rFonts w:ascii="David" w:hAnsi="David"/>
          <w:rtl w:val="true"/>
        </w:rPr>
        <w:t>כי במקרים שבהם הודה הנאשם בעובדות כתב האישום</w:t>
      </w:r>
      <w:r>
        <w:rPr>
          <w:rFonts w:cs="David" w:ascii="David" w:hAnsi="David"/>
          <w:rtl w:val="true"/>
        </w:rPr>
        <w:t xml:space="preserve">, </w:t>
      </w:r>
      <w:r>
        <w:rPr>
          <w:rFonts w:ascii="David" w:hAnsi="David"/>
          <w:rtl w:val="true"/>
        </w:rPr>
        <w:t xml:space="preserve">יכלול כתב האישום את </w:t>
      </w:r>
      <w:r>
        <w:rPr>
          <w:rFonts w:ascii="David" w:hAnsi="David"/>
          <w:b/>
          <w:b/>
          <w:rtl w:val="true"/>
        </w:rPr>
        <w:t>כל</w:t>
      </w:r>
      <w:r>
        <w:rPr>
          <w:rFonts w:ascii="David" w:hAnsi="David"/>
          <w:rtl w:val="true"/>
        </w:rPr>
        <w:t xml:space="preserve"> העובדות והנסיבות הקשורות בביצוע העבירה</w:t>
      </w:r>
      <w:r>
        <w:rPr>
          <w:rFonts w:cs="David" w:ascii="David" w:hAnsi="David"/>
          <w:rtl w:val="true"/>
        </w:rPr>
        <w:t xml:space="preserve">. </w:t>
      </w:r>
      <w:r>
        <w:rPr>
          <w:rFonts w:ascii="David" w:hAnsi="David"/>
          <w:rtl w:val="true"/>
        </w:rPr>
        <w:t>לצד זאת</w:t>
      </w:r>
      <w:r>
        <w:rPr>
          <w:rFonts w:cs="David" w:ascii="David" w:hAnsi="David"/>
          <w:rtl w:val="true"/>
        </w:rPr>
        <w:t xml:space="preserve">, </w:t>
      </w:r>
      <w:hyperlink r:id="rId28">
        <w:r>
          <w:rPr>
            <w:rStyle w:val="Hyperlink"/>
            <w:rFonts w:ascii="David" w:hAnsi="David"/>
            <w:color w:val="0000FF"/>
            <w:u w:val="single"/>
            <w:rtl w:val="true"/>
          </w:rPr>
          <w:t xml:space="preserve">סעיף </w:t>
        </w:r>
        <w:r>
          <w:rPr>
            <w:rStyle w:val="Hyperlink"/>
            <w:rFonts w:cs="David" w:ascii="David" w:hAnsi="David"/>
            <w:color w:val="0000FF"/>
            <w:u w:val="single"/>
          </w:rPr>
          <w:t>40</w:t>
        </w:r>
        <w:r>
          <w:rPr>
            <w:rStyle w:val="Hyperlink"/>
            <w:rFonts w:ascii="David" w:hAnsi="David"/>
            <w:color w:val="0000FF"/>
            <w:u w:val="single"/>
            <w:rtl w:val="true"/>
          </w:rPr>
          <w:t>י</w:t>
        </w:r>
        <w:r>
          <w:rPr>
            <w:rStyle w:val="Hyperlink"/>
            <w:rFonts w:cs="David" w:ascii="David" w:hAnsi="David"/>
            <w:color w:val="0000FF"/>
            <w:u w:val="single"/>
            <w:rtl w:val="true"/>
          </w:rPr>
          <w:t>(</w:t>
        </w:r>
        <w:r>
          <w:rPr>
            <w:rStyle w:val="Hyperlink"/>
            <w:rFonts w:ascii="David" w:hAnsi="David"/>
            <w:color w:val="0000FF"/>
            <w:u w:val="single"/>
            <w:rtl w:val="true"/>
          </w:rPr>
          <w:t>ב</w:t>
        </w:r>
        <w:r>
          <w:rPr>
            <w:rStyle w:val="Hyperlink"/>
            <w:rFonts w:cs="David" w:ascii="David" w:hAnsi="David"/>
            <w:color w:val="0000FF"/>
            <w:u w:val="single"/>
            <w:rtl w:val="true"/>
          </w:rPr>
          <w:t>)</w:t>
        </w:r>
      </w:hyperlink>
      <w:r>
        <w:rPr>
          <w:rFonts w:cs="David" w:ascii="David" w:hAnsi="David"/>
          <w:rtl w:val="true"/>
        </w:rPr>
        <w:t xml:space="preserve"> </w:t>
      </w:r>
      <w:r>
        <w:rPr>
          <w:rFonts w:ascii="David" w:hAnsi="David"/>
          <w:rtl w:val="true"/>
        </w:rPr>
        <w:t>מסדיר את אפשרות הוכחת הנסיבות הקשורות בביצוע העבירה בשלב הטיעונים לעונש</w:t>
      </w:r>
      <w:r>
        <w:rPr>
          <w:rFonts w:cs="David" w:ascii="David" w:hAnsi="David"/>
          <w:rtl w:val="true"/>
        </w:rPr>
        <w:t xml:space="preserve">, </w:t>
      </w:r>
      <w:r>
        <w:rPr>
          <w:rFonts w:ascii="David" w:hAnsi="David"/>
          <w:rtl w:val="true"/>
        </w:rPr>
        <w:t>וזאת בכפוף לכך</w:t>
      </w:r>
      <w:r>
        <w:rPr>
          <w:rFonts w:cs="David" w:ascii="David" w:hAnsi="David"/>
          <w:rtl w:val="true"/>
        </w:rPr>
        <w:t xml:space="preserve">, </w:t>
      </w:r>
      <w:r>
        <w:rPr>
          <w:rFonts w:ascii="David" w:hAnsi="David"/>
          <w:rtl w:val="true"/>
        </w:rPr>
        <w:t>כי הראיות שמבקש הנאשם להביא אינן סותרות את הנטען על ידו בשלב בירור האשמה</w:t>
      </w:r>
      <w:r>
        <w:rPr>
          <w:rFonts w:cs="David" w:ascii="David" w:hAnsi="David"/>
          <w:rtl w:val="true"/>
        </w:rPr>
        <w:t xml:space="preserve">, </w:t>
      </w:r>
      <w:r>
        <w:rPr>
          <w:rFonts w:ascii="David" w:hAnsi="David"/>
          <w:rtl w:val="true"/>
        </w:rPr>
        <w:t>או אם שוכנע בית המשפט</w:t>
      </w:r>
      <w:r>
        <w:rPr>
          <w:rFonts w:cs="David" w:ascii="David" w:hAnsi="David"/>
          <w:rtl w:val="true"/>
        </w:rPr>
        <w:t xml:space="preserve">, </w:t>
      </w:r>
      <w:r>
        <w:rPr>
          <w:rFonts w:ascii="David" w:hAnsi="David"/>
          <w:rtl w:val="true"/>
        </w:rPr>
        <w:t>כי לא הייתה אפשרות לטעון לגביהן בשלב בירור האשמה והדבר דרוש על מנת למנוע עיוות דין</w:t>
      </w:r>
      <w:r>
        <w:rPr>
          <w:rFonts w:cs="David" w:ascii="David" w:hAnsi="David"/>
          <w:rtl w:val="true"/>
        </w:rPr>
        <w:t xml:space="preserve">. </w:t>
      </w:r>
    </w:p>
    <w:p>
      <w:pPr>
        <w:pStyle w:val="Normal"/>
        <w:spacing w:lineRule="auto" w:line="360"/>
        <w:ind w:hanging="720" w:start="720" w:end="0"/>
        <w:jc w:val="both"/>
        <w:rPr>
          <w:rFonts w:ascii="David" w:hAnsi="David" w:cs="David"/>
        </w:rPr>
      </w:pPr>
      <w:r>
        <w:rPr>
          <w:rFonts w:cs="David" w:ascii="David" w:hAnsi="David"/>
          <w:rtl w:val="true"/>
        </w:rPr>
      </w:r>
    </w:p>
    <w:p>
      <w:pPr>
        <w:pStyle w:val="Normal"/>
        <w:spacing w:lineRule="auto" w:line="360"/>
        <w:ind w:hanging="720" w:start="720" w:end="0"/>
        <w:jc w:val="both"/>
        <w:rPr>
          <w:rFonts w:ascii="David" w:hAnsi="David" w:cs="David"/>
        </w:rPr>
      </w:pPr>
      <w:r>
        <w:rPr>
          <w:rFonts w:cs="David" w:ascii="David" w:hAnsi="David"/>
        </w:rPr>
        <w:t>18</w:t>
      </w:r>
      <w:r>
        <w:rPr>
          <w:rFonts w:cs="David" w:ascii="David" w:hAnsi="David"/>
          <w:rtl w:val="true"/>
        </w:rPr>
        <w:t>.</w:t>
        <w:tab/>
      </w:r>
      <w:r>
        <w:rPr>
          <w:rFonts w:ascii="David" w:hAnsi="David"/>
          <w:rtl w:val="true"/>
        </w:rPr>
        <w:t>במקרה הנדון</w:t>
      </w:r>
      <w:r>
        <w:rPr>
          <w:rFonts w:cs="David" w:ascii="David" w:hAnsi="David"/>
          <w:rtl w:val="true"/>
        </w:rPr>
        <w:t xml:space="preserve">, </w:t>
      </w:r>
      <w:r>
        <w:rPr>
          <w:rFonts w:ascii="David" w:hAnsi="David"/>
          <w:rtl w:val="true"/>
        </w:rPr>
        <w:t>המשיב</w:t>
      </w:r>
      <w:r>
        <w:rPr>
          <w:rFonts w:cs="David" w:ascii="David" w:hAnsi="David"/>
          <w:rtl w:val="true"/>
        </w:rPr>
        <w:t xml:space="preserve">, </w:t>
      </w:r>
      <w:r>
        <w:rPr>
          <w:rFonts w:ascii="David" w:hAnsi="David"/>
          <w:rtl w:val="true"/>
        </w:rPr>
        <w:t>ביקש מרצונו להודות בעובדות כתב האישום המתוקן</w:t>
      </w:r>
      <w:r>
        <w:rPr>
          <w:rFonts w:cs="David" w:ascii="David" w:hAnsi="David"/>
          <w:rtl w:val="true"/>
        </w:rPr>
        <w:t xml:space="preserve">, </w:t>
      </w:r>
      <w:r>
        <w:rPr>
          <w:rFonts w:ascii="David" w:hAnsi="David"/>
          <w:rtl w:val="true"/>
        </w:rPr>
        <w:t>הודאת המשיב בכתב האישום המתוקן</w:t>
      </w:r>
      <w:r>
        <w:rPr>
          <w:rFonts w:cs="David" w:ascii="David" w:hAnsi="David"/>
          <w:rtl w:val="true"/>
        </w:rPr>
        <w:t xml:space="preserve">, </w:t>
      </w:r>
      <w:r>
        <w:rPr>
          <w:rFonts w:ascii="David" w:hAnsi="David"/>
          <w:rtl w:val="true"/>
        </w:rPr>
        <w:t>כוללת גם הודאה בכמות הסם אותה גידולו המבקש והנאשם הנוסף ואשר עמדה על כ</w:t>
      </w:r>
      <w:r>
        <w:rPr>
          <w:rFonts w:cs="David" w:ascii="David" w:hAnsi="David"/>
          <w:rtl w:val="true"/>
        </w:rPr>
        <w:t>-</w:t>
      </w:r>
      <w:r>
        <w:rPr>
          <w:rFonts w:cs="David" w:ascii="David" w:hAnsi="David"/>
        </w:rPr>
        <w:t>3,500</w:t>
      </w:r>
      <w:r>
        <w:rPr>
          <w:rFonts w:cs="David" w:ascii="David" w:hAnsi="David"/>
          <w:rtl w:val="true"/>
        </w:rPr>
        <w:t xml:space="preserve"> </w:t>
      </w:r>
      <w:r>
        <w:rPr>
          <w:rFonts w:ascii="David" w:hAnsi="David"/>
          <w:rtl w:val="true"/>
        </w:rPr>
        <w:t>גרם</w:t>
      </w:r>
      <w:r>
        <w:rPr>
          <w:rFonts w:cs="David" w:ascii="David" w:hAnsi="David"/>
          <w:rtl w:val="true"/>
        </w:rPr>
        <w:t xml:space="preserve">. </w:t>
      </w:r>
      <w:r>
        <w:rPr>
          <w:rFonts w:ascii="David" w:hAnsi="David"/>
          <w:rtl w:val="true"/>
        </w:rPr>
        <w:t>הודאת המשיב בעבירה המיוחסת לו בכתב האישום המתוקן מבטאת למעשה את הסכמתו לעובדות ולנסיבות האמורות בו</w:t>
      </w:r>
      <w:r>
        <w:rPr>
          <w:rFonts w:cs="David" w:ascii="David" w:hAnsi="David"/>
          <w:rtl w:val="true"/>
        </w:rPr>
        <w:t xml:space="preserve">. </w:t>
      </w:r>
      <w:r>
        <w:rPr>
          <w:rFonts w:ascii="David" w:hAnsi="David"/>
          <w:rtl w:val="true"/>
        </w:rPr>
        <w:t>הודאה זו</w:t>
      </w:r>
      <w:r>
        <w:rPr>
          <w:rFonts w:cs="David" w:ascii="David" w:hAnsi="David"/>
          <w:rtl w:val="true"/>
        </w:rPr>
        <w:t xml:space="preserve">, </w:t>
      </w:r>
      <w:r>
        <w:rPr>
          <w:rFonts w:ascii="David" w:hAnsi="David"/>
          <w:rtl w:val="true"/>
        </w:rPr>
        <w:t>יש בה משום הצהרה כי אין בעובדות ובנסיבות המתוארות בכתב האישום המתוקן יותר מאשר עשה</w:t>
      </w:r>
      <w:r>
        <w:rPr>
          <w:rFonts w:cs="David" w:ascii="David" w:hAnsi="David"/>
          <w:rtl w:val="true"/>
        </w:rPr>
        <w:t xml:space="preserve">, </w:t>
      </w:r>
      <w:r>
        <w:rPr>
          <w:rFonts w:ascii="David" w:hAnsi="David"/>
          <w:rtl w:val="true"/>
        </w:rPr>
        <w:t>ובהתאם</w:t>
      </w:r>
      <w:r>
        <w:rPr>
          <w:rFonts w:cs="David" w:ascii="David" w:hAnsi="David"/>
          <w:rtl w:val="true"/>
        </w:rPr>
        <w:t xml:space="preserve">, </w:t>
      </w:r>
      <w:r>
        <w:rPr>
          <w:rFonts w:ascii="David" w:hAnsi="David"/>
          <w:rtl w:val="true"/>
        </w:rPr>
        <w:t>לא נשמטה מכתב האישום המתוקן עובדה או נסיבה שיכולה הייתה לעזור למשיב או להקל עמו</w:t>
      </w:r>
      <w:r>
        <w:rPr>
          <w:rFonts w:cs="David" w:ascii="David" w:hAnsi="David"/>
          <w:rtl w:val="true"/>
        </w:rPr>
        <w:t>.</w:t>
      </w:r>
    </w:p>
    <w:p>
      <w:pPr>
        <w:pStyle w:val="Normal"/>
        <w:spacing w:lineRule="auto" w:line="360"/>
        <w:ind w:hanging="720" w:start="720" w:end="0"/>
        <w:jc w:val="both"/>
        <w:rPr>
          <w:rFonts w:ascii="David" w:hAnsi="David" w:cs="David"/>
        </w:rPr>
      </w:pPr>
      <w:r>
        <w:rPr>
          <w:rFonts w:cs="David" w:ascii="David" w:hAnsi="David"/>
          <w:rtl w:val="true"/>
        </w:rPr>
      </w:r>
    </w:p>
    <w:p>
      <w:pPr>
        <w:pStyle w:val="Normal"/>
        <w:spacing w:lineRule="auto" w:line="360"/>
        <w:ind w:start="720" w:end="0"/>
        <w:jc w:val="both"/>
        <w:rPr>
          <w:rFonts w:ascii="David" w:hAnsi="David" w:cs="David"/>
        </w:rPr>
      </w:pPr>
      <w:r>
        <w:rPr>
          <w:rFonts w:ascii="David" w:hAnsi="David"/>
          <w:rtl w:val="true"/>
        </w:rPr>
        <w:t>בנסיבות אלה</w:t>
      </w:r>
      <w:r>
        <w:rPr>
          <w:rFonts w:cs="David" w:ascii="David" w:hAnsi="David"/>
          <w:rtl w:val="true"/>
        </w:rPr>
        <w:t xml:space="preserve">, </w:t>
      </w:r>
      <w:r>
        <w:rPr>
          <w:rFonts w:ascii="David" w:hAnsi="David"/>
          <w:rtl w:val="true"/>
        </w:rPr>
        <w:t>מקובלת עלי טענת המערערת</w:t>
      </w:r>
      <w:r>
        <w:rPr>
          <w:rFonts w:cs="David" w:ascii="David" w:hAnsi="David"/>
          <w:rtl w:val="true"/>
        </w:rPr>
        <w:t xml:space="preserve">, </w:t>
      </w:r>
      <w:r>
        <w:rPr>
          <w:rFonts w:ascii="David" w:hAnsi="David"/>
          <w:rtl w:val="true"/>
        </w:rPr>
        <w:t>כי לא היה מקום שבית משפט קמא ייקח בין שיקוליו לצורך ההחלטה אם להרשיע או להימנע מלהרשיע את המשיב את מסקנות חוות דעת המומחה בתחום מדעי הצמח בדבר כמות הסם הפעיל</w:t>
      </w:r>
      <w:r>
        <w:rPr>
          <w:rFonts w:cs="David" w:ascii="David" w:hAnsi="David"/>
          <w:rtl w:val="true"/>
        </w:rPr>
        <w:t xml:space="preserve">. </w:t>
      </w:r>
      <w:r>
        <w:rPr>
          <w:rFonts w:ascii="David" w:hAnsi="David"/>
          <w:rtl w:val="true"/>
        </w:rPr>
        <w:t>בנוסף</w:t>
      </w:r>
      <w:r>
        <w:rPr>
          <w:rFonts w:cs="David" w:ascii="David" w:hAnsi="David"/>
          <w:rtl w:val="true"/>
        </w:rPr>
        <w:t xml:space="preserve">, </w:t>
      </w:r>
      <w:r>
        <w:rPr>
          <w:rFonts w:ascii="David" w:hAnsi="David"/>
          <w:rtl w:val="true"/>
        </w:rPr>
        <w:t>ומשעולה מעובדות כתב האישום המתוקן בו הודה המשיב</w:t>
      </w:r>
      <w:r>
        <w:rPr>
          <w:rFonts w:cs="David" w:ascii="David" w:hAnsi="David"/>
          <w:rtl w:val="true"/>
        </w:rPr>
        <w:t xml:space="preserve">, </w:t>
      </w:r>
      <w:r>
        <w:rPr>
          <w:rFonts w:ascii="David" w:hAnsi="David"/>
          <w:rtl w:val="true"/>
        </w:rPr>
        <w:t>כי המשיב והנאשם הנוסף ביצעו את העבירה המיוחסת להם בצוותא</w:t>
      </w:r>
      <w:r>
        <w:rPr>
          <w:rFonts w:cs="David" w:ascii="David" w:hAnsi="David"/>
          <w:rtl w:val="true"/>
        </w:rPr>
        <w:t xml:space="preserve">, </w:t>
      </w:r>
      <w:r>
        <w:rPr>
          <w:rFonts w:ascii="David" w:hAnsi="David"/>
          <w:rtl w:val="true"/>
        </w:rPr>
        <w:t>כך שחלקם בביצוע העבירה היה שווה</w:t>
      </w:r>
      <w:r>
        <w:rPr>
          <w:rFonts w:cs="David" w:ascii="David" w:hAnsi="David"/>
          <w:rtl w:val="true"/>
        </w:rPr>
        <w:t xml:space="preserve">, </w:t>
      </w:r>
      <w:r>
        <w:rPr>
          <w:rFonts w:ascii="David" w:hAnsi="David"/>
          <w:rtl w:val="true"/>
        </w:rPr>
        <w:t>מקובלת עלי אף טענת המערערת</w:t>
      </w:r>
      <w:r>
        <w:rPr>
          <w:rFonts w:cs="David" w:ascii="David" w:hAnsi="David"/>
          <w:rtl w:val="true"/>
        </w:rPr>
        <w:t xml:space="preserve">, </w:t>
      </w:r>
      <w:r>
        <w:rPr>
          <w:rFonts w:ascii="David" w:hAnsi="David"/>
          <w:rtl w:val="true"/>
        </w:rPr>
        <w:t>כי לא היה מקום להסיק מדברי המשיב והנאשם הנוסף בעדויותיהם במשטרה</w:t>
      </w:r>
      <w:r>
        <w:rPr>
          <w:rFonts w:cs="David" w:ascii="David" w:hAnsi="David"/>
          <w:rtl w:val="true"/>
        </w:rPr>
        <w:t xml:space="preserve">, </w:t>
      </w:r>
      <w:r>
        <w:rPr>
          <w:rFonts w:ascii="David" w:hAnsi="David"/>
          <w:rtl w:val="true"/>
        </w:rPr>
        <w:t>מסקנות שאינן עולות בבירור מעובדות כתב האישום המתוקן ואף עומדות בסתירה לאמור בו</w:t>
      </w:r>
      <w:r>
        <w:rPr>
          <w:rFonts w:cs="David" w:ascii="David" w:hAnsi="David"/>
          <w:rtl w:val="true"/>
        </w:rPr>
        <w:t xml:space="preserve">. </w:t>
      </w:r>
    </w:p>
    <w:p>
      <w:pPr>
        <w:pStyle w:val="Normal"/>
        <w:spacing w:lineRule="auto" w:line="360"/>
        <w:ind w:hanging="720" w:start="720" w:end="0"/>
        <w:jc w:val="both"/>
        <w:rPr>
          <w:rFonts w:ascii="David" w:hAnsi="David" w:cs="David"/>
        </w:rPr>
      </w:pPr>
      <w:r>
        <w:rPr>
          <w:rFonts w:cs="David" w:ascii="David" w:hAnsi="David"/>
          <w:rtl w:val="true"/>
        </w:rPr>
      </w:r>
    </w:p>
    <w:p>
      <w:pPr>
        <w:pStyle w:val="Normal"/>
        <w:spacing w:lineRule="auto" w:line="360"/>
        <w:ind w:hanging="720" w:start="720" w:end="0"/>
        <w:jc w:val="both"/>
        <w:rPr>
          <w:rFonts w:ascii="David" w:hAnsi="David" w:cs="David"/>
        </w:rPr>
      </w:pPr>
      <w:r>
        <w:rPr>
          <w:rFonts w:cs="David" w:ascii="David" w:hAnsi="David"/>
        </w:rPr>
        <w:t>19</w:t>
      </w:r>
      <w:r>
        <w:rPr>
          <w:rFonts w:cs="David" w:ascii="David" w:hAnsi="David"/>
          <w:rtl w:val="true"/>
        </w:rPr>
        <w:t>.</w:t>
        <w:tab/>
      </w:r>
      <w:r>
        <w:rPr>
          <w:rFonts w:ascii="David" w:hAnsi="David"/>
          <w:rtl w:val="true"/>
        </w:rPr>
        <w:t>חרף האמור</w:t>
      </w:r>
      <w:r>
        <w:rPr>
          <w:rFonts w:cs="David" w:ascii="David" w:hAnsi="David"/>
          <w:rtl w:val="true"/>
        </w:rPr>
        <w:t xml:space="preserve">, </w:t>
      </w:r>
      <w:r>
        <w:rPr>
          <w:rFonts w:ascii="David" w:hAnsi="David"/>
          <w:rtl w:val="true"/>
        </w:rPr>
        <w:t>והגם שעולה</w:t>
      </w:r>
      <w:r>
        <w:rPr>
          <w:rFonts w:cs="David" w:ascii="David" w:hAnsi="David"/>
          <w:rtl w:val="true"/>
        </w:rPr>
        <w:t xml:space="preserve">, </w:t>
      </w:r>
      <w:r>
        <w:rPr>
          <w:rFonts w:ascii="David" w:hAnsi="David"/>
          <w:rtl w:val="true"/>
        </w:rPr>
        <w:t>כי בית משפט קמא לקח בין שיקוליו עובדות שלא עלו בכתב האישום המתוקן בו הודה המשיב</w:t>
      </w:r>
      <w:r>
        <w:rPr>
          <w:rFonts w:cs="David" w:ascii="David" w:hAnsi="David"/>
          <w:rtl w:val="true"/>
        </w:rPr>
        <w:t xml:space="preserve">, </w:t>
      </w:r>
      <w:r>
        <w:rPr>
          <w:rFonts w:ascii="David" w:hAnsi="David"/>
          <w:rtl w:val="true"/>
        </w:rPr>
        <w:t>עובדות שאף עמדו בסתירה לאמור בו</w:t>
      </w:r>
      <w:r>
        <w:rPr>
          <w:rFonts w:cs="David" w:ascii="David" w:hAnsi="David"/>
          <w:rtl w:val="true"/>
        </w:rPr>
        <w:t xml:space="preserve">, </w:t>
      </w:r>
      <w:r>
        <w:rPr>
          <w:rFonts w:ascii="David" w:hAnsi="David"/>
          <w:rtl w:val="true"/>
        </w:rPr>
        <w:t>סבורני</w:t>
      </w:r>
      <w:r>
        <w:rPr>
          <w:rFonts w:cs="David" w:ascii="David" w:hAnsi="David"/>
          <w:rtl w:val="true"/>
        </w:rPr>
        <w:t xml:space="preserve">, </w:t>
      </w:r>
      <w:r>
        <w:rPr>
          <w:rFonts w:ascii="David" w:hAnsi="David"/>
          <w:rtl w:val="true"/>
        </w:rPr>
        <w:t>כי במקרה הנדון קיימים שיקולים כבדי משקל עליהם עמד גם בית משפט קמא</w:t>
      </w:r>
      <w:r>
        <w:rPr>
          <w:rFonts w:cs="David" w:ascii="David" w:hAnsi="David"/>
          <w:rtl w:val="true"/>
        </w:rPr>
        <w:t xml:space="preserve">, </w:t>
      </w:r>
      <w:r>
        <w:rPr>
          <w:rFonts w:ascii="David" w:hAnsi="David"/>
          <w:rtl w:val="true"/>
        </w:rPr>
        <w:t>שמצדיקים</w:t>
      </w:r>
      <w:r>
        <w:rPr>
          <w:rFonts w:cs="David" w:ascii="David" w:hAnsi="David"/>
          <w:rtl w:val="true"/>
        </w:rPr>
        <w:t xml:space="preserve">, </w:t>
      </w:r>
      <w:r>
        <w:rPr>
          <w:rFonts w:ascii="David" w:hAnsi="David"/>
          <w:rtl w:val="true"/>
        </w:rPr>
        <w:t>אפוא</w:t>
      </w:r>
      <w:r>
        <w:rPr>
          <w:rFonts w:cs="David" w:ascii="David" w:hAnsi="David"/>
          <w:rtl w:val="true"/>
        </w:rPr>
        <w:t xml:space="preserve">, </w:t>
      </w:r>
      <w:r>
        <w:rPr>
          <w:rFonts w:ascii="David" w:hAnsi="David"/>
          <w:rtl w:val="true"/>
        </w:rPr>
        <w:t>את החלטת בית משפט קמא להימנע מהרשעת המשיב</w:t>
      </w:r>
      <w:r>
        <w:rPr>
          <w:rFonts w:cs="David" w:ascii="David" w:hAnsi="David"/>
          <w:rtl w:val="true"/>
        </w:rPr>
        <w:t xml:space="preserve">. </w:t>
      </w:r>
      <w:r>
        <w:rPr>
          <w:rFonts w:ascii="David" w:hAnsi="David"/>
          <w:rtl w:val="true"/>
        </w:rPr>
        <w:t>כך עולה</w:t>
      </w:r>
      <w:r>
        <w:rPr>
          <w:rFonts w:cs="David" w:ascii="David" w:hAnsi="David"/>
          <w:rtl w:val="true"/>
        </w:rPr>
        <w:t xml:space="preserve">, </w:t>
      </w:r>
      <w:r>
        <w:rPr>
          <w:rFonts w:ascii="David" w:hAnsi="David"/>
          <w:rtl w:val="true"/>
        </w:rPr>
        <w:t>כי המשיב נרתם להליך שיקומו ועשה כברת דרך ארוכה</w:t>
      </w:r>
      <w:r>
        <w:rPr>
          <w:rFonts w:cs="David" w:ascii="David" w:hAnsi="David"/>
          <w:rtl w:val="true"/>
        </w:rPr>
        <w:t xml:space="preserve">. </w:t>
      </w:r>
      <w:r>
        <w:rPr>
          <w:rFonts w:ascii="David" w:hAnsi="David"/>
          <w:rtl w:val="true"/>
        </w:rPr>
        <w:t>מתסקיר שירות המבחן עולה</w:t>
      </w:r>
      <w:r>
        <w:rPr>
          <w:rFonts w:cs="David" w:ascii="David" w:hAnsi="David"/>
          <w:rtl w:val="true"/>
        </w:rPr>
        <w:t xml:space="preserve">, </w:t>
      </w:r>
      <w:r>
        <w:rPr>
          <w:rFonts w:ascii="David" w:hAnsi="David"/>
          <w:rtl w:val="true"/>
        </w:rPr>
        <w:t>כי לאחר הגשת כתב האישום בעניינו של המשיב השתתף המשיב בקבוצת טיפול בנפגעי סמים</w:t>
      </w:r>
      <w:r>
        <w:rPr>
          <w:rFonts w:cs="David" w:ascii="David" w:hAnsi="David"/>
          <w:rtl w:val="true"/>
        </w:rPr>
        <w:t xml:space="preserve">. </w:t>
      </w:r>
      <w:r>
        <w:rPr>
          <w:rFonts w:ascii="David" w:hAnsi="David"/>
          <w:rtl w:val="true"/>
        </w:rPr>
        <w:t>המשיב התמיד והשתתף במפגשים שנערכו</w:t>
      </w:r>
      <w:r>
        <w:rPr>
          <w:rFonts w:cs="David" w:ascii="David" w:hAnsi="David"/>
          <w:rtl w:val="true"/>
        </w:rPr>
        <w:t xml:space="preserve">. </w:t>
      </w:r>
      <w:r>
        <w:rPr>
          <w:rFonts w:ascii="David" w:hAnsi="David"/>
          <w:rtl w:val="true"/>
        </w:rPr>
        <w:t>שירות המבחן</w:t>
      </w:r>
      <w:r>
        <w:rPr>
          <w:rFonts w:cs="David" w:ascii="David" w:hAnsi="David"/>
          <w:rtl w:val="true"/>
        </w:rPr>
        <w:t xml:space="preserve">, </w:t>
      </w:r>
      <w:r>
        <w:rPr>
          <w:rFonts w:ascii="David" w:hAnsi="David"/>
          <w:rtl w:val="true"/>
        </w:rPr>
        <w:t>התרשם אף הוא מנכונותו של המשיב לחזור לדרך המוטב</w:t>
      </w:r>
      <w:r>
        <w:rPr>
          <w:rFonts w:cs="David" w:ascii="David" w:hAnsi="David"/>
          <w:rtl w:val="true"/>
        </w:rPr>
        <w:t xml:space="preserve">, </w:t>
      </w:r>
      <w:r>
        <w:rPr>
          <w:rFonts w:ascii="David" w:hAnsi="David"/>
          <w:rtl w:val="true"/>
        </w:rPr>
        <w:t>ומכוח זה המליץ אף כי בית המשפט יימנע מהרשעתו של המשיב</w:t>
      </w:r>
      <w:r>
        <w:rPr>
          <w:rFonts w:cs="David" w:ascii="David" w:hAnsi="David"/>
          <w:rtl w:val="true"/>
        </w:rPr>
        <w:t xml:space="preserve">. </w:t>
      </w:r>
    </w:p>
    <w:p>
      <w:pPr>
        <w:pStyle w:val="Normal"/>
        <w:spacing w:lineRule="auto" w:line="360"/>
        <w:ind w:hanging="720" w:start="720" w:end="0"/>
        <w:jc w:val="both"/>
        <w:rPr>
          <w:rFonts w:ascii="David" w:hAnsi="David" w:cs="David"/>
        </w:rPr>
      </w:pPr>
      <w:r>
        <w:rPr>
          <w:rFonts w:cs="David" w:ascii="David" w:hAnsi="David"/>
          <w:rtl w:val="true"/>
        </w:rPr>
      </w:r>
    </w:p>
    <w:p>
      <w:pPr>
        <w:pStyle w:val="Normal"/>
        <w:spacing w:lineRule="auto" w:line="360"/>
        <w:ind w:start="720" w:end="0"/>
        <w:jc w:val="both"/>
        <w:rPr>
          <w:rFonts w:ascii="David" w:hAnsi="David" w:cs="David"/>
        </w:rPr>
      </w:pPr>
      <w:r>
        <w:rPr>
          <w:rFonts w:ascii="David" w:hAnsi="David"/>
          <w:rtl w:val="true"/>
        </w:rPr>
        <w:t>ערה אני לכך</w:t>
      </w:r>
      <w:r>
        <w:rPr>
          <w:rFonts w:cs="David" w:ascii="David" w:hAnsi="David"/>
          <w:rtl w:val="true"/>
        </w:rPr>
        <w:t xml:space="preserve">, </w:t>
      </w:r>
      <w:r>
        <w:rPr>
          <w:rFonts w:ascii="David" w:hAnsi="David"/>
          <w:rtl w:val="true"/>
        </w:rPr>
        <w:t>כי המלצת שירות המבחן הינה בבחינת המלצה בלבד</w:t>
      </w:r>
      <w:r>
        <w:rPr>
          <w:rFonts w:cs="David" w:ascii="David" w:hAnsi="David"/>
          <w:rtl w:val="true"/>
        </w:rPr>
        <w:t xml:space="preserve">, </w:t>
      </w:r>
      <w:r>
        <w:rPr>
          <w:rFonts w:ascii="David" w:hAnsi="David"/>
          <w:rtl w:val="true"/>
        </w:rPr>
        <w:t>ואין בכוחה לחייב את בית המשפט שמופקד על הראייה הכוללת</w:t>
      </w:r>
      <w:r>
        <w:rPr>
          <w:rFonts w:cs="David" w:ascii="David" w:hAnsi="David"/>
          <w:rtl w:val="true"/>
        </w:rPr>
        <w:t xml:space="preserve">, </w:t>
      </w:r>
      <w:r>
        <w:rPr>
          <w:rFonts w:ascii="David" w:hAnsi="David"/>
          <w:rtl w:val="true"/>
        </w:rPr>
        <w:t>הבוחנת גם שיקולים נוספים על פני טובתו של הנאשם</w:t>
      </w:r>
      <w:r>
        <w:rPr>
          <w:rFonts w:cs="David" w:ascii="David" w:hAnsi="David"/>
          <w:rtl w:val="true"/>
        </w:rPr>
        <w:t xml:space="preserve">, </w:t>
      </w:r>
      <w:r>
        <w:rPr>
          <w:rFonts w:ascii="David" w:hAnsi="David"/>
          <w:rtl w:val="true"/>
        </w:rPr>
        <w:t>שעיקרם בטובת הכלל והאינטרס הציבורי</w:t>
      </w:r>
      <w:r>
        <w:rPr>
          <w:rFonts w:cs="David" w:ascii="David" w:hAnsi="David"/>
          <w:rtl w:val="true"/>
        </w:rPr>
        <w:t xml:space="preserve">. </w:t>
      </w:r>
      <w:r>
        <w:rPr>
          <w:rFonts w:ascii="David" w:hAnsi="David"/>
          <w:rtl w:val="true"/>
        </w:rPr>
        <w:t>ואולם</w:t>
      </w:r>
      <w:r>
        <w:rPr>
          <w:rFonts w:cs="David" w:ascii="David" w:hAnsi="David"/>
          <w:rtl w:val="true"/>
        </w:rPr>
        <w:t xml:space="preserve">, </w:t>
      </w:r>
      <w:r>
        <w:rPr>
          <w:rFonts w:ascii="David" w:hAnsi="David"/>
          <w:rtl w:val="true"/>
        </w:rPr>
        <w:t>עדיין תסקיר שירות המבחן הוא כלי חשוב</w:t>
      </w:r>
      <w:r>
        <w:rPr>
          <w:rFonts w:cs="David" w:ascii="David" w:hAnsi="David"/>
          <w:rtl w:val="true"/>
        </w:rPr>
        <w:t xml:space="preserve">, </w:t>
      </w:r>
      <w:r>
        <w:rPr>
          <w:rFonts w:ascii="David" w:hAnsi="David"/>
          <w:rtl w:val="true"/>
        </w:rPr>
        <w:t>באמצעותו ניתן לרדת לעומקן של נסיבותיו האישיות של הנאשם ולעמוד על הגורמים</w:t>
      </w:r>
      <w:r>
        <w:rPr>
          <w:rFonts w:cs="David" w:ascii="David" w:hAnsi="David"/>
          <w:rtl w:val="true"/>
        </w:rPr>
        <w:t xml:space="preserve">, </w:t>
      </w:r>
      <w:r>
        <w:rPr>
          <w:rFonts w:ascii="David" w:hAnsi="David"/>
          <w:rtl w:val="true"/>
        </w:rPr>
        <w:t>שהביאו להידרדרותו לביצוע העבירות</w:t>
      </w:r>
      <w:r>
        <w:rPr>
          <w:rFonts w:cs="David" w:ascii="David" w:hAnsi="David"/>
          <w:rtl w:val="true"/>
        </w:rPr>
        <w:t xml:space="preserve">, </w:t>
      </w:r>
      <w:r>
        <w:rPr>
          <w:rFonts w:ascii="David" w:hAnsi="David"/>
          <w:rtl w:val="true"/>
        </w:rPr>
        <w:t>כמו גם לבחינה מעמיקה ומקצועית של סיכויי השיקום ודרכי השיקום</w:t>
      </w:r>
      <w:r>
        <w:rPr>
          <w:rFonts w:cs="David" w:ascii="David" w:hAnsi="David"/>
          <w:rtl w:val="true"/>
        </w:rPr>
        <w:t xml:space="preserve">. </w:t>
      </w:r>
      <w:r>
        <w:rPr>
          <w:rFonts w:ascii="David" w:hAnsi="David"/>
          <w:rtl w:val="true"/>
        </w:rPr>
        <w:t>מכאן עולה</w:t>
      </w:r>
      <w:r>
        <w:rPr>
          <w:rFonts w:cs="David" w:ascii="David" w:hAnsi="David"/>
          <w:rtl w:val="true"/>
        </w:rPr>
        <w:t xml:space="preserve">, </w:t>
      </w:r>
      <w:r>
        <w:rPr>
          <w:rFonts w:ascii="David" w:hAnsi="David"/>
          <w:rtl w:val="true"/>
        </w:rPr>
        <w:t>כי בנסיבות המתאימות נכון לתת להמלצות שירות המבחן משקל משמעותי ולעתים אף לאמצם</w:t>
      </w:r>
      <w:r>
        <w:rPr>
          <w:rFonts w:cs="David" w:ascii="David" w:hAnsi="David"/>
          <w:rtl w:val="true"/>
        </w:rPr>
        <w:t xml:space="preserve">. </w:t>
      </w:r>
      <w:r>
        <w:rPr>
          <w:rFonts w:ascii="David" w:hAnsi="David"/>
          <w:rtl w:val="true"/>
        </w:rPr>
        <w:t>ראו</w:t>
      </w:r>
      <w:r>
        <w:rPr>
          <w:rFonts w:cs="David" w:ascii="David" w:hAnsi="David"/>
          <w:rtl w:val="true"/>
        </w:rPr>
        <w:t xml:space="preserve">: </w:t>
      </w:r>
      <w:hyperlink r:id="rId29">
        <w:r>
          <w:rPr>
            <w:rStyle w:val="Hyperlink"/>
            <w:rFonts w:ascii="David" w:hAnsi="David"/>
            <w:color w:val="0000FF"/>
            <w:u w:val="single"/>
            <w:rtl w:val="true"/>
          </w:rPr>
          <w:t>ע</w:t>
        </w:r>
        <w:r>
          <w:rPr>
            <w:rStyle w:val="Hyperlink"/>
            <w:rFonts w:cs="David" w:ascii="David" w:hAnsi="David"/>
            <w:color w:val="0000FF"/>
            <w:u w:val="single"/>
            <w:rtl w:val="true"/>
          </w:rPr>
          <w:t>"</w:t>
        </w:r>
        <w:r>
          <w:rPr>
            <w:rStyle w:val="Hyperlink"/>
            <w:rFonts w:ascii="David" w:hAnsi="David"/>
            <w:color w:val="0000FF"/>
            <w:u w:val="single"/>
            <w:rtl w:val="true"/>
          </w:rPr>
          <w:t xml:space="preserve">פ </w:t>
        </w:r>
        <w:r>
          <w:rPr>
            <w:rStyle w:val="Hyperlink"/>
            <w:rFonts w:cs="David" w:ascii="David" w:hAnsi="David"/>
            <w:color w:val="0000FF"/>
            <w:u w:val="single"/>
          </w:rPr>
          <w:t>472/11</w:t>
        </w:r>
      </w:hyperlink>
      <w:r>
        <w:rPr>
          <w:rFonts w:cs="David" w:ascii="David" w:hAnsi="David"/>
          <w:rtl w:val="true"/>
        </w:rPr>
        <w:t xml:space="preserve"> </w:t>
      </w:r>
      <w:r>
        <w:rPr>
          <w:rFonts w:ascii="David" w:hAnsi="David"/>
          <w:b/>
          <w:b/>
          <w:bCs/>
          <w:rtl w:val="true"/>
        </w:rPr>
        <w:t>פלוני נ</w:t>
      </w:r>
      <w:r>
        <w:rPr>
          <w:rFonts w:cs="David" w:ascii="David" w:hAnsi="David"/>
          <w:b/>
          <w:bCs/>
          <w:rtl w:val="true"/>
        </w:rPr>
        <w:t xml:space="preserve">' </w:t>
      </w:r>
      <w:r>
        <w:rPr>
          <w:rFonts w:ascii="David" w:hAnsi="David"/>
          <w:b/>
          <w:b/>
          <w:bCs/>
          <w:rtl w:val="true"/>
        </w:rPr>
        <w:t>מדינת ישראל</w:t>
      </w:r>
      <w:r>
        <w:rPr>
          <w:rFonts w:ascii="David" w:hAnsi="David"/>
          <w:rtl w:val="true"/>
        </w:rPr>
        <w:t xml:space="preserve"> </w:t>
      </w:r>
      <w:r>
        <w:rPr>
          <w:rFonts w:cs="David" w:ascii="David" w:hAnsi="David"/>
          <w:rtl w:val="true"/>
        </w:rPr>
        <w:t>(</w:t>
      </w:r>
      <w:r>
        <w:rPr>
          <w:rFonts w:cs="David" w:ascii="David" w:hAnsi="David"/>
        </w:rPr>
        <w:t>03/09/2012</w:t>
      </w:r>
      <w:r>
        <w:rPr>
          <w:rFonts w:cs="David" w:ascii="David" w:hAnsi="David"/>
          <w:rtl w:val="true"/>
        </w:rPr>
        <w:t>).</w:t>
      </w:r>
    </w:p>
    <w:p>
      <w:pPr>
        <w:pStyle w:val="Normal"/>
        <w:spacing w:lineRule="auto" w:line="360"/>
        <w:ind w:hanging="720" w:start="720" w:end="0"/>
        <w:jc w:val="both"/>
        <w:rPr>
          <w:rFonts w:ascii="David" w:hAnsi="David" w:cs="David"/>
        </w:rPr>
      </w:pPr>
      <w:r>
        <w:rPr>
          <w:rFonts w:cs="David" w:ascii="David" w:hAnsi="David"/>
          <w:rtl w:val="true"/>
        </w:rPr>
      </w:r>
    </w:p>
    <w:p>
      <w:pPr>
        <w:pStyle w:val="Normal"/>
        <w:spacing w:lineRule="auto" w:line="360"/>
        <w:ind w:hanging="720" w:start="720" w:end="0"/>
        <w:jc w:val="both"/>
        <w:rPr>
          <w:rFonts w:ascii="David" w:hAnsi="David" w:cs="David"/>
        </w:rPr>
      </w:pPr>
      <w:r>
        <w:rPr>
          <w:rFonts w:cs="David" w:ascii="David" w:hAnsi="David"/>
        </w:rPr>
        <w:t>20</w:t>
      </w:r>
      <w:r>
        <w:rPr>
          <w:rFonts w:cs="David" w:ascii="David" w:hAnsi="David"/>
          <w:rtl w:val="true"/>
        </w:rPr>
        <w:t>.</w:t>
        <w:tab/>
      </w:r>
      <w:r>
        <w:rPr>
          <w:rFonts w:ascii="David" w:hAnsi="David"/>
          <w:rtl w:val="true"/>
        </w:rPr>
        <w:t>זאת ועוד</w:t>
      </w:r>
      <w:r>
        <w:rPr>
          <w:rFonts w:cs="David" w:ascii="David" w:hAnsi="David"/>
          <w:rtl w:val="true"/>
        </w:rPr>
        <w:t xml:space="preserve">, </w:t>
      </w:r>
      <w:r>
        <w:rPr>
          <w:rFonts w:ascii="David" w:hAnsi="David"/>
          <w:rtl w:val="true"/>
        </w:rPr>
        <w:t>עד למעורבותו בעבירה נשוא כתב האישום המתוקן</w:t>
      </w:r>
      <w:r>
        <w:rPr>
          <w:rFonts w:cs="David" w:ascii="David" w:hAnsi="David"/>
          <w:rtl w:val="true"/>
        </w:rPr>
        <w:t xml:space="preserve">, </w:t>
      </w:r>
      <w:r>
        <w:rPr>
          <w:rFonts w:ascii="David" w:hAnsi="David"/>
          <w:rtl w:val="true"/>
        </w:rPr>
        <w:t>עבד המשיב בנמל חיפה חרף מחלתו</w:t>
      </w:r>
      <w:r>
        <w:rPr>
          <w:rFonts w:cs="David" w:ascii="David" w:hAnsi="David"/>
          <w:rtl w:val="true"/>
        </w:rPr>
        <w:t xml:space="preserve">. </w:t>
      </w:r>
      <w:r>
        <w:rPr>
          <w:rFonts w:ascii="David" w:hAnsi="David"/>
          <w:rtl w:val="true"/>
        </w:rPr>
        <w:t>מעדותו של מר תורג</w:t>
      </w:r>
      <w:r>
        <w:rPr>
          <w:rFonts w:cs="David" w:ascii="David" w:hAnsi="David"/>
          <w:rtl w:val="true"/>
        </w:rPr>
        <w:t>'</w:t>
      </w:r>
      <w:r>
        <w:rPr>
          <w:rFonts w:ascii="David" w:hAnsi="David"/>
          <w:rtl w:val="true"/>
        </w:rPr>
        <w:t>מן</w:t>
      </w:r>
      <w:r>
        <w:rPr>
          <w:rFonts w:cs="David" w:ascii="David" w:hAnsi="David"/>
          <w:rtl w:val="true"/>
        </w:rPr>
        <w:t xml:space="preserve">, </w:t>
      </w:r>
      <w:r>
        <w:rPr>
          <w:rFonts w:ascii="David" w:hAnsi="David"/>
          <w:rtl w:val="true"/>
        </w:rPr>
        <w:t>יו</w:t>
      </w:r>
      <w:r>
        <w:rPr>
          <w:rFonts w:cs="David" w:ascii="David" w:hAnsi="David"/>
          <w:rtl w:val="true"/>
        </w:rPr>
        <w:t>"</w:t>
      </w:r>
      <w:r>
        <w:rPr>
          <w:rFonts w:ascii="David" w:hAnsi="David"/>
          <w:rtl w:val="true"/>
        </w:rPr>
        <w:t>ר ועד עובדי נמל חיפה בפני בית משפט קמא</w:t>
      </w:r>
      <w:r>
        <w:rPr>
          <w:rFonts w:cs="David" w:ascii="David" w:hAnsi="David"/>
          <w:rtl w:val="true"/>
        </w:rPr>
        <w:t xml:space="preserve">, </w:t>
      </w:r>
      <w:r>
        <w:rPr>
          <w:rFonts w:ascii="David" w:hAnsi="David"/>
          <w:rtl w:val="true"/>
        </w:rPr>
        <w:t>עולה</w:t>
      </w:r>
      <w:r>
        <w:rPr>
          <w:rFonts w:cs="David" w:ascii="David" w:hAnsi="David"/>
          <w:rtl w:val="true"/>
        </w:rPr>
        <w:t xml:space="preserve">, </w:t>
      </w:r>
      <w:r>
        <w:rPr>
          <w:rFonts w:ascii="David" w:hAnsi="David"/>
          <w:rtl w:val="true"/>
        </w:rPr>
        <w:t>כי קיימת נכונות מצד ועד העובדים לסייע בידי המשיב לחזור לעבודתו בנמל</w:t>
      </w:r>
      <w:r>
        <w:rPr>
          <w:rFonts w:cs="David" w:ascii="David" w:hAnsi="David"/>
          <w:rtl w:val="true"/>
        </w:rPr>
        <w:t xml:space="preserve">. </w:t>
      </w:r>
      <w:r>
        <w:rPr>
          <w:rFonts w:ascii="David" w:hAnsi="David"/>
          <w:rtl w:val="true"/>
        </w:rPr>
        <w:t>אמנם</w:t>
      </w:r>
      <w:r>
        <w:rPr>
          <w:rFonts w:cs="David" w:ascii="David" w:hAnsi="David"/>
          <w:rtl w:val="true"/>
        </w:rPr>
        <w:t xml:space="preserve">, </w:t>
      </w:r>
      <w:r>
        <w:rPr>
          <w:rFonts w:ascii="David" w:hAnsi="David"/>
          <w:rtl w:val="true"/>
        </w:rPr>
        <w:t>ידוע כי ההחלטה בדבר העסקת עובד במקום עבודה מתקבלת על ידי ההנהלה</w:t>
      </w:r>
      <w:r>
        <w:rPr>
          <w:rFonts w:cs="David" w:ascii="David" w:hAnsi="David"/>
          <w:rtl w:val="true"/>
        </w:rPr>
        <w:t xml:space="preserve">, </w:t>
      </w:r>
      <w:r>
        <w:rPr>
          <w:rFonts w:ascii="David" w:hAnsi="David"/>
          <w:rtl w:val="true"/>
        </w:rPr>
        <w:t>ואולם</w:t>
      </w:r>
      <w:r>
        <w:rPr>
          <w:rFonts w:cs="David" w:ascii="David" w:hAnsi="David"/>
          <w:rtl w:val="true"/>
        </w:rPr>
        <w:t xml:space="preserve">, </w:t>
      </w:r>
      <w:r>
        <w:rPr>
          <w:rFonts w:ascii="David" w:hAnsi="David"/>
          <w:rtl w:val="true"/>
        </w:rPr>
        <w:t>עדין אין בכך כדי לאיין את תפקידו של הוועד והשפעתו בקשר להעסקת עובדים</w:t>
      </w:r>
      <w:r>
        <w:rPr>
          <w:rFonts w:cs="David" w:ascii="David" w:hAnsi="David"/>
          <w:rtl w:val="true"/>
        </w:rPr>
        <w:t xml:space="preserve">. </w:t>
      </w:r>
      <w:r>
        <w:rPr>
          <w:rFonts w:ascii="David" w:hAnsi="David"/>
          <w:rtl w:val="true"/>
        </w:rPr>
        <w:t>מכאן</w:t>
      </w:r>
      <w:r>
        <w:rPr>
          <w:rFonts w:cs="David" w:ascii="David" w:hAnsi="David"/>
          <w:rtl w:val="true"/>
        </w:rPr>
        <w:t xml:space="preserve">, </w:t>
      </w:r>
      <w:r>
        <w:rPr>
          <w:rFonts w:ascii="David" w:hAnsi="David"/>
          <w:rtl w:val="true"/>
        </w:rPr>
        <w:t>ברי כי הרשעת המשיב בביצוע העבירה</w:t>
      </w:r>
      <w:r>
        <w:rPr>
          <w:rFonts w:cs="David" w:ascii="David" w:hAnsi="David"/>
          <w:rtl w:val="true"/>
        </w:rPr>
        <w:t xml:space="preserve">, </w:t>
      </w:r>
      <w:r>
        <w:rPr>
          <w:rFonts w:ascii="David" w:hAnsi="David"/>
          <w:rtl w:val="true"/>
        </w:rPr>
        <w:t>יש בה כדי לסכל אפשרות של המשיב לחזור לעבודתו בנמל</w:t>
      </w:r>
      <w:r>
        <w:rPr>
          <w:rFonts w:cs="David" w:ascii="David" w:hAnsi="David"/>
          <w:rtl w:val="true"/>
        </w:rPr>
        <w:t xml:space="preserve">, </w:t>
      </w:r>
      <w:r>
        <w:rPr>
          <w:rFonts w:ascii="David" w:hAnsi="David"/>
          <w:rtl w:val="true"/>
        </w:rPr>
        <w:t>ומאידך אי הרשעתו נותנת בידי  ועד העובדים אפשרות מעשית לסייע בידו להשתלב חזרה במקום עבודתו</w:t>
      </w:r>
      <w:r>
        <w:rPr>
          <w:rFonts w:cs="David" w:ascii="David" w:hAnsi="David"/>
          <w:rtl w:val="true"/>
        </w:rPr>
        <w:t xml:space="preserve">, </w:t>
      </w:r>
      <w:r>
        <w:rPr>
          <w:rFonts w:ascii="David" w:hAnsi="David"/>
          <w:rtl w:val="true"/>
        </w:rPr>
        <w:t>אשר משמש עבורו לו רק מקור פרנסה אלא משענת חשובה להמשך הליכי שיקומו</w:t>
      </w:r>
      <w:r>
        <w:rPr>
          <w:rFonts w:cs="David" w:ascii="David" w:hAnsi="David"/>
          <w:rtl w:val="true"/>
        </w:rPr>
        <w:t xml:space="preserve">, </w:t>
      </w:r>
      <w:r>
        <w:rPr>
          <w:rFonts w:ascii="David" w:hAnsi="David"/>
          <w:rtl w:val="true"/>
        </w:rPr>
        <w:t>כמפורט בתסקיר שירות המבחן</w:t>
      </w:r>
      <w:r>
        <w:rPr>
          <w:rFonts w:cs="David" w:ascii="David" w:hAnsi="David"/>
          <w:rtl w:val="true"/>
        </w:rPr>
        <w:t xml:space="preserve">. </w:t>
      </w:r>
    </w:p>
    <w:p>
      <w:pPr>
        <w:pStyle w:val="Normal"/>
        <w:spacing w:lineRule="auto" w:line="360"/>
        <w:ind w:hanging="720" w:start="720" w:end="0"/>
        <w:jc w:val="both"/>
        <w:rPr>
          <w:rFonts w:ascii="David" w:hAnsi="David" w:cs="David"/>
        </w:rPr>
      </w:pPr>
      <w:r>
        <w:rPr>
          <w:rFonts w:cs="David" w:ascii="David" w:hAnsi="David"/>
          <w:rtl w:val="true"/>
        </w:rPr>
      </w:r>
    </w:p>
    <w:p>
      <w:pPr>
        <w:pStyle w:val="Normal"/>
        <w:spacing w:lineRule="auto" w:line="360"/>
        <w:ind w:hanging="720" w:start="720" w:end="0"/>
        <w:jc w:val="both"/>
        <w:rPr>
          <w:rFonts w:ascii="David" w:hAnsi="David" w:cs="David"/>
        </w:rPr>
      </w:pPr>
      <w:r>
        <w:rPr>
          <w:rFonts w:cs="David" w:ascii="David" w:hAnsi="David"/>
        </w:rPr>
        <w:t>21</w:t>
      </w:r>
      <w:r>
        <w:rPr>
          <w:rFonts w:cs="David" w:ascii="David" w:hAnsi="David"/>
          <w:rtl w:val="true"/>
        </w:rPr>
        <w:t>.</w:t>
        <w:tab/>
      </w:r>
      <w:r>
        <w:rPr>
          <w:rFonts w:ascii="David" w:hAnsi="David"/>
          <w:rtl w:val="true"/>
        </w:rPr>
        <w:t>המשיב נעדר עבר פלילי</w:t>
      </w:r>
      <w:r>
        <w:rPr>
          <w:rFonts w:cs="David" w:ascii="David" w:hAnsi="David"/>
          <w:rtl w:val="true"/>
        </w:rPr>
        <w:t xml:space="preserve">, </w:t>
      </w:r>
      <w:r>
        <w:rPr>
          <w:rFonts w:ascii="David" w:hAnsi="David"/>
          <w:rtl w:val="true"/>
        </w:rPr>
        <w:t>הודה בביצוע העבירה והביע חרטה על מעשיו</w:t>
      </w:r>
      <w:r>
        <w:rPr>
          <w:rFonts w:cs="David" w:ascii="David" w:hAnsi="David"/>
          <w:rtl w:val="true"/>
        </w:rPr>
        <w:t xml:space="preserve">. </w:t>
      </w:r>
      <w:r>
        <w:rPr>
          <w:rFonts w:ascii="David" w:hAnsi="David"/>
          <w:rtl w:val="true"/>
        </w:rPr>
        <w:t>על רקע העובדה שמצטייר אצל המשיב פוטנציאל חיובי מאוד לשיקום</w:t>
      </w:r>
      <w:r>
        <w:rPr>
          <w:rFonts w:cs="David" w:ascii="David" w:hAnsi="David"/>
          <w:rtl w:val="true"/>
        </w:rPr>
        <w:t xml:space="preserve">, </w:t>
      </w:r>
      <w:r>
        <w:rPr>
          <w:rFonts w:ascii="David" w:hAnsi="David"/>
          <w:rtl w:val="true"/>
        </w:rPr>
        <w:t>עליו עמד גם שירות המבחן בתסקירו ולנוכח הפגיעה הצפויה במשיב באם יורשע לרבות הפגיעה הצפויה בסיכויי חזרתו לעבודה בנמל חיפה</w:t>
      </w:r>
      <w:r>
        <w:rPr>
          <w:rFonts w:cs="David" w:ascii="David" w:hAnsi="David"/>
          <w:rtl w:val="true"/>
        </w:rPr>
        <w:t xml:space="preserve">, </w:t>
      </w:r>
      <w:r>
        <w:rPr>
          <w:rFonts w:ascii="David" w:hAnsi="David"/>
          <w:rtl w:val="true"/>
        </w:rPr>
        <w:t>סבורני</w:t>
      </w:r>
      <w:r>
        <w:rPr>
          <w:rFonts w:cs="David" w:ascii="David" w:hAnsi="David"/>
          <w:rtl w:val="true"/>
        </w:rPr>
        <w:t xml:space="preserve">, </w:t>
      </w:r>
      <w:r>
        <w:rPr>
          <w:rFonts w:ascii="David" w:hAnsi="David"/>
          <w:rtl w:val="true"/>
        </w:rPr>
        <w:t>כי נכון עשה בית משפט קמא עת אמץ את מסקנות שירות המבחן ככתבן וכלשונן</w:t>
      </w:r>
      <w:r>
        <w:rPr>
          <w:rFonts w:cs="David" w:ascii="David" w:hAnsi="David"/>
          <w:rtl w:val="true"/>
        </w:rPr>
        <w:t xml:space="preserve">, </w:t>
      </w:r>
      <w:r>
        <w:rPr>
          <w:rFonts w:ascii="David" w:hAnsi="David"/>
          <w:rtl w:val="true"/>
        </w:rPr>
        <w:t>בכל הנוגע לענישה השיקומית שבחר בית משפט קמא להטיל על המשיב תוך הימנעות מהרשעתו</w:t>
      </w:r>
      <w:r>
        <w:rPr>
          <w:rFonts w:cs="David" w:ascii="David" w:hAnsi="David"/>
          <w:rtl w:val="true"/>
        </w:rPr>
        <w:t xml:space="preserve">. </w:t>
      </w:r>
      <w:r>
        <w:rPr>
          <w:rFonts w:ascii="David" w:hAnsi="David"/>
          <w:rtl w:val="true"/>
        </w:rPr>
        <w:t>יש לזכור שקיימת האפשרות לאור צו המבחן שהוטל על המשיב</w:t>
      </w:r>
      <w:r>
        <w:rPr>
          <w:rFonts w:cs="David" w:ascii="David" w:hAnsi="David"/>
          <w:rtl w:val="true"/>
        </w:rPr>
        <w:t xml:space="preserve">, </w:t>
      </w:r>
      <w:r>
        <w:rPr>
          <w:rFonts w:ascii="David" w:hAnsi="David"/>
          <w:rtl w:val="true"/>
        </w:rPr>
        <w:t>וככל שהמשיב לא יעמוד בתנאי הצו</w:t>
      </w:r>
      <w:r>
        <w:rPr>
          <w:rFonts w:cs="David" w:ascii="David" w:hAnsi="David"/>
          <w:rtl w:val="true"/>
        </w:rPr>
        <w:t xml:space="preserve">, </w:t>
      </w:r>
      <w:r>
        <w:rPr>
          <w:rFonts w:ascii="David" w:hAnsi="David"/>
          <w:rtl w:val="true"/>
        </w:rPr>
        <w:t>לא ישתף פעולה עם שירות המבחן ולא ישמור על מרחק משימוש בסמים להחזיר את עניינו של המשיב לדיון מחדש</w:t>
      </w:r>
      <w:r>
        <w:rPr>
          <w:rFonts w:cs="David" w:ascii="David" w:hAnsi="David"/>
          <w:rtl w:val="true"/>
        </w:rPr>
        <w:t xml:space="preserve">, </w:t>
      </w:r>
      <w:r>
        <w:rPr>
          <w:rFonts w:ascii="David" w:hAnsi="David"/>
          <w:rtl w:val="true"/>
        </w:rPr>
        <w:t>להרשיעו ולגזור עונשו מחדש</w:t>
      </w:r>
      <w:r>
        <w:rPr>
          <w:rFonts w:cs="David" w:ascii="David" w:hAnsi="David"/>
          <w:rtl w:val="true"/>
        </w:rPr>
        <w:t>.</w:t>
      </w:r>
    </w:p>
    <w:p>
      <w:pPr>
        <w:pStyle w:val="Normal"/>
        <w:spacing w:lineRule="auto" w:line="360"/>
        <w:ind w:end="0"/>
        <w:jc w:val="both"/>
        <w:rPr>
          <w:rFonts w:ascii="David" w:hAnsi="David" w:cs="David"/>
        </w:rPr>
      </w:pPr>
      <w:r>
        <w:rPr>
          <w:rFonts w:cs="David" w:ascii="David" w:hAnsi="David"/>
          <w:rtl w:val="true"/>
        </w:rPr>
      </w:r>
    </w:p>
    <w:p>
      <w:pPr>
        <w:pStyle w:val="Normal"/>
        <w:spacing w:lineRule="auto" w:line="360"/>
        <w:ind w:hanging="720" w:start="720" w:end="0"/>
        <w:jc w:val="both"/>
        <w:rPr>
          <w:rFonts w:ascii="David" w:hAnsi="David" w:cs="David"/>
        </w:rPr>
      </w:pPr>
      <w:r>
        <w:rPr>
          <w:rFonts w:cs="David" w:ascii="David" w:hAnsi="David"/>
        </w:rPr>
        <w:t>22</w:t>
      </w:r>
      <w:r>
        <w:rPr>
          <w:rFonts w:cs="David" w:ascii="David" w:hAnsi="David"/>
          <w:rtl w:val="true"/>
        </w:rPr>
        <w:t>.</w:t>
        <w:tab/>
      </w:r>
      <w:r>
        <w:rPr>
          <w:rFonts w:ascii="David" w:hAnsi="David"/>
          <w:rtl w:val="true"/>
        </w:rPr>
        <w:t>אשר על כן</w:t>
      </w:r>
      <w:r>
        <w:rPr>
          <w:rFonts w:cs="David" w:ascii="David" w:hAnsi="David"/>
          <w:rtl w:val="true"/>
        </w:rPr>
        <w:t xml:space="preserve">, </w:t>
      </w:r>
      <w:r>
        <w:rPr>
          <w:rFonts w:ascii="David" w:hAnsi="David"/>
          <w:rtl w:val="true"/>
        </w:rPr>
        <w:t>מבלי להקל ראש בחומרת העבירה שבביצועה הודה המשיב</w:t>
      </w:r>
      <w:r>
        <w:rPr>
          <w:rFonts w:cs="David" w:ascii="David" w:hAnsi="David"/>
          <w:rtl w:val="true"/>
        </w:rPr>
        <w:t xml:space="preserve">, </w:t>
      </w:r>
      <w:r>
        <w:rPr>
          <w:rFonts w:ascii="David" w:hAnsi="David"/>
          <w:rtl w:val="true"/>
        </w:rPr>
        <w:t>לאור האמור בתסקיר שירות המבחן בעניינו של המשיב</w:t>
      </w:r>
      <w:r>
        <w:rPr>
          <w:rFonts w:cs="David" w:ascii="David" w:hAnsi="David"/>
          <w:rtl w:val="true"/>
        </w:rPr>
        <w:t xml:space="preserve">, </w:t>
      </w:r>
      <w:r>
        <w:rPr>
          <w:rFonts w:ascii="David" w:hAnsi="David"/>
          <w:rtl w:val="true"/>
        </w:rPr>
        <w:t>שיקומו ואפשרות הפגיעה הממשית בסיכויו של המשיב לחזור לעבוד בנמל חיפה ככל שיורשע</w:t>
      </w:r>
      <w:r>
        <w:rPr>
          <w:rFonts w:cs="David" w:ascii="David" w:hAnsi="David"/>
          <w:rtl w:val="true"/>
        </w:rPr>
        <w:t xml:space="preserve">, </w:t>
      </w:r>
      <w:r>
        <w:rPr>
          <w:rFonts w:ascii="David" w:hAnsi="David"/>
          <w:rtl w:val="true"/>
        </w:rPr>
        <w:t>אציע לחבריי להרכב שלא להתערב בפסק דינו של בית משפט קמא</w:t>
      </w:r>
      <w:r>
        <w:rPr>
          <w:rFonts w:cs="David" w:ascii="David" w:hAnsi="David"/>
          <w:rtl w:val="true"/>
        </w:rPr>
        <w:t xml:space="preserve">, </w:t>
      </w:r>
      <w:r>
        <w:rPr>
          <w:rFonts w:ascii="David" w:hAnsi="David"/>
          <w:rtl w:val="true"/>
        </w:rPr>
        <w:t>בכל הנוגע להימנעות מהרשעתו של המערער ולהטלת העונשים נוספים שהמערערת עתרה להם בהודעת הערעור</w:t>
      </w:r>
      <w:r>
        <w:rPr>
          <w:rFonts w:cs="David" w:ascii="David" w:hAnsi="David"/>
          <w:rtl w:val="true"/>
        </w:rPr>
        <w:t xml:space="preserve">. </w:t>
      </w:r>
    </w:p>
    <w:p>
      <w:pPr>
        <w:pStyle w:val="Normal"/>
        <w:spacing w:lineRule="auto" w:line="360"/>
        <w:ind w:hanging="720" w:start="720" w:end="0"/>
        <w:jc w:val="both"/>
        <w:rPr>
          <w:rFonts w:ascii="David" w:hAnsi="David" w:cs="David"/>
        </w:rPr>
      </w:pPr>
      <w:r>
        <w:rPr>
          <w:rFonts w:cs="David" w:ascii="David" w:hAnsi="David"/>
          <w:rtl w:val="true"/>
        </w:rPr>
      </w:r>
    </w:p>
    <w:p>
      <w:pPr>
        <w:pStyle w:val="Normal"/>
        <w:spacing w:lineRule="auto" w:line="360"/>
        <w:ind w:hanging="720" w:start="720" w:end="0"/>
        <w:jc w:val="both"/>
        <w:rPr>
          <w:rFonts w:ascii="David" w:hAnsi="David" w:cs="David"/>
        </w:rPr>
      </w:pPr>
      <w:r>
        <w:rPr>
          <w:rFonts w:cs="David" w:ascii="David" w:hAnsi="David"/>
        </w:rPr>
        <w:t>23</w:t>
      </w:r>
      <w:r>
        <w:rPr>
          <w:rFonts w:cs="David" w:ascii="David" w:hAnsi="David"/>
          <w:rtl w:val="true"/>
        </w:rPr>
        <w:t>.</w:t>
        <w:tab/>
      </w:r>
      <w:r>
        <w:rPr>
          <w:rFonts w:ascii="David" w:hAnsi="David"/>
          <w:rtl w:val="true"/>
        </w:rPr>
        <w:t xml:space="preserve">יחד עם זאת אציע לחבריי להאריך את תקופת צו המבחן שהועמד על ידי בית משפט קמא על </w:t>
      </w:r>
      <w:r>
        <w:rPr>
          <w:rFonts w:cs="David" w:ascii="David" w:hAnsi="David"/>
        </w:rPr>
        <w:t>12</w:t>
      </w:r>
      <w:r>
        <w:rPr>
          <w:rFonts w:cs="David" w:ascii="David" w:hAnsi="David"/>
          <w:rtl w:val="true"/>
        </w:rPr>
        <w:t xml:space="preserve"> </w:t>
      </w:r>
      <w:r>
        <w:rPr>
          <w:rFonts w:ascii="David" w:hAnsi="David"/>
          <w:rtl w:val="true"/>
        </w:rPr>
        <w:t>חודשים</w:t>
      </w:r>
      <w:r>
        <w:rPr>
          <w:rFonts w:cs="David" w:ascii="David" w:hAnsi="David"/>
          <w:rtl w:val="true"/>
        </w:rPr>
        <w:t xml:space="preserve">, </w:t>
      </w:r>
      <w:r>
        <w:rPr>
          <w:rFonts w:ascii="David" w:hAnsi="David"/>
          <w:rtl w:val="true"/>
        </w:rPr>
        <w:t xml:space="preserve">כך שיעמוד על </w:t>
      </w:r>
      <w:r>
        <w:rPr>
          <w:rFonts w:cs="David" w:ascii="David" w:hAnsi="David"/>
        </w:rPr>
        <w:t>18</w:t>
      </w:r>
      <w:r>
        <w:rPr>
          <w:rFonts w:cs="David" w:ascii="David" w:hAnsi="David"/>
          <w:rtl w:val="true"/>
        </w:rPr>
        <w:t xml:space="preserve"> </w:t>
      </w:r>
      <w:r>
        <w:rPr>
          <w:rFonts w:ascii="David" w:hAnsi="David"/>
          <w:rtl w:val="true"/>
        </w:rPr>
        <w:t>חודשים ובאופן שהמשיב יוכל להשלים הליך שיקום ממושך תחת פיקוחו של שירות המבחן</w:t>
      </w:r>
      <w:r>
        <w:rPr>
          <w:rFonts w:cs="David" w:ascii="David" w:hAnsi="David"/>
          <w:rtl w:val="true"/>
        </w:rPr>
        <w:t xml:space="preserve">. </w:t>
      </w:r>
      <w:r>
        <w:rPr>
          <w:rFonts w:ascii="David" w:hAnsi="David"/>
          <w:rtl w:val="true"/>
        </w:rPr>
        <w:t xml:space="preserve">כן אציע לחבריי להגדיל את הפיצוי הכספי שהושת על המשיב מסכום של </w:t>
      </w:r>
      <w:r>
        <w:rPr>
          <w:rFonts w:cs="David" w:ascii="David" w:hAnsi="David"/>
        </w:rPr>
        <w:t>5,000</w:t>
      </w:r>
      <w:r>
        <w:rPr>
          <w:rFonts w:cs="David" w:ascii="David" w:hAnsi="David"/>
          <w:rtl w:val="true"/>
        </w:rPr>
        <w:t xml:space="preserve"> ₪ </w:t>
      </w:r>
      <w:r>
        <w:rPr>
          <w:rFonts w:ascii="David" w:hAnsi="David"/>
          <w:rtl w:val="true"/>
        </w:rPr>
        <w:t>ל</w:t>
      </w:r>
      <w:r>
        <w:rPr>
          <w:rFonts w:cs="David" w:ascii="David" w:hAnsi="David"/>
          <w:rtl w:val="true"/>
        </w:rPr>
        <w:t>-</w:t>
      </w:r>
      <w:r>
        <w:rPr>
          <w:rFonts w:cs="David" w:ascii="David" w:hAnsi="David"/>
        </w:rPr>
        <w:t>11,000</w:t>
      </w:r>
      <w:r>
        <w:rPr>
          <w:rFonts w:cs="David" w:ascii="David" w:hAnsi="David"/>
          <w:rtl w:val="true"/>
        </w:rPr>
        <w:t xml:space="preserve"> ₪ </w:t>
      </w:r>
      <w:r>
        <w:rPr>
          <w:rFonts w:ascii="David" w:hAnsi="David"/>
          <w:rtl w:val="true"/>
        </w:rPr>
        <w:t>בדומה לעונש הכספי שהושת על שותפו של המשיב לעבירות נשוא כתב האישום המתוקן</w:t>
      </w:r>
      <w:r>
        <w:rPr>
          <w:rFonts w:cs="David" w:ascii="David" w:hAnsi="David"/>
          <w:rtl w:val="true"/>
        </w:rPr>
        <w:t xml:space="preserve">. </w:t>
      </w:r>
    </w:p>
    <w:p>
      <w:pPr>
        <w:pStyle w:val="Normal"/>
        <w:spacing w:lineRule="auto" w:line="360"/>
        <w:ind w:hanging="720" w:start="720" w:end="0"/>
        <w:jc w:val="both"/>
        <w:rPr>
          <w:rFonts w:ascii="David" w:hAnsi="David" w:cs="David"/>
        </w:rPr>
      </w:pPr>
      <w:r>
        <w:rPr>
          <w:rFonts w:cs="David" w:ascii="David" w:hAnsi="David"/>
          <w:rtl w:val="true"/>
        </w:rPr>
        <w:tab/>
        <w:t xml:space="preserve">  </w:t>
      </w:r>
    </w:p>
    <w:p>
      <w:pPr>
        <w:pStyle w:val="Normal"/>
        <w:spacing w:lineRule="auto" w:line="360"/>
        <w:ind w:hanging="720" w:start="720" w:end="0"/>
        <w:jc w:val="both"/>
        <w:rPr>
          <w:rFonts w:ascii="David" w:hAnsi="David" w:cs="David"/>
        </w:rPr>
      </w:pPr>
      <w:r>
        <w:rPr>
          <w:rFonts w:cs="David" w:ascii="David" w:hAnsi="David"/>
        </w:rPr>
        <w:t>24</w:t>
      </w:r>
      <w:r>
        <w:rPr>
          <w:rFonts w:cs="David" w:ascii="David" w:hAnsi="David"/>
          <w:rtl w:val="true"/>
        </w:rPr>
        <w:t>.</w:t>
        <w:tab/>
      </w:r>
      <w:r>
        <w:rPr>
          <w:rFonts w:ascii="David" w:hAnsi="David"/>
          <w:rtl w:val="true"/>
        </w:rPr>
        <w:t>מובהר למשיב</w:t>
      </w:r>
      <w:r>
        <w:rPr>
          <w:rFonts w:cs="David" w:ascii="David" w:hAnsi="David"/>
          <w:rtl w:val="true"/>
        </w:rPr>
        <w:t xml:space="preserve">, </w:t>
      </w:r>
      <w:r>
        <w:rPr>
          <w:rFonts w:ascii="David" w:hAnsi="David"/>
          <w:rtl w:val="true"/>
        </w:rPr>
        <w:t>כי אם לא ימלא אחר צו המבחן שהוטל עליו על ידי בית משפט קמא או יעבור עבירה נוספת כלשהי</w:t>
      </w:r>
      <w:r>
        <w:rPr>
          <w:rFonts w:cs="David" w:ascii="David" w:hAnsi="David"/>
          <w:rtl w:val="true"/>
        </w:rPr>
        <w:t xml:space="preserve">, </w:t>
      </w:r>
      <w:r>
        <w:rPr>
          <w:rFonts w:ascii="David" w:hAnsi="David"/>
          <w:rtl w:val="true"/>
        </w:rPr>
        <w:t>כי אז ניתן יהיה להחזיר את הדיון בעניינו לבית המשפט והוא יהיה צפוי לעונש נוסף על העבירות בהן יורשע</w:t>
      </w:r>
      <w:r>
        <w:rPr>
          <w:rFonts w:cs="David" w:ascii="David" w:hAnsi="David"/>
          <w:rtl w:val="true"/>
        </w:rPr>
        <w:t xml:space="preserve">, </w:t>
      </w:r>
      <w:r>
        <w:rPr>
          <w:rFonts w:ascii="David" w:hAnsi="David"/>
          <w:rtl w:val="true"/>
        </w:rPr>
        <w:t>לרבות הרשעתו בביצוע העבירה נשוא כתב האישום המתוקן בעניינינו</w:t>
      </w:r>
      <w:r>
        <w:rPr>
          <w:rFonts w:cs="David" w:ascii="David" w:hAnsi="David"/>
          <w:rtl w:val="true"/>
        </w:rPr>
        <w:t>.</w:t>
      </w:r>
    </w:p>
    <w:tbl>
      <w:tblPr>
        <w:bidiVisual w:val="true"/>
        <w:tblW w:w="2275" w:type="dxa"/>
        <w:jc w:val="start"/>
        <w:tblInd w:w="108" w:type="dxa"/>
        <w:tblLayout w:type="fixed"/>
        <w:tblCellMar>
          <w:top w:w="0" w:type="dxa"/>
          <w:start w:w="108" w:type="dxa"/>
          <w:bottom w:w="0" w:type="dxa"/>
          <w:end w:w="108" w:type="dxa"/>
        </w:tblCellMar>
      </w:tblPr>
      <w:tblGrid>
        <w:gridCol w:w="2275"/>
      </w:tblGrid>
      <w:tr>
        <w:trPr/>
        <w:tc>
          <w:tcPr>
            <w:tcW w:w="2275" w:type="dxa"/>
            <w:tcBorders>
              <w:bottom w:val="single" w:sz="4" w:space="0" w:color="000000"/>
            </w:tcBorders>
            <w:vAlign w:val="center"/>
          </w:tcPr>
          <w:p>
            <w:pPr>
              <w:pStyle w:val="Normal"/>
              <w:snapToGrid w:val="false"/>
              <w:ind w:end="0"/>
              <w:jc w:val="center"/>
              <w:rPr>
                <w:rFonts w:ascii="Courier New" w:hAnsi="Courier New" w:cs="Courier New"/>
                <w:b/>
                <w:bCs/>
              </w:rPr>
            </w:pPr>
            <w:r>
              <w:rPr>
                <w:rFonts w:cs="Courier New" w:ascii="Courier New" w:hAnsi="Courier New"/>
                <w:b/>
                <w:bCs/>
                <w:rtl w:val="true"/>
              </w:rPr>
            </w:r>
          </w:p>
        </w:tc>
      </w:tr>
      <w:tr>
        <w:trPr/>
        <w:tc>
          <w:tcPr>
            <w:tcW w:w="2275" w:type="dxa"/>
            <w:tcBorders>
              <w:top w:val="single" w:sz="4" w:space="0" w:color="000000"/>
            </w:tcBorders>
          </w:tcPr>
          <w:p>
            <w:pPr>
              <w:pStyle w:val="Normal"/>
              <w:ind w:end="0"/>
              <w:jc w:val="center"/>
              <w:rPr>
                <w:b/>
                <w:bCs/>
              </w:rPr>
            </w:pPr>
            <w:r>
              <w:rPr>
                <w:b/>
                <w:b/>
                <w:bCs/>
                <w:rtl w:val="true"/>
              </w:rPr>
              <w:t>בטינה</w:t>
            </w:r>
            <w:r>
              <w:rPr>
                <w:rFonts w:cs="Times New Roman"/>
                <w:b/>
                <w:b/>
                <w:bCs/>
                <w:rtl w:val="true"/>
              </w:rPr>
              <w:t xml:space="preserve"> </w:t>
            </w:r>
            <w:r>
              <w:rPr>
                <w:b/>
                <w:b/>
                <w:bCs/>
                <w:rtl w:val="true"/>
              </w:rPr>
              <w:t>טאובר</w:t>
            </w:r>
            <w:r>
              <w:rPr>
                <w:b/>
                <w:bCs/>
                <w:rtl w:val="true"/>
              </w:rPr>
              <w:t xml:space="preserve">, </w:t>
            </w:r>
            <w:r>
              <w:rPr>
                <w:b/>
                <w:b/>
                <w:bCs/>
                <w:rtl w:val="true"/>
              </w:rPr>
              <w:t>שופטת</w:t>
            </w:r>
          </w:p>
        </w:tc>
      </w:tr>
    </w:tbl>
    <w:p>
      <w:pPr>
        <w:pStyle w:val="Normal"/>
        <w:spacing w:lineRule="auto" w:line="360"/>
        <w:ind w:hanging="720" w:start="720" w:end="0"/>
        <w:jc w:val="both"/>
        <w:rPr>
          <w:rFonts w:ascii="David" w:hAnsi="David" w:cs="David"/>
        </w:rPr>
      </w:pPr>
      <w:r>
        <w:rPr>
          <w:rFonts w:cs="David" w:ascii="David" w:hAnsi="David"/>
          <w:rtl w:val="true"/>
        </w:rPr>
      </w:r>
    </w:p>
    <w:p>
      <w:pPr>
        <w:pStyle w:val="Normal"/>
        <w:spacing w:lineRule="auto" w:line="360"/>
        <w:ind w:hanging="720" w:start="720" w:end="0"/>
        <w:jc w:val="both"/>
        <w:rPr>
          <w:rFonts w:ascii="David" w:hAnsi="David" w:cs="David"/>
          <w:b/>
          <w:bCs/>
          <w:u w:val="single"/>
        </w:rPr>
      </w:pPr>
      <w:r>
        <w:rPr>
          <w:rFonts w:ascii="David" w:hAnsi="David"/>
          <w:b/>
          <w:b/>
          <w:bCs/>
          <w:u w:val="single"/>
          <w:rtl w:val="true"/>
        </w:rPr>
        <w:t>השופט ר</w:t>
      </w:r>
      <w:r>
        <w:rPr>
          <w:rFonts w:cs="David" w:ascii="David" w:hAnsi="David"/>
          <w:b/>
          <w:bCs/>
          <w:u w:val="single"/>
          <w:rtl w:val="true"/>
        </w:rPr>
        <w:t xml:space="preserve">' </w:t>
      </w:r>
      <w:r>
        <w:rPr>
          <w:rFonts w:ascii="David" w:hAnsi="David"/>
          <w:b/>
          <w:b/>
          <w:bCs/>
          <w:u w:val="single"/>
          <w:rtl w:val="true"/>
        </w:rPr>
        <w:t>שפירא</w:t>
      </w:r>
      <w:r>
        <w:rPr>
          <w:rFonts w:cs="David" w:ascii="David" w:hAnsi="David"/>
          <w:b/>
          <w:bCs/>
          <w:u w:val="single"/>
          <w:rtl w:val="true"/>
        </w:rPr>
        <w:t xml:space="preserve">, </w:t>
      </w:r>
      <w:r>
        <w:rPr>
          <w:rFonts w:ascii="David" w:hAnsi="David"/>
          <w:b/>
          <w:b/>
          <w:bCs/>
          <w:u w:val="single"/>
          <w:rtl w:val="true"/>
        </w:rPr>
        <w:t xml:space="preserve">סגן נשיא </w:t>
      </w:r>
      <w:r>
        <w:rPr>
          <w:rFonts w:cs="David" w:ascii="David" w:hAnsi="David"/>
          <w:b/>
          <w:bCs/>
          <w:u w:val="single"/>
          <w:rtl w:val="true"/>
        </w:rPr>
        <w:t>[</w:t>
      </w:r>
      <w:r>
        <w:rPr>
          <w:rFonts w:ascii="David" w:hAnsi="David"/>
          <w:b/>
          <w:b/>
          <w:bCs/>
          <w:u w:val="single"/>
          <w:rtl w:val="true"/>
        </w:rPr>
        <w:t>אב</w:t>
      </w:r>
      <w:r>
        <w:rPr>
          <w:rFonts w:cs="David" w:ascii="David" w:hAnsi="David"/>
          <w:b/>
          <w:bCs/>
          <w:u w:val="single"/>
          <w:rtl w:val="true"/>
        </w:rPr>
        <w:t>"</w:t>
      </w:r>
      <w:r>
        <w:rPr>
          <w:rFonts w:ascii="David" w:hAnsi="David"/>
          <w:b/>
          <w:b/>
          <w:bCs/>
          <w:u w:val="single"/>
          <w:rtl w:val="true"/>
        </w:rPr>
        <w:t>ד</w:t>
      </w:r>
      <w:r>
        <w:rPr>
          <w:rFonts w:cs="David" w:ascii="David" w:hAnsi="David"/>
          <w:b/>
          <w:bCs/>
          <w:u w:val="single"/>
          <w:rtl w:val="true"/>
        </w:rPr>
        <w:t>]</w:t>
      </w:r>
      <w:r>
        <w:rPr>
          <w:rtl w:val="true"/>
        </w:rPr>
        <w:t>:</w:t>
      </w:r>
    </w:p>
    <w:p>
      <w:pPr>
        <w:pStyle w:val="Normal"/>
        <w:spacing w:lineRule="auto" w:line="360"/>
        <w:ind w:hanging="720" w:start="720" w:end="0"/>
        <w:jc w:val="both"/>
        <w:rPr>
          <w:rFonts w:ascii="David" w:hAnsi="David" w:cs="David"/>
          <w:b/>
          <w:bCs/>
          <w:u w:val="single"/>
        </w:rPr>
      </w:pPr>
      <w:r>
        <w:rPr>
          <w:rFonts w:cs="David" w:ascii="David" w:hAnsi="David"/>
          <w:b/>
          <w:bCs/>
          <w:u w:val="single"/>
          <w:rtl w:val="true"/>
        </w:rPr>
      </w:r>
    </w:p>
    <w:p>
      <w:pPr>
        <w:pStyle w:val="Normal"/>
        <w:spacing w:lineRule="auto" w:line="360"/>
        <w:ind w:end="0"/>
        <w:jc w:val="both"/>
        <w:rPr>
          <w:rFonts w:ascii="David" w:hAnsi="David" w:cs="David"/>
        </w:rPr>
      </w:pPr>
      <w:r>
        <w:rPr>
          <w:rFonts w:ascii="David" w:hAnsi="David"/>
          <w:rtl w:val="true"/>
        </w:rPr>
        <w:t>אני מצטרף למסקנתה של חברתי</w:t>
      </w:r>
      <w:r>
        <w:rPr>
          <w:rFonts w:cs="David" w:ascii="David" w:hAnsi="David"/>
          <w:rtl w:val="true"/>
        </w:rPr>
        <w:t xml:space="preserve">, </w:t>
      </w:r>
      <w:r>
        <w:rPr>
          <w:rFonts w:ascii="David" w:hAnsi="David"/>
          <w:rtl w:val="true"/>
        </w:rPr>
        <w:t>השופטת טאובר</w:t>
      </w:r>
      <w:r>
        <w:rPr>
          <w:rFonts w:cs="David" w:ascii="David" w:hAnsi="David"/>
          <w:rtl w:val="true"/>
        </w:rPr>
        <w:t xml:space="preserve">. </w:t>
      </w:r>
      <w:r>
        <w:rPr>
          <w:rFonts w:ascii="David" w:hAnsi="David"/>
          <w:rtl w:val="true"/>
        </w:rPr>
        <w:t>עם זאת סבור אני כי שגה בית משפט קמא באופן בו הגיע אל התוצאה</w:t>
      </w:r>
      <w:r>
        <w:rPr>
          <w:rFonts w:cs="David" w:ascii="David" w:hAnsi="David"/>
          <w:rtl w:val="true"/>
        </w:rPr>
        <w:t xml:space="preserve">. </w:t>
      </w:r>
    </w:p>
    <w:p>
      <w:pPr>
        <w:pStyle w:val="Normal"/>
        <w:spacing w:lineRule="auto" w:line="360"/>
        <w:ind w:end="0"/>
        <w:jc w:val="both"/>
        <w:rPr>
          <w:rFonts w:ascii="David" w:hAnsi="David" w:cs="David"/>
        </w:rPr>
      </w:pPr>
      <w:r>
        <w:rPr>
          <w:rFonts w:cs="David" w:ascii="David" w:hAnsi="David"/>
          <w:rtl w:val="true"/>
        </w:rPr>
      </w:r>
    </w:p>
    <w:p>
      <w:pPr>
        <w:pStyle w:val="Normal"/>
        <w:spacing w:lineRule="auto" w:line="360"/>
        <w:ind w:end="0"/>
        <w:jc w:val="both"/>
        <w:rPr>
          <w:rFonts w:ascii="David" w:hAnsi="David" w:cs="David"/>
        </w:rPr>
      </w:pPr>
      <w:r>
        <w:rPr>
          <w:rFonts w:ascii="David" w:hAnsi="David"/>
          <w:rtl w:val="true"/>
        </w:rPr>
        <w:t>בכל הנוגע לעדות המומחה לעניין רכיב הסם הפעיל בכלל הצמח שנתפס – עניין זה</w:t>
      </w:r>
      <w:r>
        <w:rPr>
          <w:rFonts w:cs="David" w:ascii="David" w:hAnsi="David"/>
          <w:rtl w:val="true"/>
        </w:rPr>
        <w:t xml:space="preserve">, </w:t>
      </w:r>
      <w:r>
        <w:rPr>
          <w:rFonts w:ascii="David" w:hAnsi="David"/>
          <w:rtl w:val="true"/>
        </w:rPr>
        <w:t>לטעמי</w:t>
      </w:r>
      <w:r>
        <w:rPr>
          <w:rFonts w:cs="David" w:ascii="David" w:hAnsi="David"/>
          <w:rtl w:val="true"/>
        </w:rPr>
        <w:t xml:space="preserve">, </w:t>
      </w:r>
      <w:r>
        <w:rPr>
          <w:rFonts w:ascii="David" w:hAnsi="David"/>
          <w:rtl w:val="true"/>
        </w:rPr>
        <w:t>לא היה נחוץ כלל לצורך ההכרעה במחלוקת וגזירת הדין</w:t>
      </w:r>
      <w:r>
        <w:rPr>
          <w:rFonts w:cs="David" w:ascii="David" w:hAnsi="David"/>
          <w:rtl w:val="true"/>
        </w:rPr>
        <w:t xml:space="preserve">. </w:t>
      </w:r>
      <w:r>
        <w:rPr>
          <w:rFonts w:ascii="David" w:hAnsi="David"/>
          <w:rtl w:val="true"/>
        </w:rPr>
        <w:t>זאת מאחר ויוחסה למשיב</w:t>
      </w:r>
      <w:r>
        <w:rPr>
          <w:rFonts w:cs="David" w:ascii="David" w:hAnsi="David"/>
          <w:rtl w:val="true"/>
        </w:rPr>
        <w:t>/</w:t>
      </w:r>
      <w:r>
        <w:rPr>
          <w:rFonts w:ascii="David" w:hAnsi="David"/>
          <w:rtl w:val="true"/>
        </w:rPr>
        <w:t>הנאשם</w:t>
      </w:r>
      <w:r>
        <w:rPr>
          <w:rFonts w:cs="David" w:ascii="David" w:hAnsi="David"/>
          <w:rtl w:val="true"/>
        </w:rPr>
        <w:t xml:space="preserve">, </w:t>
      </w:r>
      <w:r>
        <w:rPr>
          <w:rFonts w:ascii="David" w:hAnsi="David"/>
          <w:rtl w:val="true"/>
        </w:rPr>
        <w:t>על פי כתב האישום</w:t>
      </w:r>
      <w:r>
        <w:rPr>
          <w:rFonts w:cs="David" w:ascii="David" w:hAnsi="David"/>
          <w:rtl w:val="true"/>
        </w:rPr>
        <w:t xml:space="preserve">, </w:t>
      </w:r>
      <w:r>
        <w:rPr>
          <w:rFonts w:ascii="David" w:hAnsi="David"/>
          <w:rtl w:val="true"/>
        </w:rPr>
        <w:t>עבירה של גידול</w:t>
      </w:r>
      <w:r>
        <w:rPr>
          <w:rFonts w:cs="David" w:ascii="David" w:hAnsi="David"/>
          <w:rtl w:val="true"/>
        </w:rPr>
        <w:t xml:space="preserve">, </w:t>
      </w:r>
      <w:r>
        <w:rPr>
          <w:rFonts w:ascii="David" w:hAnsi="David"/>
          <w:rtl w:val="true"/>
        </w:rPr>
        <w:t>יצור והכנת סמים מסוכנים</w:t>
      </w:r>
      <w:r>
        <w:rPr>
          <w:rFonts w:cs="David" w:ascii="David" w:hAnsi="David"/>
          <w:rtl w:val="true"/>
        </w:rPr>
        <w:t xml:space="preserve">. </w:t>
      </w:r>
      <w:r>
        <w:rPr>
          <w:rFonts w:ascii="David" w:hAnsi="David"/>
          <w:rtl w:val="true"/>
        </w:rPr>
        <w:t>לא נטען בעובדות כתב האישום כי הסם שגודל בעציצים סופק לאחרים ולא נטען כי נעשה בו שימוש מעבר לשימוש עצמי</w:t>
      </w:r>
      <w:r>
        <w:rPr>
          <w:rFonts w:cs="David" w:ascii="David" w:hAnsi="David"/>
          <w:rtl w:val="true"/>
        </w:rPr>
        <w:t xml:space="preserve">. </w:t>
      </w:r>
      <w:r>
        <w:rPr>
          <w:rFonts w:ascii="David" w:hAnsi="David"/>
          <w:rtl w:val="true"/>
        </w:rPr>
        <w:t>בנסיבות אלו</w:t>
      </w:r>
      <w:r>
        <w:rPr>
          <w:rFonts w:cs="David" w:ascii="David" w:hAnsi="David"/>
          <w:rtl w:val="true"/>
        </w:rPr>
        <w:t xml:space="preserve">, </w:t>
      </w:r>
      <w:r>
        <w:rPr>
          <w:rFonts w:ascii="David" w:hAnsi="David"/>
          <w:rtl w:val="true"/>
        </w:rPr>
        <w:t>והגם שכמות החומר הצמחי שנתפס עולה על הכמות הקבועה בחוק ככמות המהווה סם שאינו לשימוש עצמי</w:t>
      </w:r>
      <w:r>
        <w:rPr>
          <w:rFonts w:cs="David" w:ascii="David" w:hAnsi="David"/>
          <w:rtl w:val="true"/>
        </w:rPr>
        <w:t xml:space="preserve">, </w:t>
      </w:r>
      <w:r>
        <w:rPr>
          <w:rFonts w:ascii="David" w:hAnsi="David"/>
          <w:rtl w:val="true"/>
        </w:rPr>
        <w:t>הרי שבהעדר כל אמירה לעניין זה</w:t>
      </w:r>
      <w:r>
        <w:rPr>
          <w:rFonts w:cs="David" w:ascii="David" w:hAnsi="David"/>
          <w:rtl w:val="true"/>
        </w:rPr>
        <w:t xml:space="preserve">, </w:t>
      </w:r>
      <w:r>
        <w:rPr>
          <w:rFonts w:ascii="David" w:hAnsi="David"/>
          <w:rtl w:val="true"/>
        </w:rPr>
        <w:t>יש לפרש את מכלול הנסיבות באופן המקל עם המשיב</w:t>
      </w:r>
      <w:r>
        <w:rPr>
          <w:rFonts w:cs="David" w:ascii="David" w:hAnsi="David"/>
          <w:rtl w:val="true"/>
        </w:rPr>
        <w:t xml:space="preserve">, </w:t>
      </w:r>
      <w:r>
        <w:rPr>
          <w:rFonts w:ascii="David" w:hAnsi="David"/>
          <w:rtl w:val="true"/>
        </w:rPr>
        <w:t>דהיינו שמדובר בצמחי סם שגודלו אך ורק לשימושם העצמי של המשיב ושותפו</w:t>
      </w:r>
      <w:r>
        <w:rPr>
          <w:rFonts w:cs="David" w:ascii="David" w:hAnsi="David"/>
          <w:rtl w:val="true"/>
        </w:rPr>
        <w:t>.</w:t>
      </w:r>
    </w:p>
    <w:p>
      <w:pPr>
        <w:pStyle w:val="Normal"/>
        <w:spacing w:lineRule="auto" w:line="360"/>
        <w:ind w:start="720" w:end="0"/>
        <w:jc w:val="both"/>
        <w:rPr>
          <w:rFonts w:ascii="David" w:hAnsi="David" w:cs="David"/>
        </w:rPr>
      </w:pPr>
      <w:r>
        <w:rPr>
          <w:rFonts w:cs="David" w:ascii="David" w:hAnsi="David"/>
          <w:rtl w:val="true"/>
        </w:rPr>
      </w:r>
    </w:p>
    <w:p>
      <w:pPr>
        <w:pStyle w:val="Normal"/>
        <w:spacing w:lineRule="auto" w:line="360"/>
        <w:ind w:end="0"/>
        <w:jc w:val="both"/>
        <w:rPr>
          <w:rFonts w:ascii="David" w:hAnsi="David" w:cs="David"/>
        </w:rPr>
      </w:pPr>
      <w:r>
        <w:rPr>
          <w:rFonts w:ascii="David" w:hAnsi="David"/>
          <w:rtl w:val="true"/>
        </w:rPr>
        <w:t>בכל הנוגע ליתר העובדות שדלה בית משפט קמא מתיק החקירה – עובדות אלו חורגות מעובדות כתב האישום שיחס לשני השותפים ביצוע עבירות בצוותא</w:t>
      </w:r>
      <w:r>
        <w:rPr>
          <w:rFonts w:cs="David" w:ascii="David" w:hAnsi="David"/>
          <w:rtl w:val="true"/>
        </w:rPr>
        <w:t xml:space="preserve">. </w:t>
      </w:r>
      <w:r>
        <w:rPr>
          <w:rFonts w:ascii="David" w:hAnsi="David"/>
          <w:rtl w:val="true"/>
        </w:rPr>
        <w:t>לו ביקש המשיב לטעון כי חלקו בביצוע היה שונה מחלקו של האחר</w:t>
      </w:r>
      <w:r>
        <w:rPr>
          <w:rFonts w:cs="David" w:ascii="David" w:hAnsi="David"/>
          <w:rtl w:val="true"/>
        </w:rPr>
        <w:t xml:space="preserve">, </w:t>
      </w:r>
      <w:r>
        <w:rPr>
          <w:rFonts w:ascii="David" w:hAnsi="David"/>
          <w:rtl w:val="true"/>
        </w:rPr>
        <w:t>היה עליו להביא ראיות לעניין זה בטרם הכרעת הדין</w:t>
      </w:r>
      <w:r>
        <w:rPr>
          <w:rFonts w:cs="David" w:ascii="David" w:hAnsi="David"/>
          <w:rtl w:val="true"/>
        </w:rPr>
        <w:t xml:space="preserve">. </w:t>
      </w:r>
      <w:r>
        <w:rPr>
          <w:rFonts w:ascii="David" w:hAnsi="David"/>
          <w:rtl w:val="true"/>
        </w:rPr>
        <w:t>לא היה כל מקום להביא ראיות נוספות אלו במסגרת שלב הטיעון לעונש</w:t>
      </w:r>
      <w:r>
        <w:rPr>
          <w:rFonts w:cs="David" w:ascii="David" w:hAnsi="David"/>
          <w:rtl w:val="true"/>
        </w:rPr>
        <w:t xml:space="preserve">, </w:t>
      </w:r>
      <w:r>
        <w:rPr>
          <w:rFonts w:ascii="David" w:hAnsi="David"/>
          <w:rtl w:val="true"/>
        </w:rPr>
        <w:t>הגם שאלו הוגשו בהסכמה וללא הסתייגות מטעם ב</w:t>
      </w:r>
      <w:r>
        <w:rPr>
          <w:rFonts w:cs="David" w:ascii="David" w:hAnsi="David"/>
          <w:rtl w:val="true"/>
        </w:rPr>
        <w:t>"</w:t>
      </w:r>
      <w:r>
        <w:rPr>
          <w:rFonts w:ascii="David" w:hAnsi="David"/>
          <w:rtl w:val="true"/>
        </w:rPr>
        <w:t>כ המאשימה</w:t>
      </w:r>
      <w:r>
        <w:rPr>
          <w:rFonts w:cs="David" w:ascii="David" w:hAnsi="David"/>
          <w:rtl w:val="true"/>
        </w:rPr>
        <w:t xml:space="preserve">. </w:t>
      </w:r>
    </w:p>
    <w:p>
      <w:pPr>
        <w:pStyle w:val="Normal"/>
        <w:spacing w:lineRule="auto" w:line="360"/>
        <w:ind w:start="720" w:end="0"/>
        <w:jc w:val="both"/>
        <w:rPr>
          <w:rFonts w:ascii="David" w:hAnsi="David" w:cs="David"/>
        </w:rPr>
      </w:pPr>
      <w:r>
        <w:rPr>
          <w:rFonts w:cs="David" w:ascii="David" w:hAnsi="David"/>
          <w:rtl w:val="true"/>
        </w:rPr>
      </w:r>
    </w:p>
    <w:p>
      <w:pPr>
        <w:pStyle w:val="Normal"/>
        <w:spacing w:lineRule="auto" w:line="360"/>
        <w:ind w:end="0"/>
        <w:jc w:val="both"/>
        <w:rPr>
          <w:rFonts w:ascii="David" w:hAnsi="David" w:cs="David"/>
        </w:rPr>
      </w:pPr>
      <w:r>
        <w:rPr>
          <w:rFonts w:ascii="David" w:hAnsi="David"/>
          <w:rtl w:val="true"/>
        </w:rPr>
        <w:t>עם זאת</w:t>
      </w:r>
      <w:r>
        <w:rPr>
          <w:rFonts w:cs="David" w:ascii="David" w:hAnsi="David"/>
          <w:rtl w:val="true"/>
        </w:rPr>
        <w:t xml:space="preserve">, </w:t>
      </w:r>
      <w:r>
        <w:rPr>
          <w:rFonts w:ascii="David" w:hAnsi="David"/>
          <w:rtl w:val="true"/>
        </w:rPr>
        <w:t>בהביאי בחשבון את כל הנסיבות כפי שפורטו ע</w:t>
      </w:r>
      <w:r>
        <w:rPr>
          <w:rFonts w:cs="David" w:ascii="David" w:hAnsi="David"/>
          <w:rtl w:val="true"/>
        </w:rPr>
        <w:t>"</w:t>
      </w:r>
      <w:r>
        <w:rPr>
          <w:rFonts w:ascii="David" w:hAnsi="David"/>
          <w:rtl w:val="true"/>
        </w:rPr>
        <w:t>י חברתי</w:t>
      </w:r>
      <w:r>
        <w:rPr>
          <w:rFonts w:cs="David" w:ascii="David" w:hAnsi="David"/>
          <w:rtl w:val="true"/>
        </w:rPr>
        <w:t xml:space="preserve">, </w:t>
      </w:r>
      <w:r>
        <w:rPr>
          <w:rFonts w:ascii="David" w:hAnsi="David"/>
          <w:rtl w:val="true"/>
        </w:rPr>
        <w:t>סבור אני כי אין מקום להתערב בתוצאה אליה הגיע בית משפט קמא לעניין אי</w:t>
      </w:r>
      <w:r>
        <w:rPr>
          <w:rFonts w:cs="David" w:ascii="David" w:hAnsi="David"/>
          <w:rtl w:val="true"/>
        </w:rPr>
        <w:t>-</w:t>
      </w:r>
      <w:r>
        <w:rPr>
          <w:rFonts w:ascii="David" w:hAnsi="David"/>
          <w:rtl w:val="true"/>
        </w:rPr>
        <w:t>הרשעת המשיב</w:t>
      </w:r>
      <w:r>
        <w:rPr>
          <w:rFonts w:cs="David" w:ascii="David" w:hAnsi="David"/>
          <w:rtl w:val="true"/>
        </w:rPr>
        <w:t xml:space="preserve">, </w:t>
      </w:r>
      <w:r>
        <w:rPr>
          <w:rFonts w:ascii="David" w:hAnsi="David"/>
          <w:rtl w:val="true"/>
        </w:rPr>
        <w:t>ושותף אני לעמדת חברתי כי יש</w:t>
      </w:r>
      <w:r>
        <w:rPr>
          <w:rFonts w:cs="David" w:ascii="David" w:hAnsi="David"/>
          <w:rtl w:val="true"/>
        </w:rPr>
        <w:t xml:space="preserve">, </w:t>
      </w:r>
      <w:r>
        <w:rPr>
          <w:rFonts w:ascii="David" w:hAnsi="David"/>
          <w:rtl w:val="true"/>
        </w:rPr>
        <w:t>במקרה זה</w:t>
      </w:r>
      <w:r>
        <w:rPr>
          <w:rFonts w:cs="David" w:ascii="David" w:hAnsi="David"/>
          <w:rtl w:val="true"/>
        </w:rPr>
        <w:t xml:space="preserve">, </w:t>
      </w:r>
      <w:r>
        <w:rPr>
          <w:rFonts w:ascii="David" w:hAnsi="David"/>
          <w:rtl w:val="true"/>
        </w:rPr>
        <w:t>כדי להצדיק את הארכת משך הפיקוח על המשיב באמצעות שירות המבחן</w:t>
      </w:r>
      <w:r>
        <w:rPr>
          <w:rFonts w:cs="David" w:ascii="David" w:hAnsi="David"/>
          <w:rtl w:val="true"/>
        </w:rPr>
        <w:t xml:space="preserve">, </w:t>
      </w:r>
      <w:r>
        <w:rPr>
          <w:rFonts w:ascii="David" w:hAnsi="David"/>
          <w:rtl w:val="true"/>
        </w:rPr>
        <w:t>זאת מהטעמים שפורטו על ידה</w:t>
      </w:r>
      <w:r>
        <w:rPr>
          <w:rFonts w:cs="David" w:ascii="David" w:hAnsi="David"/>
          <w:rtl w:val="true"/>
        </w:rPr>
        <w:t xml:space="preserve">. </w:t>
      </w:r>
    </w:p>
    <w:p>
      <w:pPr>
        <w:pStyle w:val="Normal"/>
        <w:spacing w:lineRule="auto" w:line="360"/>
        <w:ind w:end="0"/>
        <w:jc w:val="both"/>
        <w:rPr>
          <w:rFonts w:ascii="David" w:hAnsi="David" w:cs="David"/>
        </w:rPr>
      </w:pPr>
      <w:r>
        <w:rPr>
          <w:rFonts w:cs="David" w:ascii="David" w:hAnsi="David"/>
          <w:rtl w:val="true"/>
        </w:rPr>
      </w:r>
    </w:p>
    <w:p>
      <w:pPr>
        <w:pStyle w:val="Normal"/>
        <w:spacing w:lineRule="auto" w:line="360"/>
        <w:ind w:end="0"/>
        <w:jc w:val="both"/>
        <w:rPr>
          <w:rFonts w:ascii="David" w:hAnsi="David" w:cs="David"/>
        </w:rPr>
      </w:pPr>
      <w:r>
        <w:rPr>
          <w:rFonts w:ascii="David" w:hAnsi="David"/>
          <w:rtl w:val="true"/>
        </w:rPr>
        <w:t>בשולי האמור אבהיר עוד כי בלב החלטתו של בית משפט קמא להימנע מהרשעת המשיב עמדה שאלת האפשרות כי המשיב יחזור לעבודתו בנמל</w:t>
      </w:r>
      <w:r>
        <w:rPr>
          <w:rFonts w:cs="David" w:ascii="David" w:hAnsi="David"/>
          <w:rtl w:val="true"/>
        </w:rPr>
        <w:t xml:space="preserve">. </w:t>
      </w:r>
      <w:r>
        <w:rPr>
          <w:rFonts w:ascii="David" w:hAnsi="David"/>
          <w:rtl w:val="true"/>
        </w:rPr>
        <w:t>אכן השיקול שלא לפגוע בעתיד תעסוקתי של נאשם הינו שיקול ראוי שיש להביא בחשבון במסגרת מכלול השיקולים לעניין הימנעות מהרשעה</w:t>
      </w:r>
      <w:r>
        <w:rPr>
          <w:rFonts w:cs="David" w:ascii="David" w:hAnsi="David"/>
          <w:rtl w:val="true"/>
        </w:rPr>
        <w:t xml:space="preserve">. </w:t>
      </w:r>
      <w:r>
        <w:rPr>
          <w:rFonts w:ascii="David" w:hAnsi="David"/>
          <w:rtl w:val="true"/>
        </w:rPr>
        <w:t>עם זאת אדגיש לעניין זה</w:t>
      </w:r>
      <w:r>
        <w:rPr>
          <w:rFonts w:cs="David" w:ascii="David" w:hAnsi="David"/>
          <w:rtl w:val="true"/>
        </w:rPr>
        <w:t xml:space="preserve">, </w:t>
      </w:r>
      <w:r>
        <w:rPr>
          <w:rFonts w:ascii="David" w:hAnsi="David"/>
          <w:rtl w:val="true"/>
        </w:rPr>
        <w:t>כי אין לראות בתוצאה אליה הגענו כהבעת עמדה כלשהי בכל הנוגע להחזרתו של המשיב לעבודה בנמל ככלל ובתפקיד שמילא בפרט</w:t>
      </w:r>
      <w:r>
        <w:rPr>
          <w:rFonts w:cs="David" w:ascii="David" w:hAnsi="David"/>
          <w:rtl w:val="true"/>
        </w:rPr>
        <w:t xml:space="preserve">. </w:t>
      </w:r>
      <w:r>
        <w:rPr>
          <w:rFonts w:ascii="David" w:hAnsi="David"/>
          <w:u w:val="single"/>
          <w:rtl w:val="true"/>
        </w:rPr>
        <w:t>עניין זה מסור לשיקול דעתה הבלעדי של הנהלת הנמל</w:t>
      </w:r>
      <w:r>
        <w:rPr>
          <w:rFonts w:cs="David" w:ascii="David" w:hAnsi="David"/>
          <w:rtl w:val="true"/>
        </w:rPr>
        <w:t xml:space="preserve">, </w:t>
      </w:r>
      <w:r>
        <w:rPr>
          <w:rFonts w:ascii="David" w:hAnsi="David"/>
          <w:rtl w:val="true"/>
        </w:rPr>
        <w:t>שעליה יהיה להביא בחשבון את מכלול הנתונים</w:t>
      </w:r>
      <w:r>
        <w:rPr>
          <w:rFonts w:cs="David" w:ascii="David" w:hAnsi="David"/>
          <w:rtl w:val="true"/>
        </w:rPr>
        <w:t xml:space="preserve">, </w:t>
      </w:r>
      <w:r>
        <w:rPr>
          <w:rFonts w:ascii="David" w:hAnsi="David"/>
          <w:rtl w:val="true"/>
        </w:rPr>
        <w:t>לרבות השלכות השימוש בסמים על האפשרות לבצע את התפקיד אותו ביצע המשיב בעבר</w:t>
      </w:r>
      <w:r>
        <w:rPr>
          <w:rFonts w:cs="David" w:ascii="David" w:hAnsi="David"/>
          <w:rtl w:val="true"/>
        </w:rPr>
        <w:t xml:space="preserve">, </w:t>
      </w:r>
      <w:r>
        <w:rPr>
          <w:rFonts w:ascii="David" w:hAnsi="David"/>
          <w:rtl w:val="true"/>
        </w:rPr>
        <w:t>או כל תפקיד אחר בנמל חיפה</w:t>
      </w:r>
      <w:r>
        <w:rPr>
          <w:rFonts w:cs="David" w:ascii="David" w:hAnsi="David"/>
          <w:rtl w:val="true"/>
        </w:rPr>
        <w:t xml:space="preserve">, </w:t>
      </w:r>
      <w:r>
        <w:rPr>
          <w:rFonts w:ascii="David" w:hAnsi="David"/>
          <w:rtl w:val="true"/>
        </w:rPr>
        <w:t>על כל המשתמע מכך לעניין בטיחות וכד</w:t>
      </w:r>
      <w:r>
        <w:rPr>
          <w:rFonts w:cs="David" w:ascii="David" w:hAnsi="David"/>
          <w:rtl w:val="true"/>
        </w:rPr>
        <w:t>'.</w:t>
      </w:r>
    </w:p>
    <w:p>
      <w:pPr>
        <w:pStyle w:val="Normal"/>
        <w:spacing w:lineRule="auto" w:line="360"/>
        <w:ind w:start="720" w:end="0"/>
        <w:jc w:val="both"/>
        <w:rPr>
          <w:rFonts w:ascii="David" w:hAnsi="David" w:cs="David"/>
        </w:rPr>
      </w:pPr>
      <w:r>
        <w:rPr>
          <w:rFonts w:cs="David" w:ascii="David" w:hAnsi="David"/>
          <w:rtl w:val="true"/>
        </w:rPr>
      </w:r>
    </w:p>
    <w:p>
      <w:pPr>
        <w:pStyle w:val="Normal"/>
        <w:spacing w:lineRule="auto" w:line="360"/>
        <w:ind w:end="0"/>
        <w:jc w:val="both"/>
        <w:rPr>
          <w:rFonts w:ascii="David" w:hAnsi="David" w:cs="David"/>
        </w:rPr>
      </w:pPr>
      <w:r>
        <w:rPr>
          <w:rFonts w:ascii="David" w:hAnsi="David"/>
          <w:rtl w:val="true"/>
        </w:rPr>
        <w:t>מצאתי לנכון להדגיש את האמור כדי שלא יתפרש מפסק דיננו כי הבענו עמדה או נתנו המלצה או הכשר להחלטה זו או אחרת בעניין המשך העסקתו של המשיב בנמל</w:t>
      </w:r>
      <w:r>
        <w:rPr>
          <w:rFonts w:cs="David" w:ascii="David" w:hAnsi="David"/>
          <w:rtl w:val="true"/>
        </w:rPr>
        <w:t xml:space="preserve">. </w:t>
      </w:r>
      <w:r>
        <w:rPr>
          <w:rFonts w:ascii="David" w:hAnsi="David"/>
          <w:rtl w:val="true"/>
        </w:rPr>
        <w:t>ענין זה יישקל ע</w:t>
      </w:r>
      <w:r>
        <w:rPr>
          <w:rFonts w:cs="David" w:ascii="David" w:hAnsi="David"/>
          <w:rtl w:val="true"/>
        </w:rPr>
        <w:t>"</w:t>
      </w:r>
      <w:r>
        <w:rPr>
          <w:rFonts w:ascii="David" w:hAnsi="David"/>
          <w:rtl w:val="true"/>
        </w:rPr>
        <w:t>י הגורמים המוסמכים לכך לפי מיטב שיקול דעתם המקצועי ובהתחשב במכלול הנסיבות</w:t>
      </w:r>
      <w:r>
        <w:rPr>
          <w:rFonts w:cs="David" w:ascii="David" w:hAnsi="David"/>
          <w:rtl w:val="true"/>
        </w:rPr>
        <w:t xml:space="preserve">. </w:t>
      </w:r>
    </w:p>
    <w:p>
      <w:pPr>
        <w:pStyle w:val="Normal"/>
        <w:spacing w:lineRule="auto" w:line="360"/>
        <w:ind w:start="720" w:end="0"/>
        <w:jc w:val="both"/>
        <w:rPr>
          <w:rFonts w:ascii="David" w:hAnsi="David" w:cs="David"/>
        </w:rPr>
      </w:pPr>
      <w:r>
        <w:rPr>
          <w:rFonts w:cs="David" w:ascii="David" w:hAnsi="David"/>
          <w:rtl w:val="true"/>
        </w:rPr>
      </w:r>
    </w:p>
    <w:p>
      <w:pPr>
        <w:pStyle w:val="Normal"/>
        <w:spacing w:lineRule="auto" w:line="360"/>
        <w:ind w:end="0"/>
        <w:jc w:val="both"/>
        <w:rPr>
          <w:rFonts w:ascii="David" w:hAnsi="David" w:cs="David"/>
        </w:rPr>
      </w:pPr>
      <w:r>
        <w:rPr>
          <w:rFonts w:ascii="David" w:hAnsi="David"/>
          <w:rtl w:val="true"/>
        </w:rPr>
        <w:t>בכפוף לכל ההבהרות דלעיל אני מצטרף לתוצאה אליה הגיעה חברתי</w:t>
      </w:r>
      <w:r>
        <w:rPr>
          <w:rFonts w:cs="David" w:ascii="David" w:hAnsi="David"/>
          <w:rtl w:val="true"/>
        </w:rPr>
        <w:t xml:space="preserve">, </w:t>
      </w:r>
      <w:r>
        <w:rPr>
          <w:rFonts w:ascii="David" w:hAnsi="David"/>
          <w:rtl w:val="true"/>
        </w:rPr>
        <w:t>כמפורט לעיל</w:t>
      </w:r>
      <w:r>
        <w:rPr>
          <w:rFonts w:cs="David" w:ascii="David" w:hAnsi="David"/>
          <w:rtl w:val="true"/>
        </w:rPr>
        <w:t xml:space="preserve">.    </w:t>
      </w:r>
    </w:p>
    <w:tbl>
      <w:tblPr>
        <w:bidiVisual w:val="true"/>
        <w:tblW w:w="2704" w:type="dxa"/>
        <w:jc w:val="start"/>
        <w:tblInd w:w="108" w:type="dxa"/>
        <w:tblLayout w:type="fixed"/>
        <w:tblCellMar>
          <w:top w:w="0" w:type="dxa"/>
          <w:start w:w="108" w:type="dxa"/>
          <w:bottom w:w="0" w:type="dxa"/>
          <w:end w:w="108" w:type="dxa"/>
        </w:tblCellMar>
      </w:tblPr>
      <w:tblGrid>
        <w:gridCol w:w="2704"/>
      </w:tblGrid>
      <w:tr>
        <w:trPr/>
        <w:tc>
          <w:tcPr>
            <w:tcW w:w="2704" w:type="dxa"/>
            <w:tcBorders>
              <w:bottom w:val="single" w:sz="4" w:space="0" w:color="000000"/>
            </w:tcBorders>
            <w:vAlign w:val="center"/>
          </w:tcPr>
          <w:p>
            <w:pPr>
              <w:pStyle w:val="Normal"/>
              <w:snapToGrid w:val="false"/>
              <w:ind w:end="0"/>
              <w:jc w:val="center"/>
              <w:rPr>
                <w:rFonts w:ascii="Courier New" w:hAnsi="Courier New" w:cs="Courier New"/>
                <w:b/>
                <w:bCs/>
              </w:rPr>
            </w:pPr>
            <w:r>
              <w:rPr>
                <w:rFonts w:cs="Courier New" w:ascii="Courier New" w:hAnsi="Courier New"/>
                <w:b/>
                <w:bCs/>
                <w:rtl w:val="true"/>
              </w:rPr>
            </w:r>
          </w:p>
        </w:tc>
      </w:tr>
      <w:tr>
        <w:trPr/>
        <w:tc>
          <w:tcPr>
            <w:tcW w:w="2704" w:type="dxa"/>
            <w:tcBorders>
              <w:top w:val="single" w:sz="4" w:space="0" w:color="000000"/>
            </w:tcBorders>
          </w:tcPr>
          <w:p>
            <w:pPr>
              <w:pStyle w:val="Normal"/>
              <w:ind w:end="0"/>
              <w:jc w:val="center"/>
              <w:rPr>
                <w:b/>
                <w:bCs/>
              </w:rPr>
            </w:pPr>
            <w:r>
              <w:rPr>
                <w:b/>
                <w:b/>
                <w:bCs/>
                <w:rtl w:val="true"/>
              </w:rPr>
              <w:t>רון</w:t>
            </w:r>
            <w:r>
              <w:rPr>
                <w:rFonts w:cs="Times New Roman"/>
                <w:b/>
                <w:b/>
                <w:bCs/>
                <w:rtl w:val="true"/>
              </w:rPr>
              <w:t xml:space="preserve"> </w:t>
            </w:r>
            <w:r>
              <w:rPr>
                <w:b/>
                <w:b/>
                <w:bCs/>
                <w:rtl w:val="true"/>
              </w:rPr>
              <w:t>שפירא</w:t>
            </w:r>
            <w:r>
              <w:rPr>
                <w:b/>
                <w:bCs/>
                <w:rtl w:val="true"/>
              </w:rPr>
              <w:t xml:space="preserve">, </w:t>
            </w:r>
            <w:r>
              <w:rPr>
                <w:b/>
                <w:b/>
                <w:bCs/>
                <w:rtl w:val="true"/>
              </w:rPr>
              <w:t>סגן</w:t>
            </w:r>
            <w:r>
              <w:rPr>
                <w:rFonts w:cs="Times New Roman"/>
                <w:b/>
                <w:b/>
                <w:bCs/>
                <w:rtl w:val="true"/>
              </w:rPr>
              <w:t xml:space="preserve"> </w:t>
            </w:r>
            <w:r>
              <w:rPr>
                <w:b/>
                <w:b/>
                <w:bCs/>
                <w:rtl w:val="true"/>
              </w:rPr>
              <w:t>נשיא</w:t>
            </w:r>
          </w:p>
          <w:p>
            <w:pPr>
              <w:pStyle w:val="Normal"/>
              <w:ind w:end="0"/>
              <w:jc w:val="center"/>
              <w:rPr>
                <w:b/>
                <w:bCs/>
              </w:rPr>
            </w:pPr>
            <w:r>
              <w:rPr>
                <w:b/>
                <w:bCs/>
                <w:rtl w:val="true"/>
              </w:rPr>
              <w:t>[</w:t>
            </w:r>
            <w:r>
              <w:rPr>
                <w:b/>
                <w:b/>
                <w:bCs/>
                <w:rtl w:val="true"/>
              </w:rPr>
              <w:t>אב</w:t>
            </w:r>
            <w:r>
              <w:rPr>
                <w:b/>
                <w:bCs/>
                <w:rtl w:val="true"/>
              </w:rPr>
              <w:t>"</w:t>
            </w:r>
            <w:r>
              <w:rPr>
                <w:b/>
                <w:b/>
                <w:bCs/>
                <w:rtl w:val="true"/>
              </w:rPr>
              <w:t>ד</w:t>
            </w:r>
            <w:r>
              <w:rPr>
                <w:b/>
                <w:bCs/>
                <w:rtl w:val="true"/>
              </w:rPr>
              <w:t>]</w:t>
            </w:r>
          </w:p>
        </w:tc>
      </w:tr>
    </w:tbl>
    <w:p>
      <w:pPr>
        <w:pStyle w:val="Normal"/>
        <w:spacing w:lineRule="auto" w:line="360"/>
        <w:ind w:hanging="720" w:start="720" w:end="0"/>
        <w:jc w:val="both"/>
        <w:rPr>
          <w:rFonts w:ascii="David" w:hAnsi="David" w:cs="David"/>
        </w:rPr>
      </w:pPr>
      <w:r>
        <w:rPr>
          <w:rFonts w:cs="David" w:ascii="David" w:hAnsi="David"/>
          <w:rtl w:val="true"/>
        </w:rPr>
      </w:r>
    </w:p>
    <w:p>
      <w:pPr>
        <w:pStyle w:val="Normal"/>
        <w:spacing w:lineRule="auto" w:line="360"/>
        <w:ind w:hanging="720" w:start="720" w:end="0"/>
        <w:jc w:val="both"/>
        <w:rPr>
          <w:rFonts w:ascii="David" w:hAnsi="David" w:cs="David"/>
          <w:b/>
          <w:bCs/>
          <w:u w:val="single"/>
        </w:rPr>
      </w:pPr>
      <w:r>
        <w:rPr>
          <w:rFonts w:ascii="David" w:hAnsi="David"/>
          <w:b/>
          <w:b/>
          <w:bCs/>
          <w:u w:val="single"/>
          <w:rtl w:val="true"/>
        </w:rPr>
        <w:t>השופטת ת</w:t>
      </w:r>
      <w:r>
        <w:rPr>
          <w:rFonts w:cs="David" w:ascii="David" w:hAnsi="David"/>
          <w:b/>
          <w:bCs/>
          <w:u w:val="single"/>
          <w:rtl w:val="true"/>
        </w:rPr>
        <w:t xml:space="preserve">' </w:t>
      </w:r>
      <w:r>
        <w:rPr>
          <w:rFonts w:ascii="David" w:hAnsi="David"/>
          <w:b/>
          <w:b/>
          <w:bCs/>
          <w:u w:val="single"/>
          <w:rtl w:val="true"/>
        </w:rPr>
        <w:t>נאות</w:t>
      </w:r>
      <w:r>
        <w:rPr>
          <w:rFonts w:cs="David" w:ascii="David" w:hAnsi="David"/>
          <w:b/>
          <w:bCs/>
          <w:u w:val="single"/>
          <w:rtl w:val="true"/>
        </w:rPr>
        <w:t>-</w:t>
      </w:r>
      <w:r>
        <w:rPr>
          <w:rFonts w:ascii="David" w:hAnsi="David"/>
          <w:b/>
          <w:b/>
          <w:bCs/>
          <w:u w:val="single"/>
          <w:rtl w:val="true"/>
        </w:rPr>
        <w:t>פרי</w:t>
      </w:r>
      <w:r>
        <w:rPr>
          <w:rtl w:val="true"/>
        </w:rPr>
        <w:t>:</w:t>
      </w:r>
    </w:p>
    <w:p>
      <w:pPr>
        <w:pStyle w:val="Normal"/>
        <w:spacing w:lineRule="auto" w:line="360"/>
        <w:ind w:hanging="720" w:start="720" w:end="0"/>
        <w:jc w:val="both"/>
        <w:rPr>
          <w:rFonts w:ascii="David" w:hAnsi="David" w:cs="David"/>
          <w:b/>
          <w:bCs/>
          <w:u w:val="single"/>
        </w:rPr>
      </w:pPr>
      <w:r>
        <w:rPr>
          <w:rFonts w:cs="David" w:ascii="David" w:hAnsi="David"/>
          <w:b/>
          <w:bCs/>
          <w:u w:val="single"/>
          <w:rtl w:val="true"/>
        </w:rPr>
      </w:r>
    </w:p>
    <w:p>
      <w:pPr>
        <w:pStyle w:val="Normal"/>
        <w:spacing w:lineRule="auto" w:line="360"/>
        <w:ind w:end="0"/>
        <w:jc w:val="both"/>
        <w:rPr>
          <w:rFonts w:ascii="David" w:hAnsi="David" w:cs="David"/>
        </w:rPr>
      </w:pPr>
      <w:r>
        <w:rPr>
          <w:rFonts w:ascii="David" w:hAnsi="David"/>
          <w:rtl w:val="true"/>
        </w:rPr>
        <w:t>לאחר לבטים</w:t>
      </w:r>
      <w:r>
        <w:rPr>
          <w:rFonts w:cs="David" w:ascii="David" w:hAnsi="David"/>
          <w:rtl w:val="true"/>
        </w:rPr>
        <w:t xml:space="preserve">, </w:t>
      </w:r>
      <w:r>
        <w:rPr>
          <w:rFonts w:ascii="David" w:hAnsi="David"/>
          <w:rtl w:val="true"/>
        </w:rPr>
        <w:t>אצטרף לעמדת חברי להרכב</w:t>
      </w:r>
      <w:r>
        <w:rPr>
          <w:rFonts w:cs="David" w:ascii="David" w:hAnsi="David"/>
          <w:rtl w:val="true"/>
        </w:rPr>
        <w:t>.</w:t>
      </w:r>
    </w:p>
    <w:p>
      <w:pPr>
        <w:pStyle w:val="Normal"/>
        <w:spacing w:lineRule="auto" w:line="360"/>
        <w:ind w:start="720" w:end="0"/>
        <w:jc w:val="both"/>
        <w:rPr>
          <w:rFonts w:ascii="David" w:hAnsi="David" w:cs="David"/>
        </w:rPr>
      </w:pPr>
      <w:r>
        <w:rPr>
          <w:rFonts w:cs="David" w:ascii="David" w:hAnsi="David"/>
          <w:rtl w:val="true"/>
        </w:rPr>
      </w:r>
    </w:p>
    <w:p>
      <w:pPr>
        <w:pStyle w:val="Normal"/>
        <w:spacing w:lineRule="auto" w:line="360"/>
        <w:ind w:end="0"/>
        <w:jc w:val="both"/>
        <w:rPr>
          <w:rFonts w:ascii="David" w:hAnsi="David" w:cs="David"/>
        </w:rPr>
      </w:pPr>
      <w:r>
        <w:rPr>
          <w:rFonts w:ascii="David" w:hAnsi="David"/>
          <w:rtl w:val="true"/>
        </w:rPr>
        <w:t>מקדמית</w:t>
      </w:r>
      <w:r>
        <w:rPr>
          <w:rFonts w:cs="David" w:ascii="David" w:hAnsi="David"/>
          <w:rtl w:val="true"/>
        </w:rPr>
        <w:t xml:space="preserve">, </w:t>
      </w:r>
      <w:r>
        <w:rPr>
          <w:rFonts w:ascii="David" w:hAnsi="David"/>
          <w:rtl w:val="true"/>
        </w:rPr>
        <w:t>אבקש להעיר כי אף אני סבורה שמחובתנו להדגיש כי לא היה מקום לקבל ראיות בשלב הטיעונים לעונש לגבי האפשרות שהגידול היה לשימוש עצמי בלבד</w:t>
      </w:r>
      <w:r>
        <w:rPr>
          <w:rFonts w:cs="David" w:ascii="David" w:hAnsi="David"/>
          <w:rtl w:val="true"/>
        </w:rPr>
        <w:t xml:space="preserve">, </w:t>
      </w:r>
      <w:r>
        <w:rPr>
          <w:rFonts w:ascii="David" w:hAnsi="David"/>
          <w:rtl w:val="true"/>
        </w:rPr>
        <w:t>או לגבי כך שכמות הסם שנתפסה היתה במשקל אחר מאשר המשקל שנקוב בכתב האישום בו הודה המשיב</w:t>
      </w:r>
      <w:r>
        <w:rPr>
          <w:rFonts w:cs="David" w:ascii="David" w:hAnsi="David"/>
          <w:rtl w:val="true"/>
        </w:rPr>
        <w:t xml:space="preserve">, </w:t>
      </w:r>
      <w:r>
        <w:rPr>
          <w:rFonts w:ascii="David" w:hAnsi="David"/>
          <w:rtl w:val="true"/>
        </w:rPr>
        <w:t xml:space="preserve">או לגבי כך שיש שוני בין כמות </w:t>
      </w:r>
      <w:r>
        <w:rPr>
          <w:rFonts w:cs="David" w:ascii="David" w:hAnsi="David"/>
          <w:rtl w:val="true"/>
        </w:rPr>
        <w:t>"</w:t>
      </w:r>
      <w:r>
        <w:rPr>
          <w:rFonts w:ascii="David" w:hAnsi="David"/>
          <w:rtl w:val="true"/>
        </w:rPr>
        <w:t>ברוטו</w:t>
      </w:r>
      <w:r>
        <w:rPr>
          <w:rFonts w:cs="David" w:ascii="David" w:hAnsi="David"/>
          <w:rtl w:val="true"/>
        </w:rPr>
        <w:t xml:space="preserve">" </w:t>
      </w:r>
      <w:r>
        <w:rPr>
          <w:rFonts w:ascii="David" w:hAnsi="David"/>
          <w:rtl w:val="true"/>
        </w:rPr>
        <w:t xml:space="preserve">לבין כמות </w:t>
      </w:r>
      <w:r>
        <w:rPr>
          <w:rFonts w:cs="David" w:ascii="David" w:hAnsi="David"/>
          <w:rtl w:val="true"/>
        </w:rPr>
        <w:t>"</w:t>
      </w:r>
      <w:r>
        <w:rPr>
          <w:rFonts w:ascii="David" w:hAnsi="David"/>
          <w:rtl w:val="true"/>
        </w:rPr>
        <w:t>נטו</w:t>
      </w:r>
      <w:r>
        <w:rPr>
          <w:rFonts w:cs="David" w:ascii="David" w:hAnsi="David"/>
          <w:rtl w:val="true"/>
        </w:rPr>
        <w:t>" (</w:t>
      </w:r>
      <w:r>
        <w:rPr>
          <w:rFonts w:ascii="David" w:hAnsi="David"/>
          <w:rtl w:val="true"/>
        </w:rPr>
        <w:t>ובוודאי שלא לגבי שיעור ה</w:t>
      </w:r>
      <w:r>
        <w:rPr>
          <w:rFonts w:cs="David" w:ascii="David" w:hAnsi="David"/>
          <w:rtl w:val="true"/>
        </w:rPr>
        <w:t>"</w:t>
      </w:r>
      <w:r>
        <w:rPr>
          <w:rFonts w:ascii="David" w:hAnsi="David"/>
          <w:rtl w:val="true"/>
        </w:rPr>
        <w:t>נטו</w:t>
      </w:r>
      <w:r>
        <w:rPr>
          <w:rFonts w:cs="David" w:ascii="David" w:hAnsi="David"/>
          <w:rtl w:val="true"/>
        </w:rPr>
        <w:t xml:space="preserve">") </w:t>
      </w:r>
      <w:r>
        <w:rPr>
          <w:rFonts w:ascii="David" w:hAnsi="David"/>
          <w:rtl w:val="true"/>
        </w:rPr>
        <w:t>ואף לא היה מקום לשמוע טיעונים או להכשיר ראיות לגבי חלוקה זו או אחרת בין שני השותפים</w:t>
      </w:r>
      <w:r>
        <w:rPr>
          <w:rFonts w:cs="David" w:ascii="David" w:hAnsi="David"/>
          <w:rtl w:val="true"/>
        </w:rPr>
        <w:t xml:space="preserve">. </w:t>
      </w:r>
      <w:r>
        <w:rPr>
          <w:rFonts w:ascii="David" w:hAnsi="David"/>
          <w:rtl w:val="true"/>
        </w:rPr>
        <w:t xml:space="preserve">לא ניתן להציג ראיות לגבי נתונים עובדתיים </w:t>
      </w:r>
      <w:r>
        <w:rPr>
          <w:rFonts w:cs="David" w:ascii="David" w:hAnsi="David"/>
          <w:rtl w:val="true"/>
        </w:rPr>
        <w:t>"</w:t>
      </w:r>
      <w:r>
        <w:rPr>
          <w:rFonts w:ascii="David" w:hAnsi="David"/>
          <w:rtl w:val="true"/>
        </w:rPr>
        <w:t>גולמיים</w:t>
      </w:r>
      <w:r>
        <w:rPr>
          <w:rFonts w:cs="David" w:ascii="David" w:hAnsi="David"/>
          <w:rtl w:val="true"/>
        </w:rPr>
        <w:t xml:space="preserve">" </w:t>
      </w:r>
      <w:r>
        <w:rPr>
          <w:rFonts w:ascii="David" w:hAnsi="David"/>
          <w:rtl w:val="true"/>
        </w:rPr>
        <w:t>הסותרים את האמור בכתב האישום בו הודה המשיב או לגבי נתונים ש</w:t>
      </w:r>
      <w:r>
        <w:rPr>
          <w:rFonts w:cs="David" w:ascii="David" w:hAnsi="David"/>
          <w:rtl w:val="true"/>
        </w:rPr>
        <w:t>"</w:t>
      </w:r>
      <w:r>
        <w:rPr>
          <w:rFonts w:ascii="David" w:hAnsi="David"/>
          <w:rtl w:val="true"/>
        </w:rPr>
        <w:t>סתם</w:t>
      </w:r>
      <w:r>
        <w:rPr>
          <w:rFonts w:cs="David" w:ascii="David" w:hAnsi="David"/>
          <w:rtl w:val="true"/>
        </w:rPr>
        <w:t xml:space="preserve">" </w:t>
      </w:r>
      <w:r>
        <w:rPr>
          <w:rFonts w:ascii="David" w:hAnsi="David"/>
          <w:rtl w:val="true"/>
        </w:rPr>
        <w:t>לא מופיעים בכתב האישום</w:t>
      </w:r>
      <w:r>
        <w:rPr>
          <w:rFonts w:cs="David" w:ascii="David" w:hAnsi="David"/>
          <w:rtl w:val="true"/>
        </w:rPr>
        <w:t xml:space="preserve">, </w:t>
      </w:r>
      <w:r>
        <w:rPr>
          <w:rFonts w:ascii="David" w:hAnsi="David"/>
          <w:rtl w:val="true"/>
        </w:rPr>
        <w:t xml:space="preserve">תחת מסווה של </w:t>
      </w:r>
      <w:r>
        <w:rPr>
          <w:rFonts w:cs="David" w:ascii="David" w:hAnsi="David"/>
          <w:rtl w:val="true"/>
        </w:rPr>
        <w:t>"</w:t>
      </w:r>
      <w:r>
        <w:rPr>
          <w:rFonts w:ascii="David" w:hAnsi="David"/>
          <w:rtl w:val="true"/>
        </w:rPr>
        <w:t>נסיבות ביצוע העבירה</w:t>
      </w:r>
      <w:r>
        <w:rPr>
          <w:rFonts w:cs="David" w:ascii="David" w:hAnsi="David"/>
          <w:rtl w:val="true"/>
        </w:rPr>
        <w:t xml:space="preserve">". </w:t>
      </w:r>
      <w:r>
        <w:rPr>
          <w:rFonts w:ascii="David" w:hAnsi="David"/>
          <w:rtl w:val="true"/>
        </w:rPr>
        <w:t>אין המדובר ב</w:t>
      </w:r>
      <w:r>
        <w:rPr>
          <w:rFonts w:cs="David" w:ascii="David" w:hAnsi="David"/>
          <w:rtl w:val="true"/>
        </w:rPr>
        <w:t>"</w:t>
      </w:r>
      <w:r>
        <w:rPr>
          <w:rFonts w:ascii="David" w:hAnsi="David"/>
          <w:rtl w:val="true"/>
        </w:rPr>
        <w:t>נסיבות</w:t>
      </w:r>
      <w:r>
        <w:rPr>
          <w:rFonts w:cs="David" w:ascii="David" w:hAnsi="David"/>
          <w:rtl w:val="true"/>
        </w:rPr>
        <w:t xml:space="preserve">", </w:t>
      </w:r>
      <w:r>
        <w:rPr>
          <w:rFonts w:ascii="David" w:hAnsi="David"/>
          <w:rtl w:val="true"/>
        </w:rPr>
        <w:t>ואני מצטרפת לדברים שנאמרו על ידי חברי בהקשר זה</w:t>
      </w:r>
      <w:r>
        <w:rPr>
          <w:rFonts w:cs="David" w:ascii="David" w:hAnsi="David"/>
          <w:rtl w:val="true"/>
        </w:rPr>
        <w:t>.</w:t>
      </w:r>
    </w:p>
    <w:p>
      <w:pPr>
        <w:pStyle w:val="Normal"/>
        <w:spacing w:lineRule="auto" w:line="360"/>
        <w:ind w:start="720" w:end="0"/>
        <w:jc w:val="both"/>
        <w:rPr>
          <w:rFonts w:ascii="David" w:hAnsi="David" w:cs="David"/>
        </w:rPr>
      </w:pPr>
      <w:r>
        <w:rPr>
          <w:rFonts w:cs="David" w:ascii="David" w:hAnsi="David"/>
          <w:rtl w:val="true"/>
        </w:rPr>
      </w:r>
    </w:p>
    <w:p>
      <w:pPr>
        <w:pStyle w:val="Normal"/>
        <w:spacing w:lineRule="auto" w:line="360"/>
        <w:ind w:end="0"/>
        <w:jc w:val="both"/>
        <w:rPr>
          <w:rFonts w:ascii="David" w:hAnsi="David" w:cs="David"/>
        </w:rPr>
      </w:pPr>
      <w:r>
        <w:rPr>
          <w:rFonts w:ascii="David" w:hAnsi="David"/>
          <w:rtl w:val="true"/>
        </w:rPr>
        <w:t>באשר להימנעות מההרשעה – עמדתי היא כי במצב דברים רגיל</w:t>
      </w:r>
      <w:r>
        <w:rPr>
          <w:rFonts w:cs="David" w:ascii="David" w:hAnsi="David"/>
          <w:rtl w:val="true"/>
        </w:rPr>
        <w:t xml:space="preserve">, </w:t>
      </w:r>
      <w:r>
        <w:rPr>
          <w:rFonts w:ascii="David" w:hAnsi="David"/>
          <w:rtl w:val="true"/>
        </w:rPr>
        <w:t>מבחינת סוג העבירה</w:t>
      </w:r>
      <w:r>
        <w:rPr>
          <w:rFonts w:cs="David" w:ascii="David" w:hAnsi="David"/>
          <w:rtl w:val="true"/>
        </w:rPr>
        <w:t xml:space="preserve">, </w:t>
      </w:r>
      <w:r>
        <w:rPr>
          <w:rFonts w:ascii="David" w:hAnsi="David"/>
          <w:rtl w:val="true"/>
        </w:rPr>
        <w:t>עסקינן בעבירה מהסוג שאינו מצדיק אי</w:t>
      </w:r>
      <w:r>
        <w:rPr>
          <w:rFonts w:cs="David" w:ascii="David" w:hAnsi="David"/>
          <w:rtl w:val="true"/>
        </w:rPr>
        <w:t>-</w:t>
      </w:r>
      <w:r>
        <w:rPr>
          <w:rFonts w:ascii="David" w:hAnsi="David"/>
          <w:rtl w:val="true"/>
        </w:rPr>
        <w:t xml:space="preserve">הרשעה </w:t>
      </w:r>
      <w:r>
        <w:rPr>
          <w:rFonts w:cs="David" w:ascii="David" w:hAnsi="David"/>
          <w:rtl w:val="true"/>
        </w:rPr>
        <w:t>(</w:t>
      </w:r>
      <w:r>
        <w:rPr>
          <w:rFonts w:ascii="David" w:hAnsi="David"/>
          <w:rtl w:val="true"/>
        </w:rPr>
        <w:t>ובהקשר זה אף יש לתת משקל לעובדה שהשותף הורשע</w:t>
      </w:r>
      <w:r>
        <w:rPr>
          <w:rFonts w:cs="David" w:ascii="David" w:hAnsi="David"/>
          <w:rtl w:val="true"/>
        </w:rPr>
        <w:t xml:space="preserve">). </w:t>
      </w:r>
    </w:p>
    <w:p>
      <w:pPr>
        <w:pStyle w:val="Normal"/>
        <w:spacing w:lineRule="auto" w:line="360"/>
        <w:ind w:start="720" w:end="0"/>
        <w:jc w:val="both"/>
        <w:rPr>
          <w:rFonts w:ascii="David" w:hAnsi="David" w:cs="David"/>
        </w:rPr>
      </w:pPr>
      <w:r>
        <w:rPr>
          <w:rFonts w:cs="David" w:ascii="David" w:hAnsi="David"/>
          <w:rtl w:val="true"/>
        </w:rPr>
      </w:r>
    </w:p>
    <w:p>
      <w:pPr>
        <w:pStyle w:val="Normal"/>
        <w:spacing w:lineRule="auto" w:line="360"/>
        <w:ind w:end="0"/>
        <w:jc w:val="both"/>
        <w:rPr>
          <w:rFonts w:ascii="David" w:hAnsi="David" w:cs="David"/>
        </w:rPr>
      </w:pPr>
      <w:r>
        <w:rPr>
          <w:rFonts w:ascii="David" w:hAnsi="David"/>
          <w:rtl w:val="true"/>
        </w:rPr>
        <w:t>עם זאת</w:t>
      </w:r>
      <w:r>
        <w:rPr>
          <w:rFonts w:cs="David" w:ascii="David" w:hAnsi="David"/>
          <w:rtl w:val="true"/>
        </w:rPr>
        <w:t xml:space="preserve">, </w:t>
      </w:r>
      <w:r>
        <w:rPr>
          <w:rFonts w:ascii="David" w:hAnsi="David"/>
          <w:rtl w:val="true"/>
        </w:rPr>
        <w:t>מצאתי אף אני שלא להתערב בפסק הדין של בית המשפט קמא</w:t>
      </w:r>
      <w:r>
        <w:rPr>
          <w:rFonts w:cs="David" w:ascii="David" w:hAnsi="David"/>
          <w:rtl w:val="true"/>
        </w:rPr>
        <w:t xml:space="preserve">, </w:t>
      </w:r>
      <w:r>
        <w:rPr>
          <w:rFonts w:ascii="David" w:hAnsi="David"/>
          <w:rtl w:val="true"/>
        </w:rPr>
        <w:t>רק בשל המלצת שירות המבחן הכוללת פירוט לגבי ההשלכות הקשות שתהאנה להרשעה על הליך השיקום של המשיב</w:t>
      </w:r>
      <w:r>
        <w:rPr>
          <w:rFonts w:cs="David" w:ascii="David" w:hAnsi="David"/>
          <w:rtl w:val="true"/>
        </w:rPr>
        <w:t xml:space="preserve">. </w:t>
      </w:r>
    </w:p>
    <w:p>
      <w:pPr>
        <w:pStyle w:val="Normal"/>
        <w:spacing w:lineRule="auto" w:line="360"/>
        <w:ind w:start="720" w:end="0"/>
        <w:jc w:val="both"/>
        <w:rPr>
          <w:rFonts w:ascii="David" w:hAnsi="David" w:cs="David"/>
        </w:rPr>
      </w:pPr>
      <w:r>
        <w:rPr>
          <w:rFonts w:cs="David" w:ascii="David" w:hAnsi="David"/>
          <w:rtl w:val="true"/>
        </w:rPr>
      </w:r>
    </w:p>
    <w:p>
      <w:pPr>
        <w:pStyle w:val="Normal"/>
        <w:spacing w:lineRule="auto" w:line="360"/>
        <w:ind w:end="0"/>
        <w:jc w:val="both"/>
        <w:rPr>
          <w:rFonts w:ascii="David" w:hAnsi="David" w:cs="David"/>
        </w:rPr>
      </w:pPr>
      <w:r>
        <w:rPr>
          <w:rFonts w:ascii="David" w:hAnsi="David"/>
          <w:rtl w:val="true"/>
        </w:rPr>
        <w:t>אינני סבורה כי שאלת חזרתו לעבודה בנמל צריכה היתה לקבל את המשקל הדומיננטי כפי שקיבלה בפסק הדין קמא</w:t>
      </w:r>
      <w:r>
        <w:rPr>
          <w:rFonts w:cs="David" w:ascii="David" w:hAnsi="David"/>
          <w:rtl w:val="true"/>
        </w:rPr>
        <w:t xml:space="preserve">, </w:t>
      </w:r>
      <w:r>
        <w:rPr>
          <w:rFonts w:ascii="David" w:hAnsi="David"/>
          <w:rtl w:val="true"/>
        </w:rPr>
        <w:t>במיוחד שעה שהמדובר באירוע ספקולטיבי</w:t>
      </w:r>
      <w:r>
        <w:rPr>
          <w:rFonts w:cs="David" w:ascii="David" w:hAnsi="David"/>
          <w:rtl w:val="true"/>
        </w:rPr>
        <w:t xml:space="preserve">. </w:t>
      </w:r>
      <w:r>
        <w:rPr>
          <w:rFonts w:ascii="David" w:hAnsi="David"/>
          <w:rtl w:val="true"/>
        </w:rPr>
        <w:t>אני מצטרפת בהקשר זה להערתו של כב</w:t>
      </w:r>
      <w:r>
        <w:rPr>
          <w:rFonts w:cs="David" w:ascii="David" w:hAnsi="David"/>
          <w:rtl w:val="true"/>
        </w:rPr>
        <w:t xml:space="preserve">' </w:t>
      </w:r>
      <w:r>
        <w:rPr>
          <w:rFonts w:ascii="David" w:hAnsi="David"/>
          <w:rtl w:val="true"/>
        </w:rPr>
        <w:t xml:space="preserve">השופט שפירא </w:t>
      </w:r>
      <w:r>
        <w:rPr>
          <w:rFonts w:cs="David" w:ascii="David" w:hAnsi="David"/>
          <w:rtl w:val="true"/>
        </w:rPr>
        <w:t>(</w:t>
      </w:r>
      <w:r>
        <w:rPr>
          <w:rFonts w:ascii="David" w:hAnsi="David"/>
          <w:rtl w:val="true"/>
        </w:rPr>
        <w:t>אב</w:t>
      </w:r>
      <w:r>
        <w:rPr>
          <w:rFonts w:cs="David" w:ascii="David" w:hAnsi="David"/>
          <w:rtl w:val="true"/>
        </w:rPr>
        <w:t>"</w:t>
      </w:r>
      <w:r>
        <w:rPr>
          <w:rFonts w:ascii="David" w:hAnsi="David"/>
          <w:rtl w:val="true"/>
        </w:rPr>
        <w:t>ד</w:t>
      </w:r>
      <w:r>
        <w:rPr>
          <w:rFonts w:cs="David" w:ascii="David" w:hAnsi="David"/>
          <w:rtl w:val="true"/>
        </w:rPr>
        <w:t xml:space="preserve">) </w:t>
      </w:r>
      <w:r>
        <w:rPr>
          <w:rFonts w:ascii="David" w:hAnsi="David"/>
          <w:rtl w:val="true"/>
        </w:rPr>
        <w:t>לעיל</w:t>
      </w:r>
      <w:r>
        <w:rPr>
          <w:rFonts w:cs="David" w:ascii="David" w:hAnsi="David"/>
          <w:rtl w:val="true"/>
        </w:rPr>
        <w:t xml:space="preserve">, </w:t>
      </w:r>
      <w:r>
        <w:rPr>
          <w:rFonts w:ascii="David" w:hAnsi="David"/>
          <w:rtl w:val="true"/>
        </w:rPr>
        <w:t>לגבי כך שאין לפרש את פסק הדין של ערכאת הערעור כהמלצה להשיב את המשיב לעבודה בנמל</w:t>
      </w:r>
      <w:r>
        <w:rPr>
          <w:rFonts w:cs="David" w:ascii="David" w:hAnsi="David"/>
          <w:rtl w:val="true"/>
        </w:rPr>
        <w:t xml:space="preserve">, </w:t>
      </w:r>
      <w:r>
        <w:rPr>
          <w:rFonts w:ascii="David" w:hAnsi="David"/>
          <w:rtl w:val="true"/>
        </w:rPr>
        <w:t>ודומני כי בית המשפט קמא שגה בכך שכלל המלצה שכזו בפסק דינו</w:t>
      </w:r>
      <w:r>
        <w:rPr>
          <w:rFonts w:cs="David" w:ascii="David" w:hAnsi="David"/>
          <w:rtl w:val="true"/>
        </w:rPr>
        <w:t xml:space="preserve">. </w:t>
      </w:r>
    </w:p>
    <w:p>
      <w:pPr>
        <w:pStyle w:val="Normal"/>
        <w:spacing w:lineRule="auto" w:line="360"/>
        <w:ind w:start="720" w:end="0"/>
        <w:jc w:val="both"/>
        <w:rPr>
          <w:rFonts w:ascii="David" w:hAnsi="David" w:cs="David"/>
        </w:rPr>
      </w:pPr>
      <w:r>
        <w:rPr>
          <w:rFonts w:cs="David" w:ascii="David" w:hAnsi="David"/>
          <w:rtl w:val="true"/>
        </w:rPr>
      </w:r>
    </w:p>
    <w:p>
      <w:pPr>
        <w:pStyle w:val="Normal"/>
        <w:spacing w:lineRule="auto" w:line="360"/>
        <w:ind w:end="0"/>
        <w:jc w:val="both"/>
        <w:rPr>
          <w:rFonts w:ascii="David" w:hAnsi="David" w:cs="David"/>
        </w:rPr>
      </w:pPr>
      <w:r>
        <w:rPr>
          <w:rFonts w:ascii="David" w:hAnsi="David"/>
          <w:rtl w:val="true"/>
        </w:rPr>
        <w:t>מבחינתי</w:t>
      </w:r>
      <w:r>
        <w:rPr>
          <w:rFonts w:cs="David" w:ascii="David" w:hAnsi="David"/>
          <w:rtl w:val="true"/>
        </w:rPr>
        <w:t xml:space="preserve">, </w:t>
      </w:r>
      <w:r>
        <w:rPr>
          <w:rFonts w:ascii="David" w:hAnsi="David"/>
          <w:rtl w:val="true"/>
        </w:rPr>
        <w:t>הדגש אינו על החזרה או אי החזרה לעבודה בנמל</w:t>
      </w:r>
      <w:r>
        <w:rPr>
          <w:rFonts w:cs="David" w:ascii="David" w:hAnsi="David"/>
          <w:rtl w:val="true"/>
        </w:rPr>
        <w:t xml:space="preserve">, </w:t>
      </w:r>
      <w:r>
        <w:rPr>
          <w:rFonts w:ascii="David" w:hAnsi="David"/>
          <w:rtl w:val="true"/>
        </w:rPr>
        <w:t>אלא על הליך השיקום הכולל</w:t>
      </w:r>
      <w:r>
        <w:rPr>
          <w:rFonts w:cs="David" w:ascii="David" w:hAnsi="David"/>
          <w:rtl w:val="true"/>
        </w:rPr>
        <w:t xml:space="preserve">, </w:t>
      </w:r>
      <w:r>
        <w:rPr>
          <w:rFonts w:ascii="David" w:hAnsi="David"/>
          <w:rtl w:val="true"/>
        </w:rPr>
        <w:t>אותו עבר המשיב מאז האירועים בהם עסקינן ועד היום</w:t>
      </w:r>
      <w:r>
        <w:rPr>
          <w:rFonts w:cs="David" w:ascii="David" w:hAnsi="David"/>
          <w:rtl w:val="true"/>
        </w:rPr>
        <w:t xml:space="preserve">. </w:t>
      </w:r>
      <w:r>
        <w:rPr>
          <w:rFonts w:ascii="David" w:hAnsi="David"/>
          <w:rtl w:val="true"/>
        </w:rPr>
        <w:t xml:space="preserve">המדובר בהליך משמעותי </w:t>
      </w:r>
      <w:r>
        <w:rPr>
          <w:rFonts w:cs="David" w:ascii="David" w:hAnsi="David"/>
          <w:rtl w:val="true"/>
        </w:rPr>
        <w:t>(</w:t>
      </w:r>
      <w:r>
        <w:rPr>
          <w:rFonts w:ascii="David" w:hAnsi="David"/>
          <w:rtl w:val="true"/>
        </w:rPr>
        <w:t>במיוחד לגבי מי שזו הסתבכותו הראשונה</w:t>
      </w:r>
      <w:r>
        <w:rPr>
          <w:rFonts w:cs="David" w:ascii="David" w:hAnsi="David"/>
          <w:rtl w:val="true"/>
        </w:rPr>
        <w:t xml:space="preserve">), </w:t>
      </w:r>
      <w:r>
        <w:rPr>
          <w:rFonts w:ascii="David" w:hAnsi="David"/>
          <w:rtl w:val="true"/>
        </w:rPr>
        <w:t>הכולל  טיפול אינטנסיבי</w:t>
      </w:r>
      <w:r>
        <w:rPr>
          <w:rFonts w:cs="David" w:ascii="David" w:hAnsi="David"/>
          <w:rtl w:val="true"/>
        </w:rPr>
        <w:t xml:space="preserve">, </w:t>
      </w:r>
      <w:r>
        <w:rPr>
          <w:rFonts w:ascii="David" w:hAnsi="David"/>
          <w:rtl w:val="true"/>
        </w:rPr>
        <w:t>התמודדות עם הגורמים שהביאוהו לכדי העבירה מלכתחילה</w:t>
      </w:r>
      <w:r>
        <w:rPr>
          <w:rFonts w:cs="David" w:ascii="David" w:hAnsi="David"/>
          <w:rtl w:val="true"/>
        </w:rPr>
        <w:t xml:space="preserve">, </w:t>
      </w:r>
      <w:r>
        <w:rPr>
          <w:rFonts w:ascii="David" w:hAnsi="David"/>
          <w:rtl w:val="true"/>
        </w:rPr>
        <w:t>שיקום של יחסיו עם המשפחה</w:t>
      </w:r>
      <w:r>
        <w:rPr>
          <w:rFonts w:cs="David" w:ascii="David" w:hAnsi="David"/>
          <w:rtl w:val="true"/>
        </w:rPr>
        <w:t xml:space="preserve">, </w:t>
      </w:r>
      <w:r>
        <w:rPr>
          <w:rFonts w:ascii="David" w:hAnsi="David"/>
          <w:rtl w:val="true"/>
        </w:rPr>
        <w:t>גיבוש יכולות לנטילת אחריות על המשך המהלכים</w:t>
      </w:r>
      <w:r>
        <w:rPr>
          <w:rFonts w:cs="David" w:ascii="David" w:hAnsi="David"/>
          <w:rtl w:val="true"/>
        </w:rPr>
        <w:t xml:space="preserve">, </w:t>
      </w:r>
      <w:r>
        <w:rPr>
          <w:rFonts w:ascii="David" w:hAnsi="David"/>
          <w:rtl w:val="true"/>
        </w:rPr>
        <w:t>הימנעות מכל עבירה או הפרה במשך כל הזמן שחלף</w:t>
      </w:r>
      <w:r>
        <w:rPr>
          <w:rFonts w:cs="David" w:ascii="David" w:hAnsi="David"/>
          <w:rtl w:val="true"/>
        </w:rPr>
        <w:t xml:space="preserve">, </w:t>
      </w:r>
      <w:r>
        <w:rPr>
          <w:rFonts w:ascii="David" w:hAnsi="David"/>
          <w:rtl w:val="true"/>
        </w:rPr>
        <w:t>חיזוק הביטחון והדימוי העצמי – ולשיטתי</w:t>
      </w:r>
      <w:r>
        <w:rPr>
          <w:rFonts w:cs="David" w:ascii="David" w:hAnsi="David"/>
          <w:rtl w:val="true"/>
        </w:rPr>
        <w:t xml:space="preserve">, </w:t>
      </w:r>
      <w:r>
        <w:rPr>
          <w:rFonts w:ascii="David" w:hAnsi="David"/>
          <w:rtl w:val="true"/>
        </w:rPr>
        <w:t>יש משקל מכריע לעמדת שירות המבחן לפיה ההרשעה תפגע קשות ב</w:t>
      </w:r>
      <w:r>
        <w:rPr>
          <w:rFonts w:cs="David" w:ascii="David" w:hAnsi="David"/>
          <w:rtl w:val="true"/>
        </w:rPr>
        <w:t>"</w:t>
      </w:r>
      <w:r>
        <w:rPr>
          <w:rFonts w:ascii="David" w:hAnsi="David"/>
          <w:rtl w:val="true"/>
        </w:rPr>
        <w:t>הישגים</w:t>
      </w:r>
      <w:r>
        <w:rPr>
          <w:rFonts w:cs="David" w:ascii="David" w:hAnsi="David"/>
          <w:rtl w:val="true"/>
        </w:rPr>
        <w:t xml:space="preserve">" </w:t>
      </w:r>
      <w:r>
        <w:rPr>
          <w:rFonts w:ascii="David" w:hAnsi="David"/>
          <w:rtl w:val="true"/>
        </w:rPr>
        <w:t>שהושגו עד כה והם ירדו לטמיון</w:t>
      </w:r>
      <w:r>
        <w:rPr>
          <w:rFonts w:cs="David" w:ascii="David" w:hAnsi="David"/>
          <w:rtl w:val="true"/>
        </w:rPr>
        <w:t xml:space="preserve">, </w:t>
      </w:r>
      <w:r>
        <w:rPr>
          <w:rFonts w:ascii="David" w:hAnsi="David"/>
          <w:rtl w:val="true"/>
        </w:rPr>
        <w:t>ולא תאפשר את המשך ההליך השיקומי</w:t>
      </w:r>
      <w:r>
        <w:rPr>
          <w:rFonts w:cs="David" w:ascii="David" w:hAnsi="David"/>
          <w:rtl w:val="true"/>
        </w:rPr>
        <w:t xml:space="preserve">, </w:t>
      </w:r>
      <w:r>
        <w:rPr>
          <w:rFonts w:ascii="David" w:hAnsi="David"/>
          <w:rtl w:val="true"/>
        </w:rPr>
        <w:t>עד סיומו</w:t>
      </w:r>
      <w:r>
        <w:rPr>
          <w:rFonts w:cs="David" w:ascii="David" w:hAnsi="David"/>
          <w:rtl w:val="true"/>
        </w:rPr>
        <w:t xml:space="preserve">. </w:t>
      </w:r>
    </w:p>
    <w:p>
      <w:pPr>
        <w:pStyle w:val="Normal"/>
        <w:spacing w:lineRule="auto" w:line="360"/>
        <w:ind w:start="720" w:end="0"/>
        <w:jc w:val="both"/>
        <w:rPr>
          <w:rFonts w:ascii="David" w:hAnsi="David" w:cs="David"/>
        </w:rPr>
      </w:pPr>
      <w:r>
        <w:rPr>
          <w:rFonts w:cs="David" w:ascii="David" w:hAnsi="David"/>
          <w:rtl w:val="true"/>
        </w:rPr>
      </w:r>
    </w:p>
    <w:p>
      <w:pPr>
        <w:pStyle w:val="Normal"/>
        <w:spacing w:lineRule="auto" w:line="360"/>
        <w:ind w:end="0"/>
        <w:jc w:val="both"/>
        <w:rPr>
          <w:rFonts w:ascii="David" w:hAnsi="David" w:cs="David"/>
        </w:rPr>
      </w:pPr>
      <w:r>
        <w:rPr>
          <w:rFonts w:ascii="David" w:hAnsi="David"/>
          <w:rtl w:val="true"/>
        </w:rPr>
        <w:t>לכן</w:t>
      </w:r>
      <w:r>
        <w:rPr>
          <w:rFonts w:cs="David" w:ascii="David" w:hAnsi="David"/>
          <w:rtl w:val="true"/>
        </w:rPr>
        <w:t xml:space="preserve">, </w:t>
      </w:r>
      <w:r>
        <w:rPr>
          <w:rFonts w:ascii="David" w:hAnsi="David"/>
          <w:rtl w:val="true"/>
        </w:rPr>
        <w:t>הגם שלשיטתי עסקינן במקרה גבולי בכל הנוגע לשאלת אי</w:t>
      </w:r>
      <w:r>
        <w:rPr>
          <w:rFonts w:cs="David" w:ascii="David" w:hAnsi="David"/>
          <w:rtl w:val="true"/>
        </w:rPr>
        <w:t>-</w:t>
      </w:r>
      <w:r>
        <w:rPr>
          <w:rFonts w:ascii="David" w:hAnsi="David"/>
          <w:rtl w:val="true"/>
        </w:rPr>
        <w:t>ההרשעה</w:t>
      </w:r>
      <w:r>
        <w:rPr>
          <w:rFonts w:cs="David" w:ascii="David" w:hAnsi="David"/>
          <w:rtl w:val="true"/>
        </w:rPr>
        <w:t xml:space="preserve">, </w:t>
      </w:r>
      <w:r>
        <w:rPr>
          <w:rFonts w:ascii="David" w:hAnsi="David"/>
          <w:rtl w:val="true"/>
        </w:rPr>
        <w:t>מצאתי שאין הוא מצדיק התערבות של ערכאת הערעור בשיקול הדעת של בית המשפט הנכבד קמא</w:t>
      </w:r>
      <w:r>
        <w:rPr>
          <w:rFonts w:cs="David" w:ascii="David" w:hAnsi="David"/>
          <w:rtl w:val="true"/>
        </w:rPr>
        <w:t xml:space="preserve">, </w:t>
      </w:r>
      <w:r>
        <w:rPr>
          <w:rFonts w:ascii="David" w:hAnsi="David"/>
          <w:rtl w:val="true"/>
        </w:rPr>
        <w:t>ואצטרף לדעת חברי להרכב</w:t>
      </w:r>
      <w:r>
        <w:rPr>
          <w:rFonts w:cs="David" w:ascii="David" w:hAnsi="David"/>
          <w:rtl w:val="true"/>
        </w:rPr>
        <w:t xml:space="preserve">, </w:t>
      </w:r>
      <w:r>
        <w:rPr>
          <w:rFonts w:ascii="David" w:hAnsi="David"/>
          <w:rtl w:val="true"/>
        </w:rPr>
        <w:t>כפי שפורט בחוות הדעת המפורטת והמנומקת של כב</w:t>
      </w:r>
      <w:r>
        <w:rPr>
          <w:rFonts w:cs="David" w:ascii="David" w:hAnsi="David"/>
          <w:rtl w:val="true"/>
        </w:rPr>
        <w:t xml:space="preserve">' </w:t>
      </w:r>
      <w:r>
        <w:rPr>
          <w:rFonts w:ascii="David" w:hAnsi="David"/>
          <w:rtl w:val="true"/>
        </w:rPr>
        <w:t>השופטת טאובר וכפי שמופיע בחוות הדעת של כב</w:t>
      </w:r>
      <w:r>
        <w:rPr>
          <w:rFonts w:cs="David" w:ascii="David" w:hAnsi="David"/>
          <w:rtl w:val="true"/>
        </w:rPr>
        <w:t xml:space="preserve">' </w:t>
      </w:r>
      <w:r>
        <w:rPr>
          <w:rFonts w:ascii="David" w:hAnsi="David"/>
          <w:rtl w:val="true"/>
        </w:rPr>
        <w:t xml:space="preserve">השופט שפירא </w:t>
      </w:r>
      <w:r>
        <w:rPr>
          <w:rFonts w:cs="David" w:ascii="David" w:hAnsi="David"/>
          <w:rtl w:val="true"/>
        </w:rPr>
        <w:t>(</w:t>
      </w:r>
      <w:r>
        <w:rPr>
          <w:rFonts w:ascii="David" w:hAnsi="David"/>
          <w:rtl w:val="true"/>
        </w:rPr>
        <w:t>אב</w:t>
      </w:r>
      <w:r>
        <w:rPr>
          <w:rFonts w:cs="David" w:ascii="David" w:hAnsi="David"/>
          <w:rtl w:val="true"/>
        </w:rPr>
        <w:t>"</w:t>
      </w:r>
      <w:r>
        <w:rPr>
          <w:rFonts w:ascii="David" w:hAnsi="David"/>
          <w:rtl w:val="true"/>
        </w:rPr>
        <w:t>ד</w:t>
      </w:r>
      <w:r>
        <w:rPr>
          <w:rFonts w:cs="David" w:ascii="David" w:hAnsi="David"/>
          <w:rtl w:val="true"/>
        </w:rPr>
        <w:t>).</w:t>
      </w:r>
    </w:p>
    <w:tbl>
      <w:tblPr>
        <w:bidiVisual w:val="true"/>
        <w:tblW w:w="2856" w:type="dxa"/>
        <w:jc w:val="start"/>
        <w:tblInd w:w="108" w:type="dxa"/>
        <w:tblLayout w:type="fixed"/>
        <w:tblCellMar>
          <w:top w:w="0" w:type="dxa"/>
          <w:start w:w="108" w:type="dxa"/>
          <w:bottom w:w="0" w:type="dxa"/>
          <w:end w:w="108" w:type="dxa"/>
        </w:tblCellMar>
      </w:tblPr>
      <w:tblGrid>
        <w:gridCol w:w="2856"/>
      </w:tblGrid>
      <w:tr>
        <w:trPr/>
        <w:tc>
          <w:tcPr>
            <w:tcW w:w="2856" w:type="dxa"/>
            <w:tcBorders>
              <w:bottom w:val="single" w:sz="4" w:space="0" w:color="000000"/>
            </w:tcBorders>
            <w:vAlign w:val="center"/>
          </w:tcPr>
          <w:p>
            <w:pPr>
              <w:pStyle w:val="Normal"/>
              <w:snapToGrid w:val="false"/>
              <w:ind w:end="0"/>
              <w:jc w:val="center"/>
              <w:rPr>
                <w:rFonts w:ascii="Courier New" w:hAnsi="Courier New" w:cs="Courier New"/>
                <w:b/>
                <w:bCs/>
              </w:rPr>
            </w:pPr>
            <w:r>
              <w:rPr>
                <w:rFonts w:cs="Courier New" w:ascii="Courier New" w:hAnsi="Courier New"/>
                <w:b/>
                <w:bCs/>
                <w:rtl w:val="true"/>
              </w:rPr>
            </w:r>
          </w:p>
        </w:tc>
      </w:tr>
      <w:tr>
        <w:trPr/>
        <w:tc>
          <w:tcPr>
            <w:tcW w:w="2856" w:type="dxa"/>
            <w:tcBorders>
              <w:top w:val="single" w:sz="4" w:space="0" w:color="000000"/>
            </w:tcBorders>
          </w:tcPr>
          <w:p>
            <w:pPr>
              <w:pStyle w:val="Normal"/>
              <w:ind w:end="0"/>
              <w:jc w:val="center"/>
              <w:rPr>
                <w:b/>
                <w:bCs/>
              </w:rPr>
            </w:pPr>
            <w:r>
              <w:rPr>
                <w:b/>
                <w:b/>
                <w:bCs/>
                <w:rtl w:val="true"/>
              </w:rPr>
              <w:t>תמר</w:t>
            </w:r>
            <w:r>
              <w:rPr>
                <w:rFonts w:cs="Times New Roman"/>
                <w:b/>
                <w:b/>
                <w:bCs/>
                <w:rtl w:val="true"/>
              </w:rPr>
              <w:t xml:space="preserve"> </w:t>
            </w:r>
            <w:r>
              <w:rPr>
                <w:b/>
                <w:b/>
                <w:bCs/>
                <w:rtl w:val="true"/>
              </w:rPr>
              <w:t>נאות</w:t>
            </w:r>
            <w:r>
              <w:rPr>
                <w:rFonts w:cs="Times New Roman"/>
                <w:b/>
                <w:b/>
                <w:bCs/>
                <w:rtl w:val="true"/>
              </w:rPr>
              <w:t xml:space="preserve"> </w:t>
            </w:r>
            <w:r>
              <w:rPr>
                <w:b/>
                <w:b/>
                <w:bCs/>
                <w:rtl w:val="true"/>
              </w:rPr>
              <w:t>פרי</w:t>
            </w:r>
            <w:r>
              <w:rPr>
                <w:b/>
                <w:bCs/>
                <w:rtl w:val="true"/>
              </w:rPr>
              <w:t xml:space="preserve">, </w:t>
            </w:r>
            <w:r>
              <w:rPr>
                <w:b/>
                <w:b/>
                <w:bCs/>
                <w:rtl w:val="true"/>
              </w:rPr>
              <w:t>שופטת</w:t>
            </w:r>
          </w:p>
        </w:tc>
      </w:tr>
    </w:tbl>
    <w:p>
      <w:pPr>
        <w:pStyle w:val="Normal"/>
        <w:spacing w:lineRule="auto" w:line="360"/>
        <w:ind w:end="0"/>
        <w:jc w:val="both"/>
        <w:rPr>
          <w:rFonts w:ascii="David" w:hAnsi="David" w:cs="David"/>
        </w:rPr>
      </w:pPr>
      <w:r>
        <w:rPr>
          <w:rFonts w:cs="David" w:ascii="David" w:hAnsi="David"/>
          <w:rtl w:val="true"/>
        </w:rPr>
      </w:r>
    </w:p>
    <w:p>
      <w:pPr>
        <w:pStyle w:val="Normal"/>
        <w:spacing w:lineRule="auto" w:line="360"/>
        <w:ind w:end="0"/>
        <w:jc w:val="both"/>
        <w:rPr>
          <w:rFonts w:ascii="Arial" w:hAnsi="Arial" w:cs="Arial"/>
          <w:lang w:val="en-US" w:eastAsia="en-US"/>
        </w:rPr>
      </w:pPr>
      <w:r>
        <w:rPr>
          <w:rFonts w:cs="Arial" w:ascii="Arial" w:hAnsi="Arial"/>
          <w:rtl w:val="true"/>
          <w:lang w:val="en-US" w:eastAsia="en-US"/>
        </w:rPr>
      </w:r>
    </w:p>
    <w:p>
      <w:pPr>
        <w:pStyle w:val="Normal"/>
        <w:spacing w:lineRule="auto" w:line="360"/>
        <w:ind w:end="0"/>
        <w:jc w:val="both"/>
        <w:rPr>
          <w:rFonts w:ascii="Arial" w:hAnsi="Arial" w:cs="Arial"/>
          <w:lang w:val="en-US" w:eastAsia="en-US"/>
        </w:rPr>
      </w:pPr>
      <w:r>
        <w:rPr>
          <w:rFonts w:ascii="Arial" w:hAnsi="Arial" w:cs="Arial"/>
          <w:rtl w:val="true"/>
          <w:lang w:val="en-US" w:eastAsia="en-US"/>
        </w:rPr>
        <w:t>הוחלט כאמור בפסק דינה של השופטת טאובר</w:t>
      </w:r>
      <w:r>
        <w:rPr>
          <w:rFonts w:cs="Arial" w:ascii="Arial" w:hAnsi="Arial"/>
          <w:rtl w:val="true"/>
          <w:lang w:val="en-US" w:eastAsia="en-US"/>
        </w:rPr>
        <w:t xml:space="preserve">. </w:t>
      </w:r>
      <w:r>
        <w:rPr>
          <w:rFonts w:ascii="Arial" w:hAnsi="Arial" w:cs="Arial"/>
          <w:rtl w:val="true"/>
          <w:lang w:val="en-US" w:eastAsia="en-US"/>
        </w:rPr>
        <w:t>בעיקרו של דבר</w:t>
      </w:r>
      <w:r>
        <w:rPr>
          <w:rFonts w:cs="Arial" w:ascii="Arial" w:hAnsi="Arial"/>
          <w:rtl w:val="true"/>
          <w:lang w:val="en-US" w:eastAsia="en-US"/>
        </w:rPr>
        <w:t xml:space="preserve">, </w:t>
      </w:r>
      <w:r>
        <w:rPr>
          <w:rFonts w:ascii="Arial" w:hAnsi="Arial" w:cs="Arial"/>
          <w:rtl w:val="true"/>
          <w:lang w:val="en-US" w:eastAsia="en-US"/>
        </w:rPr>
        <w:t>הערעור נדחה</w:t>
      </w:r>
      <w:r>
        <w:rPr>
          <w:rFonts w:cs="Arial" w:ascii="Arial" w:hAnsi="Arial"/>
          <w:rtl w:val="true"/>
          <w:lang w:val="en-US" w:eastAsia="en-US"/>
        </w:rPr>
        <w:t xml:space="preserve">, </w:t>
      </w:r>
      <w:r>
        <w:rPr>
          <w:rFonts w:ascii="Arial" w:hAnsi="Arial" w:cs="Arial"/>
          <w:rtl w:val="true"/>
          <w:lang w:val="en-US" w:eastAsia="en-US"/>
        </w:rPr>
        <w:t>למעט הארכת משך תקופת הפיקוח באמצעות שירות המבחן וכן השוואת הפיצוי שעל המשיב לשלם</w:t>
      </w:r>
      <w:r>
        <w:rPr>
          <w:rFonts w:cs="Arial" w:ascii="Arial" w:hAnsi="Arial"/>
          <w:rtl w:val="true"/>
          <w:lang w:val="en-US" w:eastAsia="en-US"/>
        </w:rPr>
        <w:t xml:space="preserve">, </w:t>
      </w:r>
      <w:r>
        <w:rPr>
          <w:rFonts w:ascii="Arial" w:hAnsi="Arial" w:cs="Arial"/>
          <w:rtl w:val="true"/>
          <w:lang w:val="en-US" w:eastAsia="en-US"/>
        </w:rPr>
        <w:t xml:space="preserve">כמפורט בסעיף </w:t>
      </w:r>
      <w:r>
        <w:rPr>
          <w:rFonts w:cs="Arial" w:ascii="Arial" w:hAnsi="Arial"/>
          <w:lang w:val="en-US" w:eastAsia="en-US"/>
        </w:rPr>
        <w:t>23</w:t>
      </w:r>
      <w:r>
        <w:rPr>
          <w:rFonts w:cs="Arial" w:ascii="Arial" w:hAnsi="Arial"/>
          <w:rtl w:val="true"/>
          <w:lang w:val="en-US" w:eastAsia="en-US"/>
        </w:rPr>
        <w:t xml:space="preserve"> </w:t>
      </w:r>
      <w:r>
        <w:rPr>
          <w:rFonts w:ascii="Arial" w:hAnsi="Arial" w:cs="Arial"/>
          <w:rtl w:val="true"/>
          <w:lang w:val="en-US" w:eastAsia="en-US"/>
        </w:rPr>
        <w:t>לפסק דינה של השופטת טאובר</w:t>
      </w:r>
      <w:r>
        <w:rPr>
          <w:rFonts w:cs="Arial" w:ascii="Arial" w:hAnsi="Arial"/>
          <w:rtl w:val="true"/>
          <w:lang w:val="en-US" w:eastAsia="en-US"/>
        </w:rPr>
        <w:t>.</w:t>
      </w:r>
    </w:p>
    <w:p>
      <w:pPr>
        <w:pStyle w:val="Normal"/>
        <w:spacing w:lineRule="auto" w:line="360"/>
        <w:ind w:end="0"/>
        <w:jc w:val="both"/>
        <w:rPr>
          <w:rFonts w:ascii="Arial" w:hAnsi="Arial" w:cs="Arial"/>
          <w:color w:val="FFFFFF"/>
          <w:sz w:val="2"/>
          <w:szCs w:val="2"/>
          <w:lang w:val="en-US" w:eastAsia="en-US"/>
        </w:rPr>
      </w:pPr>
      <w:r>
        <w:rPr>
          <w:rFonts w:cs="Arial" w:ascii="Arial" w:hAnsi="Arial"/>
          <w:color w:val="FFFFFF"/>
          <w:sz w:val="2"/>
          <w:szCs w:val="2"/>
          <w:lang w:val="en-US" w:eastAsia="en-US"/>
        </w:rPr>
        <w:t>5129371</w:t>
      </w:r>
    </w:p>
    <w:tbl>
      <w:tblPr>
        <w:bidiVisual w:val="true"/>
        <w:tblW w:w="8505" w:type="dxa"/>
        <w:jc w:val="end"/>
        <w:tblInd w:w="0" w:type="dxa"/>
        <w:tblLayout w:type="fixed"/>
        <w:tblCellMar>
          <w:top w:w="0" w:type="dxa"/>
          <w:start w:w="108" w:type="dxa"/>
          <w:bottom w:w="0" w:type="dxa"/>
          <w:end w:w="108" w:type="dxa"/>
        </w:tblCellMar>
      </w:tblPr>
      <w:tblGrid>
        <w:gridCol w:w="2704"/>
        <w:gridCol w:w="341"/>
        <w:gridCol w:w="2275"/>
        <w:gridCol w:w="329"/>
        <w:gridCol w:w="2856"/>
      </w:tblGrid>
      <w:tr>
        <w:trPr/>
        <w:tc>
          <w:tcPr>
            <w:tcW w:w="2704" w:type="dxa"/>
            <w:tcBorders>
              <w:bottom w:val="single" w:sz="4" w:space="0" w:color="000000"/>
            </w:tcBorders>
            <w:vAlign w:val="center"/>
          </w:tcPr>
          <w:p>
            <w:pPr>
              <w:pStyle w:val="Normal"/>
              <w:ind w:end="0"/>
              <w:jc w:val="center"/>
              <w:rPr>
                <w:rFonts w:ascii="Courier New" w:hAnsi="Courier New" w:cs="Courier New"/>
                <w:b/>
                <w:bCs/>
              </w:rPr>
            </w:pPr>
            <w:r>
              <w:rPr>
                <w:rFonts w:cs="Arial" w:ascii="Arial" w:hAnsi="Arial"/>
                <w:color w:val="FFFFFF"/>
                <w:sz w:val="2"/>
                <w:szCs w:val="2"/>
                <w:lang w:val="en-US" w:eastAsia="en-US"/>
              </w:rPr>
              <w:t>54678313</w:t>
            </w:r>
            <w:r>
              <w:rPr>
                <w:rFonts w:ascii="Arial" w:hAnsi="Arial" w:cs="Arial"/>
                <w:rtl w:val="true"/>
                <w:lang w:val="en-US" w:eastAsia="en-US"/>
              </w:rPr>
              <w:t>ניתן היום</w:t>
            </w:r>
            <w:r>
              <w:rPr>
                <w:rFonts w:cs="Arial" w:ascii="Arial" w:hAnsi="Arial"/>
                <w:rtl w:val="true"/>
                <w:lang w:val="en-US" w:eastAsia="en-US"/>
              </w:rPr>
              <w:t xml:space="preserve">,  </w:t>
            </w:r>
            <w:r>
              <w:rPr>
                <w:rFonts w:ascii="Arial" w:hAnsi="Arial" w:cs="Arial"/>
                <w:rtl w:val="true"/>
                <w:lang w:val="en-US" w:eastAsia="en-US"/>
              </w:rPr>
              <w:t>ה</w:t>
            </w:r>
            <w:r>
              <w:rPr>
                <w:rFonts w:cs="Arial" w:ascii="Arial" w:hAnsi="Arial"/>
                <w:rtl w:val="true"/>
                <w:lang w:val="en-US" w:eastAsia="en-US"/>
              </w:rPr>
              <w:t xml:space="preserve">' </w:t>
            </w:r>
            <w:r>
              <w:rPr>
                <w:rFonts w:ascii="Arial" w:hAnsi="Arial" w:cs="Arial"/>
                <w:rtl w:val="true"/>
                <w:lang w:val="en-US" w:eastAsia="en-US"/>
              </w:rPr>
              <w:t>טבת תשע</w:t>
            </w:r>
            <w:r>
              <w:rPr>
                <w:rFonts w:cs="Arial" w:ascii="Arial" w:hAnsi="Arial"/>
                <w:rtl w:val="true"/>
                <w:lang w:val="en-US" w:eastAsia="en-US"/>
              </w:rPr>
              <w:t>"</w:t>
            </w:r>
            <w:r>
              <w:rPr>
                <w:rFonts w:ascii="Arial" w:hAnsi="Arial" w:cs="Arial"/>
                <w:rtl w:val="true"/>
                <w:lang w:val="en-US" w:eastAsia="en-US"/>
              </w:rPr>
              <w:t>ו</w:t>
            </w:r>
            <w:r>
              <w:rPr>
                <w:rFonts w:cs="Arial" w:ascii="Arial" w:hAnsi="Arial"/>
                <w:rtl w:val="true"/>
                <w:lang w:val="en-US" w:eastAsia="en-US"/>
              </w:rPr>
              <w:t xml:space="preserve">, </w:t>
            </w:r>
            <w:r>
              <w:rPr>
                <w:rFonts w:cs="Arial" w:ascii="Arial" w:hAnsi="Arial"/>
                <w:lang w:val="en-US" w:eastAsia="en-US"/>
              </w:rPr>
              <w:t>17</w:t>
            </w:r>
            <w:r>
              <w:rPr>
                <w:rFonts w:cs="Arial" w:ascii="Arial" w:hAnsi="Arial"/>
                <w:rtl w:val="true"/>
                <w:lang w:val="en-US" w:eastAsia="en-US"/>
              </w:rPr>
              <w:t xml:space="preserve"> </w:t>
            </w:r>
            <w:r>
              <w:rPr>
                <w:rFonts w:ascii="Arial" w:hAnsi="Arial" w:cs="Arial"/>
                <w:rtl w:val="true"/>
                <w:lang w:val="en-US" w:eastAsia="en-US"/>
              </w:rPr>
              <w:t xml:space="preserve">דצמבר </w:t>
            </w:r>
            <w:r>
              <w:rPr>
                <w:rFonts w:cs="Arial" w:ascii="Arial" w:hAnsi="Arial"/>
                <w:lang w:val="en-US" w:eastAsia="en-US"/>
              </w:rPr>
              <w:t>2015</w:t>
            </w:r>
            <w:r>
              <w:rPr>
                <w:rFonts w:cs="Arial" w:ascii="Arial" w:hAnsi="Arial"/>
                <w:rtl w:val="true"/>
                <w:lang w:val="en-US" w:eastAsia="en-US"/>
              </w:rPr>
              <w:t xml:space="preserve">, </w:t>
            </w:r>
            <w:r>
              <w:rPr>
                <w:rFonts w:ascii="Arial" w:hAnsi="Arial" w:cs="Arial"/>
                <w:rtl w:val="true"/>
                <w:lang w:val="en-US" w:eastAsia="en-US"/>
              </w:rPr>
              <w:t>במעמד הצדדים ובאי כוחם</w:t>
            </w:r>
            <w:r>
              <w:rPr>
                <w:rFonts w:cs="Arial" w:ascii="Arial" w:hAnsi="Arial"/>
                <w:rtl w:val="true"/>
                <w:lang w:val="en-US" w:eastAsia="en-US"/>
              </w:rPr>
              <w:t xml:space="preserve">. </w:t>
            </w:r>
          </w:p>
        </w:tc>
        <w:tc>
          <w:tcPr>
            <w:tcW w:w="341" w:type="dxa"/>
            <w:tcBorders/>
            <w:vAlign w:val="center"/>
          </w:tcPr>
          <w:p>
            <w:pPr>
              <w:pStyle w:val="Normal"/>
              <w:snapToGrid w:val="false"/>
              <w:ind w:end="0"/>
              <w:jc w:val="center"/>
              <w:rPr>
                <w:rFonts w:ascii="Courier New" w:hAnsi="Courier New" w:cs="Courier New"/>
                <w:b/>
                <w:bCs/>
              </w:rPr>
            </w:pPr>
            <w:r>
              <w:rPr>
                <w:rFonts w:cs="Courier New" w:ascii="Courier New" w:hAnsi="Courier New"/>
                <w:b/>
                <w:bCs/>
                <w:rtl w:val="true"/>
              </w:rPr>
            </w:r>
          </w:p>
        </w:tc>
        <w:tc>
          <w:tcPr>
            <w:tcW w:w="2275" w:type="dxa"/>
            <w:tcBorders>
              <w:bottom w:val="single" w:sz="4" w:space="0" w:color="000000"/>
            </w:tcBorders>
            <w:vAlign w:val="center"/>
          </w:tcPr>
          <w:p>
            <w:pPr>
              <w:pStyle w:val="Normal"/>
              <w:snapToGrid w:val="false"/>
              <w:ind w:end="0"/>
              <w:jc w:val="center"/>
              <w:rPr>
                <w:rFonts w:ascii="Courier New" w:hAnsi="Courier New" w:cs="Courier New"/>
                <w:b/>
                <w:bCs/>
              </w:rPr>
            </w:pPr>
            <w:r>
              <w:rPr>
                <w:rFonts w:cs="Courier New" w:ascii="Courier New" w:hAnsi="Courier New"/>
                <w:b/>
                <w:bCs/>
                <w:rtl w:val="true"/>
              </w:rPr>
            </w:r>
          </w:p>
        </w:tc>
        <w:tc>
          <w:tcPr>
            <w:tcW w:w="329" w:type="dxa"/>
            <w:tcBorders/>
            <w:vAlign w:val="center"/>
          </w:tcPr>
          <w:p>
            <w:pPr>
              <w:pStyle w:val="Normal"/>
              <w:snapToGrid w:val="false"/>
              <w:ind w:end="0"/>
              <w:jc w:val="center"/>
              <w:rPr>
                <w:rFonts w:ascii="Courier New" w:hAnsi="Courier New" w:cs="Courier New"/>
                <w:b/>
                <w:bCs/>
              </w:rPr>
            </w:pPr>
            <w:r>
              <w:rPr>
                <w:rFonts w:cs="Courier New" w:ascii="Courier New" w:hAnsi="Courier New"/>
                <w:b/>
                <w:bCs/>
                <w:rtl w:val="true"/>
              </w:rPr>
            </w:r>
          </w:p>
        </w:tc>
        <w:tc>
          <w:tcPr>
            <w:tcW w:w="2856" w:type="dxa"/>
            <w:tcBorders>
              <w:bottom w:val="single" w:sz="4" w:space="0" w:color="000000"/>
            </w:tcBorders>
            <w:vAlign w:val="center"/>
          </w:tcPr>
          <w:p>
            <w:pPr>
              <w:pStyle w:val="Normal"/>
              <w:snapToGrid w:val="false"/>
              <w:ind w:end="0"/>
              <w:jc w:val="center"/>
              <w:rPr>
                <w:rFonts w:ascii="Courier New" w:hAnsi="Courier New" w:cs="Courier New"/>
                <w:b/>
                <w:bCs/>
              </w:rPr>
            </w:pPr>
            <w:r>
              <w:rPr>
                <w:rFonts w:cs="Courier New" w:ascii="Courier New" w:hAnsi="Courier New"/>
                <w:b/>
                <w:bCs/>
                <w:rtl w:val="true"/>
              </w:rPr>
            </w:r>
          </w:p>
        </w:tc>
      </w:tr>
      <w:tr>
        <w:trPr/>
        <w:tc>
          <w:tcPr>
            <w:tcW w:w="2704" w:type="dxa"/>
            <w:tcBorders>
              <w:top w:val="single" w:sz="4" w:space="0" w:color="000000"/>
            </w:tcBorders>
          </w:tcPr>
          <w:p>
            <w:pPr>
              <w:pStyle w:val="Normal"/>
              <w:ind w:end="0"/>
              <w:jc w:val="center"/>
              <w:rPr>
                <w:b/>
                <w:bCs/>
              </w:rPr>
            </w:pPr>
            <w:r>
              <w:rPr>
                <w:b/>
                <w:b/>
                <w:bCs/>
                <w:rtl w:val="true"/>
              </w:rPr>
              <w:t>רון</w:t>
            </w:r>
            <w:r>
              <w:rPr>
                <w:rFonts w:cs="Times New Roman"/>
                <w:b/>
                <w:b/>
                <w:bCs/>
                <w:rtl w:val="true"/>
              </w:rPr>
              <w:t xml:space="preserve"> </w:t>
            </w:r>
            <w:r>
              <w:rPr>
                <w:b/>
                <w:b/>
                <w:bCs/>
                <w:rtl w:val="true"/>
              </w:rPr>
              <w:t>שפירא</w:t>
            </w:r>
            <w:r>
              <w:rPr>
                <w:b/>
                <w:bCs/>
                <w:rtl w:val="true"/>
              </w:rPr>
              <w:t xml:space="preserve">, </w:t>
            </w:r>
            <w:r>
              <w:rPr>
                <w:b/>
                <w:b/>
                <w:bCs/>
                <w:rtl w:val="true"/>
              </w:rPr>
              <w:t>סגן</w:t>
            </w:r>
            <w:r>
              <w:rPr>
                <w:rFonts w:cs="Times New Roman"/>
                <w:b/>
                <w:b/>
                <w:bCs/>
                <w:rtl w:val="true"/>
              </w:rPr>
              <w:t xml:space="preserve"> </w:t>
            </w:r>
            <w:r>
              <w:rPr>
                <w:b/>
                <w:b/>
                <w:bCs/>
                <w:rtl w:val="true"/>
              </w:rPr>
              <w:t>נשיא</w:t>
            </w:r>
          </w:p>
          <w:p>
            <w:pPr>
              <w:pStyle w:val="Normal"/>
              <w:ind w:end="0"/>
              <w:jc w:val="center"/>
              <w:rPr>
                <w:b/>
                <w:bCs/>
              </w:rPr>
            </w:pPr>
            <w:r>
              <w:rPr>
                <w:b/>
                <w:bCs/>
                <w:rtl w:val="true"/>
              </w:rPr>
              <w:t>[</w:t>
            </w:r>
            <w:r>
              <w:rPr>
                <w:b/>
                <w:b/>
                <w:bCs/>
                <w:rtl w:val="true"/>
              </w:rPr>
              <w:t>אב</w:t>
            </w:r>
            <w:r>
              <w:rPr>
                <w:b/>
                <w:bCs/>
                <w:rtl w:val="true"/>
              </w:rPr>
              <w:t>"</w:t>
            </w:r>
            <w:r>
              <w:rPr>
                <w:b/>
                <w:b/>
                <w:bCs/>
                <w:rtl w:val="true"/>
              </w:rPr>
              <w:t>ד</w:t>
            </w:r>
            <w:r>
              <w:rPr>
                <w:b/>
                <w:bCs/>
                <w:rtl w:val="true"/>
              </w:rPr>
              <w:t>]</w:t>
            </w:r>
          </w:p>
        </w:tc>
        <w:tc>
          <w:tcPr>
            <w:tcW w:w="341" w:type="dxa"/>
            <w:tcBorders/>
          </w:tcPr>
          <w:p>
            <w:pPr>
              <w:pStyle w:val="Normal"/>
              <w:snapToGrid w:val="false"/>
              <w:ind w:end="0"/>
              <w:jc w:val="center"/>
              <w:rPr>
                <w:b/>
                <w:bCs/>
              </w:rPr>
            </w:pPr>
            <w:r>
              <w:rPr>
                <w:b/>
                <w:bCs/>
                <w:rtl w:val="true"/>
              </w:rPr>
            </w:r>
          </w:p>
        </w:tc>
        <w:tc>
          <w:tcPr>
            <w:tcW w:w="2275" w:type="dxa"/>
            <w:tcBorders>
              <w:top w:val="single" w:sz="4" w:space="0" w:color="000000"/>
            </w:tcBorders>
          </w:tcPr>
          <w:p>
            <w:pPr>
              <w:pStyle w:val="Normal"/>
              <w:ind w:end="0"/>
              <w:jc w:val="center"/>
              <w:rPr>
                <w:b/>
                <w:bCs/>
              </w:rPr>
            </w:pPr>
            <w:r>
              <w:rPr>
                <w:b/>
                <w:b/>
                <w:bCs/>
                <w:rtl w:val="true"/>
              </w:rPr>
              <w:t>בטינה</w:t>
            </w:r>
            <w:r>
              <w:rPr>
                <w:rFonts w:cs="Times New Roman"/>
                <w:b/>
                <w:b/>
                <w:bCs/>
                <w:rtl w:val="true"/>
              </w:rPr>
              <w:t xml:space="preserve"> </w:t>
            </w:r>
            <w:r>
              <w:rPr>
                <w:b/>
                <w:b/>
                <w:bCs/>
                <w:rtl w:val="true"/>
              </w:rPr>
              <w:t>טאובר</w:t>
            </w:r>
            <w:r>
              <w:rPr>
                <w:b/>
                <w:bCs/>
                <w:rtl w:val="true"/>
              </w:rPr>
              <w:t xml:space="preserve">, </w:t>
            </w:r>
            <w:r>
              <w:rPr>
                <w:b/>
                <w:b/>
                <w:bCs/>
                <w:rtl w:val="true"/>
              </w:rPr>
              <w:t>שופטת</w:t>
            </w:r>
          </w:p>
        </w:tc>
        <w:tc>
          <w:tcPr>
            <w:tcW w:w="329" w:type="dxa"/>
            <w:tcBorders/>
          </w:tcPr>
          <w:p>
            <w:pPr>
              <w:pStyle w:val="Normal"/>
              <w:snapToGrid w:val="false"/>
              <w:ind w:end="0"/>
              <w:jc w:val="center"/>
              <w:rPr>
                <w:b/>
                <w:bCs/>
              </w:rPr>
            </w:pPr>
            <w:r>
              <w:rPr>
                <w:b/>
                <w:bCs/>
                <w:rtl w:val="true"/>
              </w:rPr>
            </w:r>
          </w:p>
        </w:tc>
        <w:tc>
          <w:tcPr>
            <w:tcW w:w="2856" w:type="dxa"/>
            <w:tcBorders>
              <w:top w:val="single" w:sz="4" w:space="0" w:color="000000"/>
            </w:tcBorders>
          </w:tcPr>
          <w:p>
            <w:pPr>
              <w:pStyle w:val="Normal"/>
              <w:ind w:end="0"/>
              <w:jc w:val="center"/>
              <w:rPr>
                <w:b/>
                <w:bCs/>
              </w:rPr>
            </w:pPr>
            <w:r>
              <w:rPr>
                <w:b/>
                <w:b/>
                <w:bCs/>
                <w:rtl w:val="true"/>
              </w:rPr>
              <w:t>תמר</w:t>
            </w:r>
            <w:r>
              <w:rPr>
                <w:rFonts w:cs="Times New Roman"/>
                <w:b/>
                <w:b/>
                <w:bCs/>
                <w:rtl w:val="true"/>
              </w:rPr>
              <w:t xml:space="preserve"> </w:t>
            </w:r>
            <w:r>
              <w:rPr>
                <w:b/>
                <w:b/>
                <w:bCs/>
                <w:rtl w:val="true"/>
              </w:rPr>
              <w:t>נאות</w:t>
            </w:r>
            <w:r>
              <w:rPr>
                <w:rFonts w:cs="Times New Roman"/>
                <w:b/>
                <w:b/>
                <w:bCs/>
                <w:rtl w:val="true"/>
              </w:rPr>
              <w:t xml:space="preserve"> </w:t>
            </w:r>
            <w:r>
              <w:rPr>
                <w:b/>
                <w:b/>
                <w:bCs/>
                <w:rtl w:val="true"/>
              </w:rPr>
              <w:t>פרי</w:t>
            </w:r>
            <w:r>
              <w:rPr>
                <w:b/>
                <w:bCs/>
                <w:rtl w:val="true"/>
              </w:rPr>
              <w:t xml:space="preserve">, </w:t>
            </w:r>
            <w:r>
              <w:rPr>
                <w:b/>
                <w:b/>
                <w:bCs/>
                <w:rtl w:val="true"/>
              </w:rPr>
              <w:t>שופטת</w:t>
            </w:r>
          </w:p>
        </w:tc>
      </w:tr>
    </w:tbl>
    <w:p>
      <w:pPr>
        <w:pStyle w:val="Normal"/>
        <w:spacing w:lineRule="auto" w:line="360"/>
        <w:ind w:end="0"/>
        <w:jc w:val="both"/>
        <w:rPr>
          <w:rFonts w:ascii="Arial" w:hAnsi="Arial" w:cs="Arial"/>
          <w:color w:val="FFFFFF"/>
          <w:sz w:val="2"/>
          <w:szCs w:val="2"/>
          <w:lang w:val="en-US" w:eastAsia="en-US"/>
        </w:rPr>
      </w:pPr>
      <w:r>
        <w:rPr>
          <w:rFonts w:cs="Arial" w:ascii="Arial" w:hAnsi="Arial"/>
          <w:color w:val="FFFFFF"/>
          <w:sz w:val="2"/>
          <w:szCs w:val="2"/>
          <w:lang w:val="en-US" w:eastAsia="en-US"/>
        </w:rPr>
        <w:t>5129371</w:t>
      </w:r>
    </w:p>
    <w:p>
      <w:pPr>
        <w:pStyle w:val="Normal"/>
        <w:keepNext w:val="true"/>
        <w:ind w:end="0"/>
        <w:jc w:val="start"/>
        <w:rPr>
          <w:rFonts w:ascii="David" w:hAnsi="David" w:cs="David"/>
          <w:color w:val="FFFFFF"/>
          <w:sz w:val="2"/>
          <w:szCs w:val="2"/>
        </w:rPr>
      </w:pPr>
      <w:r>
        <w:rPr>
          <w:rFonts w:cs="David" w:ascii="David" w:hAnsi="David"/>
          <w:color w:val="FFFFFF"/>
          <w:sz w:val="2"/>
          <w:szCs w:val="2"/>
        </w:rPr>
        <w:t>54678313</w:t>
      </w:r>
    </w:p>
    <w:p>
      <w:pPr>
        <w:pStyle w:val="Normal"/>
        <w:ind w:end="0"/>
        <w:jc w:val="start"/>
        <w:rPr>
          <w:rFonts w:ascii="David" w:hAnsi="David" w:cs="David"/>
          <w:color w:val="FFFFFF"/>
          <w:sz w:val="2"/>
          <w:szCs w:val="2"/>
        </w:rPr>
      </w:pPr>
      <w:r>
        <w:rPr>
          <w:rFonts w:cs="David" w:ascii="David" w:hAnsi="David"/>
          <w:color w:val="FFFFFF"/>
          <w:sz w:val="2"/>
          <w:szCs w:val="2"/>
          <w:rtl w:val="true"/>
        </w:rPr>
      </w:r>
    </w:p>
    <w:p>
      <w:pPr>
        <w:pStyle w:val="Normal"/>
        <w:ind w:end="0"/>
        <w:jc w:val="center"/>
        <w:rPr>
          <w:color w:val="0000FF"/>
          <w:u w:val="single"/>
        </w:rPr>
      </w:pPr>
      <w:hyperlink r:id="rId30">
        <w:r>
          <w:rPr>
            <w:rStyle w:val="Hyperlink"/>
            <w:color w:val="0000FF"/>
            <w:u w:val="single"/>
            <w:rtl w:val="true"/>
          </w:rPr>
          <w:t>בעניין</w:t>
        </w:r>
        <w:r>
          <w:rPr>
            <w:rStyle w:val="Hyperlink"/>
            <w:rFonts w:cs="Times New Roman"/>
            <w:color w:val="0000FF"/>
            <w:u w:val="single"/>
            <w:rtl w:val="true"/>
          </w:rPr>
          <w:t xml:space="preserve"> </w:t>
        </w:r>
        <w:r>
          <w:rPr>
            <w:rStyle w:val="Hyperlink"/>
            <w:color w:val="0000FF"/>
            <w:u w:val="single"/>
            <w:rtl w:val="true"/>
          </w:rPr>
          <w:t>עריכה</w:t>
        </w:r>
        <w:r>
          <w:rPr>
            <w:rStyle w:val="Hyperlink"/>
            <w:rFonts w:cs="Times New Roman"/>
            <w:color w:val="0000FF"/>
            <w:u w:val="single"/>
            <w:rtl w:val="true"/>
          </w:rPr>
          <w:t xml:space="preserve"> </w:t>
        </w:r>
        <w:r>
          <w:rPr>
            <w:rStyle w:val="Hyperlink"/>
            <w:color w:val="0000FF"/>
            <w:u w:val="single"/>
            <w:rtl w:val="true"/>
          </w:rPr>
          <w:t>ושינויים</w:t>
        </w:r>
        <w:r>
          <w:rPr>
            <w:rStyle w:val="Hyperlink"/>
            <w:rFonts w:cs="Times New Roman"/>
            <w:color w:val="0000FF"/>
            <w:u w:val="single"/>
            <w:rtl w:val="true"/>
          </w:rPr>
          <w:t xml:space="preserve"> </w:t>
        </w:r>
        <w:r>
          <w:rPr>
            <w:rStyle w:val="Hyperlink"/>
            <w:color w:val="0000FF"/>
            <w:u w:val="single"/>
            <w:rtl w:val="true"/>
          </w:rPr>
          <w:t>במסמכי</w:t>
        </w:r>
        <w:r>
          <w:rPr>
            <w:rStyle w:val="Hyperlink"/>
            <w:rFonts w:cs="Times New Roman"/>
            <w:color w:val="0000FF"/>
            <w:u w:val="single"/>
            <w:rtl w:val="true"/>
          </w:rPr>
          <w:t xml:space="preserve"> </w:t>
        </w:r>
        <w:r>
          <w:rPr>
            <w:rStyle w:val="Hyperlink"/>
            <w:color w:val="0000FF"/>
            <w:u w:val="single"/>
            <w:rtl w:val="true"/>
          </w:rPr>
          <w:t>פסיקה</w:t>
        </w:r>
        <w:r>
          <w:rPr>
            <w:rStyle w:val="Hyperlink"/>
            <w:color w:val="0000FF"/>
            <w:u w:val="single"/>
            <w:rtl w:val="true"/>
          </w:rPr>
          <w:t xml:space="preserve">, </w:t>
        </w:r>
        <w:r>
          <w:rPr>
            <w:rStyle w:val="Hyperlink"/>
            <w:color w:val="0000FF"/>
            <w:u w:val="single"/>
            <w:rtl w:val="true"/>
          </w:rPr>
          <w:t>חקיקה</w:t>
        </w:r>
        <w:r>
          <w:rPr>
            <w:rStyle w:val="Hyperlink"/>
            <w:rFonts w:cs="Times New Roman"/>
            <w:color w:val="0000FF"/>
            <w:u w:val="single"/>
            <w:rtl w:val="true"/>
          </w:rPr>
          <w:t xml:space="preserve"> </w:t>
        </w:r>
        <w:r>
          <w:rPr>
            <w:rStyle w:val="Hyperlink"/>
            <w:color w:val="0000FF"/>
            <w:u w:val="single"/>
            <w:rtl w:val="true"/>
          </w:rPr>
          <w:t>ועוד</w:t>
        </w:r>
        <w:r>
          <w:rPr>
            <w:rStyle w:val="Hyperlink"/>
            <w:rFonts w:cs="Times New Roman"/>
            <w:color w:val="0000FF"/>
            <w:u w:val="single"/>
            <w:rtl w:val="true"/>
          </w:rPr>
          <w:t xml:space="preserve"> </w:t>
        </w:r>
        <w:r>
          <w:rPr>
            <w:rStyle w:val="Hyperlink"/>
            <w:color w:val="0000FF"/>
            <w:u w:val="single"/>
            <w:rtl w:val="true"/>
          </w:rPr>
          <w:t>באתר</w:t>
        </w:r>
        <w:r>
          <w:rPr>
            <w:rStyle w:val="Hyperlink"/>
            <w:rFonts w:cs="Times New Roman"/>
            <w:color w:val="0000FF"/>
            <w:u w:val="single"/>
            <w:rtl w:val="true"/>
          </w:rPr>
          <w:t xml:space="preserve"> </w:t>
        </w:r>
        <w:r>
          <w:rPr>
            <w:rStyle w:val="Hyperlink"/>
            <w:color w:val="0000FF"/>
            <w:u w:val="single"/>
            <w:rtl w:val="true"/>
          </w:rPr>
          <w:t>נבו</w:t>
        </w:r>
        <w:r>
          <w:rPr>
            <w:rStyle w:val="Hyperlink"/>
            <w:rFonts w:cs="Times New Roman"/>
            <w:color w:val="0000FF"/>
            <w:u w:val="single"/>
            <w:rtl w:val="true"/>
          </w:rPr>
          <w:t xml:space="preserve"> </w:t>
        </w:r>
        <w:r>
          <w:rPr>
            <w:rStyle w:val="Hyperlink"/>
            <w:color w:val="0000FF"/>
            <w:u w:val="single"/>
            <w:rtl w:val="true"/>
          </w:rPr>
          <w:t>–</w:t>
        </w:r>
        <w:r>
          <w:rPr>
            <w:rStyle w:val="Hyperlink"/>
            <w:rFonts w:cs="Times New Roman"/>
            <w:color w:val="0000FF"/>
            <w:u w:val="single"/>
            <w:rtl w:val="true"/>
          </w:rPr>
          <w:t xml:space="preserve"> </w:t>
        </w:r>
        <w:r>
          <w:rPr>
            <w:rStyle w:val="Hyperlink"/>
            <w:color w:val="0000FF"/>
            <w:u w:val="single"/>
            <w:rtl w:val="true"/>
          </w:rPr>
          <w:t>הקש</w:t>
        </w:r>
        <w:r>
          <w:rPr>
            <w:rStyle w:val="Hyperlink"/>
            <w:rFonts w:cs="Times New Roman"/>
            <w:color w:val="0000FF"/>
            <w:u w:val="single"/>
            <w:rtl w:val="true"/>
          </w:rPr>
          <w:t xml:space="preserve"> </w:t>
        </w:r>
        <w:r>
          <w:rPr>
            <w:rStyle w:val="Hyperlink"/>
            <w:color w:val="0000FF"/>
            <w:u w:val="single"/>
            <w:rtl w:val="true"/>
          </w:rPr>
          <w:t>כאן</w:t>
        </w:r>
      </w:hyperlink>
    </w:p>
    <w:p>
      <w:pPr>
        <w:pStyle w:val="Normal"/>
        <w:keepNext w:val="true"/>
        <w:ind w:end="0"/>
        <w:jc w:val="start"/>
        <w:rPr>
          <w:rFonts w:ascii="David" w:hAnsi="David" w:cs="David"/>
          <w:color w:val="000000"/>
          <w:sz w:val="22"/>
          <w:szCs w:val="22"/>
          <w:u w:val="single"/>
        </w:rPr>
      </w:pPr>
      <w:r>
        <w:rPr>
          <w:rFonts w:cs="David" w:ascii="David" w:hAnsi="David"/>
          <w:color w:val="000000"/>
          <w:sz w:val="22"/>
          <w:szCs w:val="22"/>
          <w:u w:val="single"/>
          <w:rtl w:val="true"/>
        </w:rPr>
      </w:r>
    </w:p>
    <w:p>
      <w:pPr>
        <w:pStyle w:val="Normal"/>
        <w:keepNext w:val="true"/>
        <w:ind w:end="0"/>
        <w:jc w:val="start"/>
        <w:rPr>
          <w:rFonts w:ascii="David" w:hAnsi="David" w:cs="David"/>
          <w:color w:val="000000"/>
          <w:sz w:val="22"/>
          <w:szCs w:val="22"/>
        </w:rPr>
      </w:pPr>
      <w:r>
        <w:rPr>
          <w:rFonts w:ascii="David" w:hAnsi="David"/>
          <w:color w:val="000000"/>
          <w:sz w:val="22"/>
          <w:sz w:val="22"/>
          <w:szCs w:val="22"/>
          <w:rtl w:val="true"/>
        </w:rPr>
        <w:t xml:space="preserve">רון שפירא </w:t>
      </w:r>
      <w:r>
        <w:rPr>
          <w:rFonts w:cs="David" w:ascii="David" w:hAnsi="David"/>
          <w:color w:val="000000"/>
          <w:sz w:val="22"/>
          <w:szCs w:val="22"/>
        </w:rPr>
        <w:t>54678313</w:t>
      </w:r>
      <w:r>
        <w:rPr>
          <w:rFonts w:cs="David" w:ascii="David" w:hAnsi="David"/>
          <w:color w:val="000000"/>
          <w:sz w:val="22"/>
          <w:szCs w:val="22"/>
          <w:rtl w:val="true"/>
        </w:rPr>
        <w:t>-/</w:t>
      </w:r>
    </w:p>
    <w:p>
      <w:pPr>
        <w:pStyle w:val="Normal"/>
        <w:ind w:end="0"/>
        <w:jc w:val="start"/>
        <w:rPr>
          <w:color w:val="0000FF"/>
          <w:u w:val="single"/>
        </w:rPr>
      </w:pPr>
      <w:r>
        <w:rPr>
          <w:color w:val="000000"/>
          <w:u w:val="single"/>
          <w:rtl w:val="true"/>
        </w:rPr>
        <w:t>נוסח</w:t>
      </w:r>
      <w:r>
        <w:rPr>
          <w:rFonts w:cs="Times New Roman"/>
          <w:color w:val="000000"/>
          <w:u w:val="single"/>
          <w:rtl w:val="true"/>
        </w:rPr>
        <w:t xml:space="preserve"> </w:t>
      </w:r>
      <w:r>
        <w:rPr>
          <w:color w:val="000000"/>
          <w:u w:val="single"/>
          <w:rtl w:val="true"/>
        </w:rPr>
        <w:t>מסמך</w:t>
      </w:r>
      <w:r>
        <w:rPr>
          <w:rFonts w:cs="Times New Roman"/>
          <w:color w:val="000000"/>
          <w:u w:val="single"/>
          <w:rtl w:val="true"/>
        </w:rPr>
        <w:t xml:space="preserve"> </w:t>
      </w:r>
      <w:r>
        <w:rPr>
          <w:color w:val="000000"/>
          <w:u w:val="single"/>
          <w:rtl w:val="true"/>
        </w:rPr>
        <w:t>זה</w:t>
      </w:r>
      <w:r>
        <w:rPr>
          <w:rFonts w:cs="Times New Roman"/>
          <w:color w:val="000000"/>
          <w:u w:val="single"/>
          <w:rtl w:val="true"/>
        </w:rPr>
        <w:t xml:space="preserve"> </w:t>
      </w:r>
      <w:r>
        <w:rPr>
          <w:color w:val="000000"/>
          <w:u w:val="single"/>
          <w:rtl w:val="true"/>
        </w:rPr>
        <w:t>כפוף</w:t>
      </w:r>
      <w:r>
        <w:rPr>
          <w:rFonts w:cs="Times New Roman"/>
          <w:color w:val="000000"/>
          <w:u w:val="single"/>
          <w:rtl w:val="true"/>
        </w:rPr>
        <w:t xml:space="preserve"> </w:t>
      </w:r>
      <w:r>
        <w:rPr>
          <w:color w:val="000000"/>
          <w:u w:val="single"/>
          <w:rtl w:val="true"/>
        </w:rPr>
        <w:t>לשינויי</w:t>
      </w:r>
      <w:r>
        <w:rPr>
          <w:rFonts w:cs="Times New Roman"/>
          <w:color w:val="000000"/>
          <w:u w:val="single"/>
          <w:rtl w:val="true"/>
        </w:rPr>
        <w:t xml:space="preserve"> </w:t>
      </w:r>
      <w:r>
        <w:rPr>
          <w:color w:val="000000"/>
          <w:u w:val="single"/>
          <w:rtl w:val="true"/>
        </w:rPr>
        <w:t>ניסוח</w:t>
      </w:r>
      <w:r>
        <w:rPr>
          <w:rFonts w:cs="Times New Roman"/>
          <w:color w:val="000000"/>
          <w:u w:val="single"/>
          <w:rtl w:val="true"/>
        </w:rPr>
        <w:t xml:space="preserve"> </w:t>
      </w:r>
      <w:r>
        <w:rPr>
          <w:color w:val="000000"/>
          <w:u w:val="single"/>
          <w:rtl w:val="true"/>
        </w:rPr>
        <w:t>ועריכה</w:t>
      </w:r>
    </w:p>
    <w:p>
      <w:pPr>
        <w:pStyle w:val="Normal"/>
        <w:ind w:end="0"/>
        <w:jc w:val="start"/>
        <w:rPr>
          <w:color w:val="0000FF"/>
          <w:u w:val="single"/>
        </w:rPr>
      </w:pPr>
      <w:r>
        <w:rPr>
          <w:color w:val="0000FF"/>
          <w:u w:val="single"/>
          <w:rtl w:val="true"/>
        </w:rPr>
      </w:r>
    </w:p>
    <w:sectPr>
      <w:headerReference w:type="default" r:id="rId31"/>
      <w:footerReference w:type="default" r:id="rId32"/>
      <w:type w:val="nextPage"/>
      <w:pgSz w:w="11906" w:h="16838"/>
      <w:pgMar w:left="1701" w:right="1701" w:gutter="0" w:header="720" w:top="1701" w:footer="737" w:bottom="1134"/>
      <w:pgNumType w:start="1" w:fmt="decimal"/>
      <w:formProt w:val="false"/>
      <w:textDirection w:val="lrTb"/>
      <w:rtlGutter/>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Tahoma">
    <w:charset w:val="00" w:characterSet="windows-1252"/>
    <w:family w:val="swiss"/>
    <w:pitch w:val="variable"/>
  </w:font>
  <w:font w:name="FrankRuehl">
    <w:charset w:val="b1" w:characterSet="windows-1255"/>
    <w:family w:val="swiss"/>
    <w:pitch w:val="variable"/>
  </w:font>
  <w:font w:name="David">
    <w:charset w:val="b1" w:characterSet="windows-1255"/>
    <w:family w:val="swiss"/>
    <w:pitch w:val="variable"/>
  </w:font>
  <w:font w:name="Courier New">
    <w:charset w:val="00" w:characterSet="windows-1252"/>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0"/>
      <w:jc w:val="center"/>
      <w:rPr>
        <w:rStyle w:val="PageNumber"/>
        <w:rFonts w:ascii="FrankRuehl" w:hAnsi="FrankRuehl" w:cs="FrankRuehl"/>
      </w:rPr>
    </w:pPr>
    <w:r>
      <w:rPr>
        <w:rStyle w:val="PageNumber"/>
        <w:rFonts w:cs="FrankRuehl" w:ascii="FrankRuehl" w:hAnsi="FrankRuehl"/>
        <w:rtl w:val="true"/>
      </w:rPr>
      <w:fldChar w:fldCharType="begin"/>
    </w:r>
    <w:r>
      <w:rPr>
        <w:rtl w:val="true"/>
        <w:rStyle w:val="PageNumber"/>
        <w:rFonts w:cs="FrankRuehl" w:ascii="FrankRuehl" w:hAnsi="FrankRuehl"/>
      </w:rPr>
      <w:instrText xml:space="preserve"> PAGE </w:instrText>
    </w:r>
    <w:r>
      <w:rPr>
        <w:rtl w:val="true"/>
        <w:rStyle w:val="PageNumber"/>
        <w:rFonts w:cs="FrankRuehl" w:ascii="FrankRuehl" w:hAnsi="FrankRuehl"/>
      </w:rPr>
      <w:fldChar w:fldCharType="separate"/>
    </w:r>
    <w:r>
      <w:rPr>
        <w:rtl w:val="true"/>
        <w:rStyle w:val="PageNumber"/>
        <w:rFonts w:cs="FrankRuehl" w:ascii="FrankRuehl" w:hAnsi="FrankRuehl"/>
      </w:rPr>
      <w:t>16</w:t>
    </w:r>
    <w:r>
      <w:rPr>
        <w:rtl w:val="true"/>
        <w:rStyle w:val="PageNumber"/>
        <w:rFonts w:cs="FrankRuehl" w:ascii="FrankRuehl" w:hAnsi="FrankRuehl"/>
      </w:rPr>
      <w:fldChar w:fldCharType="end"/>
    </w:r>
  </w:p>
  <w:p>
    <w:pPr>
      <w:pStyle w:val="Footer"/>
      <w:pBdr>
        <w:top w:val="single" w:sz="4" w:space="1" w:color="000000"/>
      </w:pBdr>
      <w:spacing w:before="0" w:after="60"/>
      <w:ind w:end="0"/>
      <w:jc w:val="center"/>
      <w:rPr/>
    </w:pPr>
    <w:r>
      <w:rPr>
        <w:rStyle w:val="PageNumber"/>
        <w:rFonts w:cs="FrankRuehl" w:ascii="FrankRuehl" w:hAnsi="FrankRuehl"/>
        <w:color w:val="000000"/>
        <w:rtl w:val="true"/>
      </w:rPr>
      <w:drawing>
        <wp:inline distT="0" distB="0" distL="0" distR="0">
          <wp:extent cx="554990" cy="225425"/>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1"/>
                  <a:srcRect l="-65" t="-159" r="-65" b="-159"/>
                  <a:stretch>
                    <a:fillRect/>
                  </a:stretch>
                </pic:blipFill>
                <pic:spPr bwMode="auto">
                  <a:xfrm>
                    <a:off x="0" y="0"/>
                    <a:ext cx="554990" cy="225425"/>
                  </a:xfrm>
                  <a:prstGeom prst="rect">
                    <a:avLst/>
                  </a:prstGeom>
                  <a:noFill/>
                </pic:spPr>
              </pic:pic>
            </a:graphicData>
          </a:graphic>
        </wp:inline>
      </w:drawing>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1" w:color="000000"/>
      </w:pBdr>
      <w:tabs>
        <w:tab w:val="clear" w:pos="720"/>
        <w:tab w:val="right" w:pos="8311" w:leader="none"/>
      </w:tabs>
      <w:spacing w:lineRule="exact" w:line="220"/>
      <w:ind w:end="0"/>
      <w:jc w:val="start"/>
      <w:rPr>
        <w:rFonts w:ascii="David" w:hAnsi="David" w:cs="David"/>
        <w:color w:val="000000"/>
        <w:sz w:val="22"/>
        <w:szCs w:val="22"/>
      </w:rPr>
    </w:pPr>
    <w:r>
      <w:rPr>
        <w:rFonts w:ascii="David" w:hAnsi="David"/>
        <w:color w:val="000000"/>
        <w:sz w:val="22"/>
        <w:sz w:val="22"/>
        <w:szCs w:val="22"/>
        <w:rtl w:val="true"/>
      </w:rPr>
      <w:t xml:space="preserve">עפג </w:t>
    </w:r>
    <w:r>
      <w:rPr>
        <w:rFonts w:cs="David" w:ascii="David" w:hAnsi="David"/>
        <w:color w:val="000000"/>
        <w:sz w:val="22"/>
        <w:szCs w:val="22"/>
        <w:rtl w:val="true"/>
      </w:rPr>
      <w:t>(</w:t>
    </w:r>
    <w:r>
      <w:rPr>
        <w:rFonts w:ascii="David" w:hAnsi="David"/>
        <w:color w:val="000000"/>
        <w:sz w:val="22"/>
        <w:sz w:val="22"/>
        <w:szCs w:val="22"/>
        <w:rtl w:val="true"/>
      </w:rPr>
      <w:t>חי</w:t>
    </w:r>
    <w:r>
      <w:rPr>
        <w:rFonts w:cs="David" w:ascii="David" w:hAnsi="David"/>
        <w:color w:val="000000"/>
        <w:sz w:val="22"/>
        <w:szCs w:val="22"/>
        <w:rtl w:val="true"/>
      </w:rPr>
      <w:t xml:space="preserve">') </w:t>
    </w:r>
    <w:r>
      <w:rPr>
        <w:rFonts w:cs="David" w:ascii="David" w:hAnsi="David"/>
        <w:color w:val="000000"/>
        <w:sz w:val="22"/>
        <w:szCs w:val="22"/>
      </w:rPr>
      <w:t>28110-10-15</w:t>
    </w:r>
    <w:r>
      <w:rPr>
        <w:rFonts w:cs="David" w:ascii="David" w:hAnsi="David"/>
        <w:color w:val="000000"/>
        <w:sz w:val="22"/>
        <w:szCs w:val="22"/>
        <w:rtl w:val="true"/>
      </w:rPr>
      <w:tab/>
      <w:t xml:space="preserve"> </w:t>
    </w:r>
    <w:r>
      <w:rPr>
        <w:rFonts w:ascii="David" w:hAnsi="David"/>
        <w:color w:val="000000"/>
        <w:sz w:val="22"/>
        <w:sz w:val="22"/>
        <w:szCs w:val="22"/>
        <w:rtl w:val="true"/>
      </w:rPr>
      <w:t>מדינת ישראל נ</w:t>
    </w:r>
    <w:r>
      <w:rPr>
        <w:rFonts w:cs="David" w:ascii="David" w:hAnsi="David"/>
        <w:color w:val="000000"/>
        <w:sz w:val="22"/>
        <w:szCs w:val="22"/>
        <w:rtl w:val="true"/>
      </w:rPr>
      <w:t xml:space="preserve">' </w:t>
    </w:r>
    <w:r>
      <w:rPr>
        <w:rFonts w:ascii="David" w:hAnsi="David"/>
        <w:color w:val="000000"/>
        <w:sz w:val="22"/>
        <w:sz w:val="22"/>
        <w:szCs w:val="22"/>
        <w:rtl w:val="true"/>
      </w:rPr>
      <w:t>עידן דוד</w:t>
    </w:r>
  </w:p>
</w:hd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docVars>
    <w:docVar w:name="MyInfo" w:val="This document was extracted from Nevo's site"/>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IL" w:eastAsia="zh-CN" w:bidi="hi-IN"/>
      </w:rPr>
    </w:rPrDefault>
    <w:pPrDefault>
      <w:pPr>
        <w:suppressAutoHyphens w:val="true"/>
      </w:pPr>
    </w:pPrDefault>
  </w:docDefaults>
  <w:style w:type="paragraph" w:styleId="Normal">
    <w:name w:val="Normal"/>
    <w:qFormat/>
    <w:pPr>
      <w:widowControl/>
      <w:bidi w:val="1"/>
      <w:ind w:hanging="0" w:start="0" w:end="0"/>
      <w:jc w:val="start"/>
    </w:pPr>
    <w:rPr>
      <w:rFonts w:ascii="Times New Roman" w:hAnsi="Times New Roman" w:eastAsia="Times New Roman" w:cs="David"/>
      <w:color w:val="auto"/>
      <w:sz w:val="24"/>
      <w:szCs w:val="24"/>
      <w:lang w:val="en-US" w:eastAsia="en-IL" w:bidi="he-IL"/>
    </w:rPr>
  </w:style>
  <w:style w:type="character" w:styleId="DefaultParagraphFont">
    <w:name w:val="Default Paragraph Font"/>
    <w:qFormat/>
    <w:rPr/>
  </w:style>
  <w:style w:type="character" w:styleId="LineNumber">
    <w:name w:val="line number"/>
    <w:basedOn w:val="DefaultParagraphFont"/>
    <w:rPr/>
  </w:style>
  <w:style w:type="character" w:styleId="PageNumber">
    <w:name w:val="page number"/>
    <w:basedOn w:val="DefaultParagraphFont"/>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rPr/>
  </w:style>
  <w:style w:type="paragraph" w:styleId="Footer">
    <w:name w:val="footer"/>
    <w:basedOn w:val="Normal"/>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nevo.co.il/law/4216" TargetMode="External"/><Relationship Id="rId3" Type="http://schemas.openxmlformats.org/officeDocument/2006/relationships/hyperlink" Target="http://www.nevo.co.il/law/4216/6" TargetMode="External"/><Relationship Id="rId4" Type="http://schemas.openxmlformats.org/officeDocument/2006/relationships/hyperlink" Target="http://www.nevo.co.il/law/4216/36h" TargetMode="External"/><Relationship Id="rId5" Type="http://schemas.openxmlformats.org/officeDocument/2006/relationships/hyperlink" Target="http://www.nevo.co.il/law/70301" TargetMode="External"/><Relationship Id="rId6" Type="http://schemas.openxmlformats.org/officeDocument/2006/relationships/hyperlink" Target="http://www.nevo.co.il/law/70301/29.a" TargetMode="External"/><Relationship Id="rId7" Type="http://schemas.openxmlformats.org/officeDocument/2006/relationships/hyperlink" Target="http://www.nevo.co.il/law/70301/40j" TargetMode="External"/><Relationship Id="rId8" Type="http://schemas.openxmlformats.org/officeDocument/2006/relationships/hyperlink" Target="http://www.nevo.co.il/law/70301/40j.b" TargetMode="External"/><Relationship Id="rId9" Type="http://schemas.openxmlformats.org/officeDocument/2006/relationships/hyperlink" Target="http://www.nevo.co.il/case/8478043" TargetMode="External"/><Relationship Id="rId10" Type="http://schemas.openxmlformats.org/officeDocument/2006/relationships/hyperlink" Target="http://www.nevo.co.il/law/4216/6" TargetMode="External"/><Relationship Id="rId11" Type="http://schemas.openxmlformats.org/officeDocument/2006/relationships/hyperlink" Target="http://www.nevo.co.il/law/4216" TargetMode="External"/><Relationship Id="rId12" Type="http://schemas.openxmlformats.org/officeDocument/2006/relationships/hyperlink" Target="http://www.nevo.co.il/law/70301/29.a" TargetMode="External"/><Relationship Id="rId13" Type="http://schemas.openxmlformats.org/officeDocument/2006/relationships/hyperlink" Target="http://www.nevo.co.il/law/70301" TargetMode="External"/><Relationship Id="rId14" Type="http://schemas.openxmlformats.org/officeDocument/2006/relationships/hyperlink" Target="http://www.nevo.co.il/law/4216/36h" TargetMode="External"/><Relationship Id="rId15" Type="http://schemas.openxmlformats.org/officeDocument/2006/relationships/hyperlink" Target="http://www.nevo.co.il/case/5810781" TargetMode="External"/><Relationship Id="rId16" Type="http://schemas.openxmlformats.org/officeDocument/2006/relationships/hyperlink" Target="http://www.nevo.co.il/law/4216/36h" TargetMode="External"/><Relationship Id="rId17" Type="http://schemas.openxmlformats.org/officeDocument/2006/relationships/hyperlink" Target="http://www.nevo.co.il/law/70301/40j" TargetMode="External"/><Relationship Id="rId18" Type="http://schemas.openxmlformats.org/officeDocument/2006/relationships/hyperlink" Target="http://www.nevo.co.il/law/70301" TargetMode="External"/><Relationship Id="rId19" Type="http://schemas.openxmlformats.org/officeDocument/2006/relationships/hyperlink" Target="http://www.nevo.co.il/case/6161385" TargetMode="External"/><Relationship Id="rId20" Type="http://schemas.openxmlformats.org/officeDocument/2006/relationships/hyperlink" Target="http://www.nevo.co.il/case/6879736" TargetMode="External"/><Relationship Id="rId21" Type="http://schemas.openxmlformats.org/officeDocument/2006/relationships/hyperlink" Target="http://www.nevo.co.il/case/6021937" TargetMode="External"/><Relationship Id="rId22" Type="http://schemas.openxmlformats.org/officeDocument/2006/relationships/hyperlink" Target="http://www.nevo.co.il/case/17009738" TargetMode="External"/><Relationship Id="rId23" Type="http://schemas.openxmlformats.org/officeDocument/2006/relationships/hyperlink" Target="http://www.nevo.co.il/case/17954542" TargetMode="External"/><Relationship Id="rId24" Type="http://schemas.openxmlformats.org/officeDocument/2006/relationships/hyperlink" Target="http://www.nevo.co.il/law/70301" TargetMode="External"/><Relationship Id="rId25" Type="http://schemas.openxmlformats.org/officeDocument/2006/relationships/hyperlink" Target="http://www.nevo.co.il/law/70301/40j" TargetMode="External"/><Relationship Id="rId26" Type="http://schemas.openxmlformats.org/officeDocument/2006/relationships/hyperlink" Target="http://www.nevo.co.il/law/70301/40j" TargetMode="External"/><Relationship Id="rId27" Type="http://schemas.openxmlformats.org/officeDocument/2006/relationships/hyperlink" Target="http://www.nevo.co.il/law/70301" TargetMode="External"/><Relationship Id="rId28" Type="http://schemas.openxmlformats.org/officeDocument/2006/relationships/hyperlink" Target="http://www.nevo.co.il/law/70301/40j.b" TargetMode="External"/><Relationship Id="rId29" Type="http://schemas.openxmlformats.org/officeDocument/2006/relationships/hyperlink" Target="http://www.nevo.co.il/case/6245835" TargetMode="External"/><Relationship Id="rId30" Type="http://schemas.openxmlformats.org/officeDocument/2006/relationships/hyperlink" Target="http://www.nevo.co.il/advertisements/nevo-100.doc" TargetMode="External"/><Relationship Id="rId31" Type="http://schemas.openxmlformats.org/officeDocument/2006/relationships/header" Target="header1.xml"/><Relationship Id="rId32" Type="http://schemas.openxmlformats.org/officeDocument/2006/relationships/footer" Target="footer1.xml"/><Relationship Id="rId33" Type="http://schemas.openxmlformats.org/officeDocument/2006/relationships/fontTable" Target="fontTable.xml"/><Relationship Id="rId34" Type="http://schemas.openxmlformats.org/officeDocument/2006/relationships/settings" Target="settings.xml"/><Relationship Id="rId35" Type="http://schemas.openxmlformats.org/officeDocument/2006/relationships/theme" Target="theme/theme1.xml"/>
</Relationships>
</file>

<file path=word/_rels/footer1.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LibreOffice/25.2.2.2$MacOSX_AARCH64 LibreOffice_project/7370d4be9e3cf6031a51beef54ff3bda878e3fac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2016-06-19T08:15:00Z</dcterms:created>
  <dc:creator> </dc:creator>
  <dc:description/>
  <cp:keywords/>
  <dc:language>en-IL</dc:language>
  <cp:lastModifiedBy>run</cp:lastModifiedBy>
  <dcterms:modified xsi:type="dcterms:W3CDTF">2016-06-19T08:15:00Z</dcterms:modified>
  <cp:revision>2</cp:revision>
  <dc:subject> </dc:subject>
  <dc:title>nevo.co.il</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ELLANT">
    <vt:lpwstr>מדינת ישראל</vt:lpwstr>
  </property>
  <property fmtid="{D5CDD505-2E9C-101B-9397-08002B2CF9AE}" pid="3" name="APPELLANT1">
    <vt:lpwstr/>
  </property>
  <property fmtid="{D5CDD505-2E9C-101B-9397-08002B2CF9AE}" pid="4" name="APPELLANT2">
    <vt:lpwstr/>
  </property>
  <property fmtid="{D5CDD505-2E9C-101B-9397-08002B2CF9AE}" pid="5" name="APPELLEE">
    <vt:lpwstr>עידן דוד</vt:lpwstr>
  </property>
  <property fmtid="{D5CDD505-2E9C-101B-9397-08002B2CF9AE}" pid="6" name="APPELLEE1">
    <vt:lpwstr/>
  </property>
  <property fmtid="{D5CDD505-2E9C-101B-9397-08002B2CF9AE}" pid="7" name="APPELLEE2">
    <vt:lpwstr/>
  </property>
  <property fmtid="{D5CDD505-2E9C-101B-9397-08002B2CF9AE}" pid="8" name="CASESLISTTMP1">
    <vt:lpwstr>8478043;5810781;6161385;6879736;6021937;17009738;17954542;6245835</vt:lpwstr>
  </property>
  <property fmtid="{D5CDD505-2E9C-101B-9397-08002B2CF9AE}" pid="9" name="CITY">
    <vt:lpwstr>חי'</vt:lpwstr>
  </property>
  <property fmtid="{D5CDD505-2E9C-101B-9397-08002B2CF9AE}" pid="10" name="DATE">
    <vt:lpwstr>20151217</vt:lpwstr>
  </property>
  <property fmtid="{D5CDD505-2E9C-101B-9397-08002B2CF9AE}" pid="11" name="DELEMATA">
    <vt:lpwstr/>
  </property>
  <property fmtid="{D5CDD505-2E9C-101B-9397-08002B2CF9AE}" pid="12" name="ISABSTRACT">
    <vt:lpwstr>Y</vt:lpwstr>
  </property>
  <property fmtid="{D5CDD505-2E9C-101B-9397-08002B2CF9AE}" pid="13" name="JUDGE">
    <vt:lpwstr>רון שפירא;בטינה טאובר;תמר נאות פרי</vt:lpwstr>
  </property>
  <property fmtid="{D5CDD505-2E9C-101B-9397-08002B2CF9AE}" pid="14" name="LAWLISTTMP1">
    <vt:lpwstr>4216/006;036h:2</vt:lpwstr>
  </property>
  <property fmtid="{D5CDD505-2E9C-101B-9397-08002B2CF9AE}" pid="15" name="LAWLISTTMP2">
    <vt:lpwstr>70301/029.a;040j:3;040j.b</vt:lpwstr>
  </property>
  <property fmtid="{D5CDD505-2E9C-101B-9397-08002B2CF9AE}" pid="16" name="LAWYER">
    <vt:lpwstr>יאיר נדשי</vt:lpwstr>
  </property>
  <property fmtid="{D5CDD505-2E9C-101B-9397-08002B2CF9AE}" pid="17" name="LINKK1">
    <vt:lpwstr/>
  </property>
  <property fmtid="{D5CDD505-2E9C-101B-9397-08002B2CF9AE}" pid="18" name="LINKK2">
    <vt:lpwstr/>
  </property>
  <property fmtid="{D5CDD505-2E9C-101B-9397-08002B2CF9AE}" pid="19" name="LINKK3">
    <vt:lpwstr/>
  </property>
  <property fmtid="{D5CDD505-2E9C-101B-9397-08002B2CF9AE}" pid="20" name="LINKK4">
    <vt:lpwstr/>
  </property>
  <property fmtid="{D5CDD505-2E9C-101B-9397-08002B2CF9AE}" pid="21" name="LINKK5">
    <vt:lpwstr/>
  </property>
  <property fmtid="{D5CDD505-2E9C-101B-9397-08002B2CF9AE}" pid="22" name="NEWPARTA">
    <vt:lpwstr>28110</vt:lpwstr>
  </property>
  <property fmtid="{D5CDD505-2E9C-101B-9397-08002B2CF9AE}" pid="23" name="NEWPARTB">
    <vt:lpwstr>10</vt:lpwstr>
  </property>
  <property fmtid="{D5CDD505-2E9C-101B-9397-08002B2CF9AE}" pid="24" name="NEWPARTC">
    <vt:lpwstr>15</vt:lpwstr>
  </property>
  <property fmtid="{D5CDD505-2E9C-101B-9397-08002B2CF9AE}" pid="25" name="NEWPROC">
    <vt:lpwstr>עפג</vt:lpwstr>
  </property>
  <property fmtid="{D5CDD505-2E9C-101B-9397-08002B2CF9AE}" pid="26" name="PADIMAIL">
    <vt:lpwstr/>
  </property>
  <property fmtid="{D5CDD505-2E9C-101B-9397-08002B2CF9AE}" pid="27" name="PAGE">
    <vt:lpwstr/>
  </property>
  <property fmtid="{D5CDD505-2E9C-101B-9397-08002B2CF9AE}" pid="28" name="PART">
    <vt:lpwstr/>
  </property>
  <property fmtid="{D5CDD505-2E9C-101B-9397-08002B2CF9AE}" pid="29" name="PROCESS">
    <vt:lpwstr/>
  </property>
  <property fmtid="{D5CDD505-2E9C-101B-9397-08002B2CF9AE}" pid="30" name="PROCNUM">
    <vt:lpwstr/>
  </property>
  <property fmtid="{D5CDD505-2E9C-101B-9397-08002B2CF9AE}" pid="31" name="PROCYEAR">
    <vt:lpwstr/>
  </property>
  <property fmtid="{D5CDD505-2E9C-101B-9397-08002B2CF9AE}" pid="32" name="PSAKDIN">
    <vt:lpwstr>פסק-דין</vt:lpwstr>
  </property>
  <property fmtid="{D5CDD505-2E9C-101B-9397-08002B2CF9AE}" pid="33" name="TYPE">
    <vt:lpwstr>2</vt:lpwstr>
  </property>
  <property fmtid="{D5CDD505-2E9C-101B-9397-08002B2CF9AE}" pid="34" name="TYPE_ABS_DATE">
    <vt:lpwstr>390020151217</vt:lpwstr>
  </property>
  <property fmtid="{D5CDD505-2E9C-101B-9397-08002B2CF9AE}" pid="35" name="TYPE_N_DATE">
    <vt:lpwstr>39020151217</vt:lpwstr>
  </property>
  <property fmtid="{D5CDD505-2E9C-101B-9397-08002B2CF9AE}" pid="36" name="VOLUME">
    <vt:lpwstr/>
  </property>
  <property fmtid="{D5CDD505-2E9C-101B-9397-08002B2CF9AE}" pid="37" name="WORDNUMPAGES">
    <vt:lpwstr>14</vt:lpwstr>
  </property>
</Properties>
</file>