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7"/>
        <w:gridCol w:w="3674"/>
      </w:tblGrid>
      <w:tr>
        <w:trPr>
          <w:trHeight w:val="719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lang w:val="en-US" w:eastAsia="en-US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 xml:space="preserve">בית המשפט המחוזי בתל אביב </w:t>
            </w:r>
            <w:r>
              <w:rPr>
                <w:rFonts w:cs="Tahoma" w:ascii="Tahoma" w:hAnsi="Tahoma"/>
                <w:b/>
                <w:bCs/>
                <w:color w:val="000080"/>
                <w:rtl w:val="true"/>
                <w:lang w:val="en-US" w:eastAsia="en-US"/>
              </w:rPr>
              <w:t xml:space="preserve">- </w:t>
            </w: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יפו בשבתו כבית</w:t>
            </w:r>
            <w:r>
              <w:rPr>
                <w:rFonts w:cs="Tahoma" w:ascii="Tahoma" w:hAnsi="Tahoma"/>
                <w:b/>
                <w:bCs/>
                <w:color w:val="000080"/>
                <w:rtl w:val="true"/>
                <w:lang w:val="en-US" w:eastAsia="en-US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5047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Tahoma" w:hAnsi="Tahoma" w:cs="Tahoma"/>
                <w:b/>
                <w:bCs/>
                <w:color w:val="000080"/>
                <w:sz w:val="26"/>
                <w:szCs w:val="26"/>
                <w:lang w:val="en-US" w:eastAsia="en-US"/>
              </w:rPr>
            </w:pPr>
            <w:r>
              <w:rPr>
                <w:rFonts w:cs="Tahoma" w:ascii="Tahoma" w:hAnsi="Tahoma"/>
                <w:b/>
                <w:bCs/>
                <w:color w:val="000080"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3674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>
          <w:trHeight w:val="337" w:hRule="atLeast"/>
        </w:trPr>
        <w:tc>
          <w:tcPr>
            <w:tcW w:w="8721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28219-11-13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הבר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"/>
                <w:szCs w:val="2"/>
                <w:lang w:val="en-US" w:eastAsia="en-US"/>
              </w:rPr>
            </w:pPr>
            <w:r>
              <w:rPr>
                <w:b/>
                <w:bCs/>
                <w:sz w:val="2"/>
                <w:szCs w:val="2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rFonts w:cs="Times New Roman"/>
                <w:sz w:val="20"/>
                <w:szCs w:val="20"/>
                <w:rtl w:val="true"/>
              </w:rPr>
              <w:t xml:space="preserve"> </w:t>
            </w:r>
          </w:p>
        </w:tc>
      </w:tr>
    </w:tbl>
    <w:p>
      <w:pPr>
        <w:pStyle w:val="Header"/>
        <w:ind w:end="0"/>
        <w:jc w:val="start"/>
        <w:rPr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Normal"/>
        <w:ind w:end="0"/>
        <w:jc w:val="both"/>
        <w:rPr>
          <w:b/>
          <w:bCs/>
          <w:sz w:val="26"/>
          <w:szCs w:val="26"/>
        </w:rPr>
      </w:pPr>
      <w:r>
        <w:rPr>
          <w:b/>
          <w:b/>
          <w:bCs/>
          <w:sz w:val="26"/>
          <w:sz w:val="26"/>
          <w:szCs w:val="26"/>
          <w:rtl w:val="true"/>
        </w:rPr>
        <w:t>בפני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    </w:t>
      </w:r>
      <w:r>
        <w:rPr>
          <w:b/>
          <w:b/>
          <w:bCs/>
          <w:sz w:val="26"/>
          <w:sz w:val="26"/>
          <w:szCs w:val="26"/>
          <w:rtl w:val="true"/>
        </w:rPr>
        <w:t>כב</w:t>
      </w:r>
      <w:r>
        <w:rPr>
          <w:b/>
          <w:bCs/>
          <w:sz w:val="26"/>
          <w:szCs w:val="26"/>
          <w:rtl w:val="true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</w:rPr>
        <w:t>הנשיאה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דבורה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ברלינר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–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אב</w:t>
      </w:r>
      <w:r>
        <w:rPr>
          <w:b/>
          <w:bCs/>
          <w:sz w:val="26"/>
          <w:szCs w:val="26"/>
          <w:rtl w:val="true"/>
        </w:rPr>
        <w:t>"</w:t>
      </w:r>
      <w:r>
        <w:rPr>
          <w:b/>
          <w:b/>
          <w:bCs/>
          <w:sz w:val="26"/>
          <w:sz w:val="26"/>
          <w:szCs w:val="26"/>
          <w:rtl w:val="true"/>
        </w:rPr>
        <w:t>ד</w:t>
      </w:r>
    </w:p>
    <w:p>
      <w:pPr>
        <w:pStyle w:val="Normal"/>
        <w:ind w:end="0"/>
        <w:jc w:val="start"/>
        <w:rPr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  <w:rtl w:val="true"/>
        </w:rPr>
        <w:t xml:space="preserve">            </w:t>
      </w:r>
      <w:r>
        <w:rPr>
          <w:b/>
          <w:b/>
          <w:bCs/>
          <w:sz w:val="26"/>
          <w:sz w:val="26"/>
          <w:szCs w:val="26"/>
          <w:rtl w:val="true"/>
        </w:rPr>
        <w:t>כב</w:t>
      </w:r>
      <w:r>
        <w:rPr>
          <w:b/>
          <w:bCs/>
          <w:sz w:val="26"/>
          <w:szCs w:val="26"/>
          <w:rtl w:val="true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</w:rPr>
        <w:t>השופט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ג</w:t>
      </w:r>
      <w:r>
        <w:rPr>
          <w:b/>
          <w:bCs/>
          <w:sz w:val="26"/>
          <w:szCs w:val="26"/>
          <w:rtl w:val="true"/>
        </w:rPr>
        <w:t>'</w:t>
      </w:r>
      <w:r>
        <w:rPr>
          <w:b/>
          <w:b/>
          <w:bCs/>
          <w:sz w:val="26"/>
          <w:sz w:val="26"/>
          <w:szCs w:val="26"/>
          <w:rtl w:val="true"/>
        </w:rPr>
        <w:t>ורג</w:t>
      </w:r>
      <w:r>
        <w:rPr>
          <w:b/>
          <w:bCs/>
          <w:sz w:val="26"/>
          <w:szCs w:val="26"/>
          <w:rtl w:val="true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</w:rPr>
        <w:t>קרא</w:t>
      </w:r>
      <w:r>
        <w:rPr>
          <w:b/>
          <w:bCs/>
          <w:sz w:val="26"/>
          <w:szCs w:val="26"/>
          <w:rtl w:val="true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</w:rPr>
        <w:t>ס</w:t>
      </w:r>
      <w:r>
        <w:rPr>
          <w:b/>
          <w:bCs/>
          <w:sz w:val="26"/>
          <w:szCs w:val="26"/>
          <w:rtl w:val="true"/>
        </w:rPr>
        <w:t>"</w:t>
      </w:r>
      <w:r>
        <w:rPr>
          <w:b/>
          <w:b/>
          <w:bCs/>
          <w:sz w:val="26"/>
          <w:sz w:val="26"/>
          <w:szCs w:val="26"/>
          <w:rtl w:val="true"/>
        </w:rPr>
        <w:t>נ</w:t>
      </w:r>
    </w:p>
    <w:p>
      <w:pPr>
        <w:pStyle w:val="Normal"/>
        <w:ind w:end="0"/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cs="Arial" w:ascii="Arial" w:hAnsi="Arial"/>
          <w:b/>
          <w:bCs/>
          <w:sz w:val="26"/>
          <w:szCs w:val="26"/>
          <w:rtl w:val="true"/>
        </w:rPr>
        <w:t xml:space="preserve">            </w:t>
      </w:r>
      <w:r>
        <w:rPr>
          <w:rFonts w:ascii="Arial" w:hAnsi="Arial" w:cs="Arial"/>
          <w:b/>
          <w:b/>
          <w:bCs/>
          <w:sz w:val="26"/>
          <w:sz w:val="26"/>
          <w:szCs w:val="26"/>
          <w:rtl w:val="true"/>
        </w:rPr>
        <w:t>כב</w:t>
      </w:r>
      <w:r>
        <w:rPr>
          <w:rFonts w:cs="Arial" w:ascii="Arial" w:hAnsi="Arial"/>
          <w:b/>
          <w:bCs/>
          <w:sz w:val="26"/>
          <w:szCs w:val="26"/>
          <w:rtl w:val="true"/>
        </w:rPr>
        <w:t xml:space="preserve">' </w:t>
      </w:r>
      <w:r>
        <w:rPr>
          <w:rFonts w:ascii="Arial" w:hAnsi="Arial" w:cs="Arial"/>
          <w:b/>
          <w:b/>
          <w:bCs/>
          <w:sz w:val="26"/>
          <w:sz w:val="26"/>
          <w:szCs w:val="26"/>
          <w:rtl w:val="true"/>
        </w:rPr>
        <w:t xml:space="preserve">השופטת </w:t>
      </w:r>
      <w:bookmarkStart w:id="0" w:name="LastJudge"/>
      <w:r>
        <w:rPr>
          <w:rFonts w:ascii="Arial" w:hAnsi="Arial" w:cs="Arial"/>
          <w:b/>
          <w:b/>
          <w:bCs/>
          <w:sz w:val="26"/>
          <w:sz w:val="26"/>
          <w:szCs w:val="26"/>
          <w:rtl w:val="true"/>
        </w:rPr>
        <w:t>מרים סוקולוב</w:t>
      </w:r>
      <w:bookmarkEnd w:id="0"/>
    </w:p>
    <w:tbl>
      <w:tblPr>
        <w:bidiVisual w:val="true"/>
        <w:tblW w:w="8802" w:type="dxa"/>
        <w:jc w:val="start"/>
        <w:tblInd w:w="-5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5922"/>
      </w:tblGrid>
      <w:tr>
        <w:trPr/>
        <w:tc>
          <w:tcPr>
            <w:tcW w:w="2880" w:type="dxa"/>
            <w:tcBorders/>
          </w:tcPr>
          <w:p>
            <w:pPr>
              <w:pStyle w:val="Normal"/>
              <w:snapToGrid w:val="false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  <w:bookmarkStart w:id="1" w:name="FirstAppellant"/>
            <w:bookmarkStart w:id="2" w:name="FirstAppellant"/>
            <w:bookmarkEnd w:id="2"/>
          </w:p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המשיבת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</w:tc>
        <w:tc>
          <w:tcPr>
            <w:tcW w:w="5922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ישראל</w:t>
            </w:r>
          </w:p>
          <w:p>
            <w:pPr>
              <w:pStyle w:val="Normal"/>
              <w:ind w:end="0"/>
              <w:jc w:val="start"/>
              <w:rPr>
                <w:sz w:val="26"/>
                <w:szCs w:val="26"/>
              </w:rPr>
            </w:pPr>
            <w:r>
              <w:rPr>
                <w:sz w:val="26"/>
                <w:sz w:val="26"/>
                <w:szCs w:val="26"/>
                <w:rtl w:val="true"/>
              </w:rPr>
              <w:t>ע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י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עו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ד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רות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שביט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מפרקליטות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מחוז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ת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א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Cs w:val="26"/>
                <w:rtl w:val="true"/>
              </w:rPr>
              <w:t>(</w:t>
            </w:r>
            <w:r>
              <w:rPr>
                <w:sz w:val="26"/>
                <w:sz w:val="26"/>
                <w:szCs w:val="26"/>
                <w:rtl w:val="true"/>
              </w:rPr>
              <w:t>פלילי</w:t>
            </w:r>
            <w:r>
              <w:rPr>
                <w:sz w:val="26"/>
                <w:szCs w:val="26"/>
                <w:rtl w:val="true"/>
              </w:rPr>
              <w:t>)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8802" w:type="dxa"/>
            <w:gridSpan w:val="2"/>
            <w:tcBorders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bookmarkStart w:id="3" w:name="FirstLawyer"/>
            <w:bookmarkEnd w:id="3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המשיב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</w:tc>
        <w:tc>
          <w:tcPr>
            <w:tcW w:w="5922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שמעון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הבר</w:t>
            </w:r>
          </w:p>
          <w:p>
            <w:pPr>
              <w:pStyle w:val="Normal"/>
              <w:ind w:end="0"/>
              <w:jc w:val="start"/>
              <w:rPr>
                <w:sz w:val="26"/>
                <w:szCs w:val="26"/>
              </w:rPr>
            </w:pPr>
            <w:r>
              <w:rPr>
                <w:sz w:val="26"/>
                <w:sz w:val="26"/>
                <w:szCs w:val="26"/>
                <w:rtl w:val="true"/>
              </w:rPr>
              <w:t>ע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י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ב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כ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עו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ד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זאב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אלוני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6"/>
          <w:szCs w:val="6"/>
        </w:rPr>
      </w:pPr>
      <w:r>
        <w:rPr>
          <w:rFonts w:cs="FrankRuehl" w:ascii="FrankRuehl" w:hAnsi="FrankRuehl"/>
          <w:sz w:val="6"/>
          <w:szCs w:val="6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2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1973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  <w:color w:val="0000FF"/>
            <w:u w:val="single"/>
          </w:rPr>
          <w:t>7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4">
        <w:r>
          <w:rPr>
            <w:rStyle w:val="Hyperlink"/>
            <w:rFonts w:cs="FrankRuehl" w:ascii="FrankRuehl" w:hAnsi="FrankRuehl"/>
            <w:color w:val="0000FF"/>
            <w:u w:val="single"/>
          </w:rPr>
          <w:t>7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u w:val="single"/>
          </w:rPr>
          <w:t>10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6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1977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7">
        <w:r>
          <w:rPr>
            <w:rStyle w:val="Hyperlink"/>
            <w:rFonts w:cs="FrankRuehl" w:ascii="FrankRuehl" w:hAnsi="FrankRuehl"/>
            <w:color w:val="0000FF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ד</w:t>
        </w:r>
      </w:hyperlink>
    </w:p>
    <w:p>
      <w:pPr>
        <w:pStyle w:val="Normal"/>
        <w:spacing w:lineRule="auto" w:line="360"/>
        <w:ind w:end="0"/>
        <w:jc w:val="both"/>
        <w:rPr>
          <w:rFonts w:ascii="FrankRuehl" w:hAnsi="FrankRuehl" w:cs="FrankRuehl"/>
          <w:sz w:val="6"/>
          <w:szCs w:val="6"/>
        </w:rPr>
      </w:pPr>
      <w:r>
        <w:rPr>
          <w:rFonts w:cs="FrankRuehl" w:ascii="FrankRuehl" w:hAnsi="FrankRuehl"/>
          <w:sz w:val="6"/>
          <w:szCs w:val="6"/>
          <w:rtl w:val="true"/>
        </w:rPr>
      </w:r>
      <w:bookmarkStart w:id="6" w:name="LawTable_End"/>
      <w:bookmarkStart w:id="7" w:name="LawTable_End"/>
      <w:bookmarkEnd w:id="7"/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</w:r>
    </w:p>
    <w:p>
      <w:pPr>
        <w:pStyle w:val="Style1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cs="FrankRuehl"/>
          <w:szCs w:val="26"/>
        </w:rPr>
      </w:pPr>
      <w:bookmarkStart w:id="8" w:name="ABSTRACT_START"/>
      <w:bookmarkEnd w:id="8"/>
      <w:r>
        <w:rPr>
          <w:rFonts w:cs="FrankRuehl"/>
          <w:szCs w:val="26"/>
          <w:rtl w:val="true"/>
        </w:rPr>
        <w:t>מיני</w:t>
      </w:r>
      <w:r>
        <w:rPr>
          <w:rFonts w:cs="FrankRuehl"/>
          <w:szCs w:val="26"/>
          <w:rtl w:val="true"/>
        </w:rPr>
        <w:t>-</w:t>
      </w:r>
      <w:r>
        <w:rPr>
          <w:rFonts w:cs="FrankRuehl"/>
          <w:szCs w:val="26"/>
          <w:rtl w:val="true"/>
        </w:rPr>
        <w:t>רציו</w:t>
      </w:r>
      <w:r>
        <w:rPr>
          <w:rFonts w:cs="FrankRuehl"/>
          <w:szCs w:val="26"/>
          <w:rtl w:val="true"/>
        </w:rPr>
        <w:t>:</w:t>
      </w:r>
    </w:p>
    <w:p>
      <w:pPr>
        <w:pStyle w:val="Style1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ביהמ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קבע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לאור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חומרת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עבירות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הסמים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בהן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הורשע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המשיב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ונסיבות</w:t>
      </w:r>
      <w:r>
        <w:rPr>
          <w:rFonts w:cs="Times New Roman"/>
          <w:szCs w:val="26"/>
          <w:rtl w:val="true"/>
          <w:lang w:val="en-US" w:eastAsia="en-US"/>
        </w:rPr>
        <w:t xml:space="preserve"> </w:t>
      </w:r>
      <w:r>
        <w:rPr>
          <w:rFonts w:cs="FrankRuehl"/>
          <w:szCs w:val="26"/>
          <w:rtl w:val="true"/>
          <w:lang w:val="en-US" w:eastAsia="en-US"/>
        </w:rPr>
        <w:t>הביצוע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הסתפקות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בעבודות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מתעלמת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מעקרון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ההלימה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שעליו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לקבל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ביטוי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לצד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עקרון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השיקום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ולכן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הוטל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בפועל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ביהמ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אף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חילט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סכום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רב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יותר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מזה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שחילט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ביהמ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קמא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מתוך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הסכום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שנתפס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שכן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המשיב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עמד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בנטל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המוטל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עליו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להוכיח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כיצד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הגיע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לידיו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הכסף</w:t>
      </w:r>
      <w:r>
        <w:rPr>
          <w:rFonts w:cs="FrankRuehl"/>
          <w:szCs w:val="26"/>
          <w:rtl w:val="true"/>
        </w:rPr>
        <w:t>.</w:t>
      </w:r>
    </w:p>
    <w:p>
      <w:pPr>
        <w:pStyle w:val="Style1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szCs w:val="26"/>
        </w:rPr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עונשין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התערבות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במידת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העונש</w:t>
      </w:r>
    </w:p>
    <w:p>
      <w:pPr>
        <w:pStyle w:val="Style1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szCs w:val="26"/>
        </w:rPr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עונשין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עקרון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ההלימה‏</w:t>
      </w:r>
    </w:p>
    <w:p>
      <w:pPr>
        <w:pStyle w:val="Style1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szCs w:val="26"/>
        </w:rPr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עונשין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מדיניות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FrankRuehl"/>
          <w:szCs w:val="26"/>
          <w:rtl w:val="true"/>
        </w:rPr>
        <w:t xml:space="preserve">: </w:t>
      </w:r>
      <w:r>
        <w:rPr>
          <w:rFonts w:cs="FrankRuehl"/>
          <w:szCs w:val="26"/>
          <w:rtl w:val="true"/>
        </w:rPr>
        <w:t>שיקום</w:t>
      </w:r>
    </w:p>
    <w:p>
      <w:pPr>
        <w:pStyle w:val="Style1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עונשין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דרכי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FrankRuehl"/>
          <w:szCs w:val="26"/>
          <w:rtl w:val="true"/>
        </w:rPr>
        <w:t xml:space="preserve">: </w:t>
      </w:r>
      <w:r>
        <w:rPr>
          <w:rFonts w:cs="FrankRuehl"/>
          <w:szCs w:val="26"/>
          <w:rtl w:val="true"/>
        </w:rPr>
        <w:t>חילוט</w:t>
      </w:r>
    </w:p>
    <w:p>
      <w:pPr>
        <w:pStyle w:val="Style14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start="0" w:end="0"/>
        <w:contextualSpacing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המשיב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הורשע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פ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הודייתו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בהחזקת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מסוכן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לצריכה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עצמית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החזקת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כלים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להכנת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הספקת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מסוכן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</w:rPr>
        <w:t>4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עבירות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>וסחר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בסם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מסוכן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</w:rPr>
        <w:t>2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עבירות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>והוטלו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עליו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6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חודשי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לריצוי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בעבודות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שירות</w:t>
      </w:r>
      <w:r>
        <w:rPr>
          <w:rFonts w:cs="FrankRuehl"/>
          <w:szCs w:val="26"/>
          <w:rtl w:val="true"/>
        </w:rPr>
        <w:t xml:space="preserve">; </w:t>
      </w:r>
      <w:r>
        <w:rPr>
          <w:rFonts w:cs="FrankRuehl"/>
          <w:szCs w:val="26"/>
          <w:rtl w:val="true"/>
        </w:rPr>
        <w:t>שני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תנאי</w:t>
      </w:r>
      <w:r>
        <w:rPr>
          <w:rFonts w:cs="FrankRuehl"/>
          <w:szCs w:val="26"/>
          <w:rtl w:val="true"/>
        </w:rPr>
        <w:t xml:space="preserve">; </w:t>
      </w:r>
      <w:r>
        <w:rPr>
          <w:rFonts w:cs="FrankRuehl"/>
          <w:szCs w:val="26"/>
          <w:rtl w:val="true"/>
        </w:rPr>
        <w:t>קנס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בסך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40,000</w:t>
      </w:r>
      <w:r>
        <w:rPr>
          <w:rFonts w:cs="FrankRuehl"/>
          <w:szCs w:val="26"/>
          <w:rtl w:val="true"/>
        </w:rPr>
        <w:t xml:space="preserve"> </w:t>
      </w:r>
      <w:r>
        <w:rPr>
          <w:rFonts w:eastAsia="FrankRuehl" w:cs="FrankRuehl" w:ascii="FrankRuehl" w:hAnsi="FrankRuehl"/>
          <w:szCs w:val="26"/>
          <w:rtl w:val="true"/>
        </w:rPr>
        <w:t>₪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4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חודשי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תמורתו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חילוט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30,000</w:t>
      </w:r>
      <w:r>
        <w:rPr>
          <w:rFonts w:cs="FrankRuehl"/>
          <w:szCs w:val="26"/>
          <w:rtl w:val="true"/>
        </w:rPr>
        <w:t xml:space="preserve"> </w:t>
      </w:r>
      <w:r>
        <w:rPr>
          <w:rFonts w:eastAsia="FrankRuehl" w:cs="FrankRuehl" w:ascii="FrankRuehl" w:hAnsi="FrankRuehl"/>
          <w:szCs w:val="26"/>
          <w:rtl w:val="true"/>
        </w:rPr>
        <w:t>₪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מתוך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350,000</w:t>
      </w:r>
      <w:r>
        <w:rPr>
          <w:rFonts w:cs="FrankRuehl"/>
          <w:szCs w:val="26"/>
          <w:rtl w:val="true"/>
        </w:rPr>
        <w:t xml:space="preserve"> </w:t>
      </w:r>
      <w:r>
        <w:rPr>
          <w:rFonts w:eastAsia="FrankRuehl" w:cs="FrankRuehl" w:ascii="FrankRuehl" w:hAnsi="FrankRuehl"/>
          <w:szCs w:val="26"/>
          <w:rtl w:val="true"/>
        </w:rPr>
        <w:t>₪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שנתפסו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וצו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מבחן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לשנה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המדינה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מתייחס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ולחילוט</w:t>
      </w: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המחוזי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קיבל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ופסק</w:t>
      </w:r>
      <w:r>
        <w:rPr>
          <w:rFonts w:cs="FrankRuehl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ביהמ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קמא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עמד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חומרת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הביצוע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היה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עליו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לתרגם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זאת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לכלל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אופרטיבית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תרגום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עקרון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השיקום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לכלל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צריך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להיעשות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במידתיות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תוך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התאמת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הקונקרטיות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לבטא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ולכמת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עקרון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השיקום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עקרון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ההלימה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זה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לצד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זה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להתעלם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מעקרון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ההלימה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כליל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הסתפקות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בדרך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עבודות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במקרה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זה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יש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התעלמות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מוחלטת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מעקרון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ההלימה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מאחר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שערכאת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איננה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נוהגת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למצות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הדין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משיבים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הועמדה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תקופת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בפועל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אחת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לעניין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החילוט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המשיב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הנטל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להוכיח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ברמה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הטיית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מאזן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הסתברויות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כיצד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הגיע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הכסף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לידיו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המשיב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עמד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בנטל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ואף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התמונה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היא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הכסף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אכן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הגיע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לידיו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מעסקי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סמים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לפיכך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חולט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מלוא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הסכום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שנתפס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במטבע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זר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ולפנים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משורת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הדין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חולט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סכום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</w:rPr>
        <w:t>150,000</w:t>
      </w:r>
      <w:r>
        <w:rPr>
          <w:rFonts w:cs="FrankRuehl"/>
          <w:szCs w:val="26"/>
          <w:rtl w:val="true"/>
        </w:rPr>
        <w:t xml:space="preserve"> </w:t>
      </w:r>
      <w:r>
        <w:rPr>
          <w:rFonts w:eastAsia="FrankRuehl" w:cs="FrankRuehl" w:ascii="FrankRuehl" w:hAnsi="FrankRuehl"/>
          <w:szCs w:val="26"/>
          <w:rtl w:val="true"/>
        </w:rPr>
        <w:t>₪</w:t>
      </w:r>
      <w:r>
        <w:rPr>
          <w:rFonts w:cs="FrankRuehl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מתוך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המטבע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הישראלי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שנתפס</w:t>
      </w:r>
      <w:r>
        <w:rPr>
          <w:rFonts w:cs="FrankRuehl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FrankRuehl"/>
          <w:sz w:val="6"/>
          <w:szCs w:val="6"/>
        </w:rPr>
      </w:pPr>
      <w:r>
        <w:rPr>
          <w:rFonts w:cs="FrankRuehl"/>
          <w:sz w:val="6"/>
          <w:szCs w:val="6"/>
          <w:rtl w:val="true"/>
        </w:rPr>
      </w:r>
      <w:bookmarkStart w:id="9" w:name="ABSTRACT_END"/>
      <w:bookmarkStart w:id="10" w:name="ABSTRACT_END"/>
      <w:bookmarkEnd w:id="10"/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</w:r>
      <w:bookmarkStart w:id="11" w:name="LawTable_End"/>
      <w:bookmarkStart w:id="12" w:name="LawTable_End"/>
      <w:bookmarkEnd w:id="12"/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bookmarkStart w:id="13" w:name="PsakDin"/>
            <w:bookmarkEnd w:id="13"/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>פסק דין</w:t>
            </w:r>
          </w:p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u w:val="single"/>
                <w:lang w:val="en-US" w:eastAsia="en-US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המשיב הורשע בבית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סמך הודייתו ב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עבירות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ascii="Arial" w:hAnsi="Arial" w:cs="Arial"/>
          <w:rtl w:val="true"/>
          <w:lang w:val="en-US" w:eastAsia="en-US"/>
        </w:rPr>
        <w:t>החזקת סם מסוכן שלא לצריכה עצמית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עבירה על </w:t>
      </w:r>
      <w:hyperlink r:id="rId8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7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א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בצירוף </w:t>
      </w:r>
      <w:hyperlink r:id="rId9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7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(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ג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  <w:lang w:val="en-US" w:eastAsia="en-US"/>
          </w:rPr>
          <w:t>)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רישא ל</w:t>
      </w:r>
      <w:hyperlink r:id="rId10">
        <w:r>
          <w:rPr>
            <w:rStyle w:val="Hyperlink"/>
            <w:rFonts w:ascii="Arial" w:hAnsi="Arial" w:cs="Arial"/>
            <w:rtl w:val="true"/>
            <w:lang w:val="en-US" w:eastAsia="en-US"/>
          </w:rPr>
          <w:t>פקודת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הסמים המסוכנים</w:t>
        </w:r>
      </w:hyperlink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החזקת כלים להכנת סם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עבירה על </w:t>
      </w:r>
      <w:hyperlink r:id="rId11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10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לחוק הנ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ל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הספקת 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עבירה על סעיף </w:t>
      </w:r>
      <w:r>
        <w:rPr>
          <w:rFonts w:cs="Arial" w:ascii="Arial" w:hAnsi="Arial"/>
          <w:lang w:val="en-US" w:eastAsia="en-US"/>
        </w:rPr>
        <w:t>13</w:t>
      </w:r>
      <w:r>
        <w:rPr>
          <w:rFonts w:cs="Arial" w:ascii="Arial" w:hAnsi="Arial"/>
          <w:rtl w:val="true"/>
          <w:lang w:val="en-US" w:eastAsia="en-US"/>
        </w:rPr>
        <w:t xml:space="preserve"> (</w:t>
      </w: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עבירות</w:t>
      </w:r>
      <w:r>
        <w:rPr>
          <w:rFonts w:cs="Arial" w:ascii="Arial" w:hAnsi="Arial"/>
          <w:rtl w:val="true"/>
          <w:lang w:val="en-US" w:eastAsia="en-US"/>
        </w:rPr>
        <w:t xml:space="preserve">); </w:t>
      </w:r>
      <w:r>
        <w:rPr>
          <w:rFonts w:ascii="Arial" w:hAnsi="Arial" w:cs="Arial"/>
          <w:rtl w:val="true"/>
          <w:lang w:val="en-US" w:eastAsia="en-US"/>
        </w:rPr>
        <w:t>וסחר בסם מסוכן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עבירה לפי סעיף </w:t>
      </w:r>
      <w:r>
        <w:rPr>
          <w:rFonts w:cs="Arial" w:ascii="Arial" w:hAnsi="Arial"/>
          <w:lang w:val="en-US" w:eastAsia="en-US"/>
        </w:rPr>
        <w:t>13</w:t>
      </w:r>
      <w:r>
        <w:rPr>
          <w:rFonts w:cs="Arial" w:ascii="Arial" w:hAnsi="Arial"/>
          <w:rtl w:val="true"/>
          <w:lang w:val="en-US" w:eastAsia="en-US"/>
        </w:rPr>
        <w:t xml:space="preserve"> (</w:t>
      </w: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עבירות</w:t>
      </w:r>
      <w:r>
        <w:rPr>
          <w:rFonts w:cs="Arial" w:ascii="Arial" w:hAnsi="Arial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firstLine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ציון הוראות החיקוק שמדובר בהן לא מתחיל אפילו לספר את הסיפור המשתקף מעובדותיו של כתב האישום שבפנינו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כתב האישום אוחז </w:t>
      </w: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אישומים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כל אחד מהם משמעותי וחמור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באישום הראשון מפורטים הסמים שנתפסו במקומות שונים בדירתו של המשיב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מדובר בלא פחות מ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15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מקומות בכל אחד מחדרי הבית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במטבח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במרפסת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בשולחן העבודה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כמות גדולה במיוחד החזיק המשיב במכולה שהיתה במרפסת הדירה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במכולה זו החזיק המשיב לא פחות מ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1.6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ק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ג סם מסוכן מסוג חשיש בשלושה גושים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איננו רואים להמשיך ולמנות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הרושם הכללי הוא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שהדירה שימשה כדירת סחר בסמים מובהקת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בדיעבד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טוען בפנינו הסניגור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דווקא נתון זה צריך לפעול לזכות המשיב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התנהלותו והעובדה שלא ניסה להסתיר את הסמים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מצביעה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כך שאין מדובר בסוחר סמים מקצוען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אלא באדם מן הישוב שהחזיק בסמים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איננו מקבלים טיעון זה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העובדה שהסמים היו מפוזרים לאורכה ולרוחבה של הדירה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מצביעה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כך שהמשיב חש בטוח דיו בדירתו ולא מעבר לכך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בנוסף לסמים החזיק המשיב בדירתו גם בכלים המיועדים להכנת וחלוקת סם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המשיב החזיק בשני משקלים אלקטרוניים וכן בשתי מטחנות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החזקת הכלים היא בפני עצמה מצביעה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כך שמדובר במקצוען ולא במי שעסק בסמים באופן אקראי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firstLine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לצד החזקת הסם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כמפורט לעיל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מתעד האישום הראשון גם החזקת כסף בסכומים גדולים במיוחד וסוגי מטבעות שונים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הכספים הוחזקו בתוך מכולה במרפסת דירתו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מדובר בלא פחות מ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261,200</w:t>
      </w:r>
      <w:r>
        <w:rPr>
          <w:rFonts w:cs="Arial" w:ascii="Arial" w:hAnsi="Arial"/>
          <w:rtl w:val="true"/>
          <w:lang w:val="en-US" w:eastAsia="en-US"/>
        </w:rPr>
        <w:t xml:space="preserve"> ₪, </w:t>
      </w: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14,000</w:t>
      </w:r>
      <w:r>
        <w:rPr>
          <w:rFonts w:cs="Arial" w:ascii="Arial" w:hAnsi="Arial"/>
          <w:rtl w:val="true"/>
          <w:lang w:val="en-US" w:eastAsia="en-US"/>
        </w:rPr>
        <w:t xml:space="preserve"> $, </w:t>
      </w: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2,000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יורו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cs="Arial" w:ascii="Arial" w:hAnsi="Arial"/>
          <w:lang w:val="en-US" w:eastAsia="en-US"/>
        </w:rPr>
        <w:t>180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פאונד ו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400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פרנק שוויצרי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סכום נוסף של כ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30,000</w:t>
      </w:r>
      <w:r>
        <w:rPr>
          <w:rFonts w:cs="Arial" w:ascii="Arial" w:hAnsi="Arial"/>
          <w:rtl w:val="true"/>
          <w:lang w:val="en-US" w:eastAsia="en-US"/>
        </w:rPr>
        <w:t xml:space="preserve"> ₪ </w:t>
      </w:r>
      <w:r>
        <w:rPr>
          <w:rFonts w:ascii="Arial" w:hAnsi="Arial" w:cs="Arial"/>
          <w:rtl w:val="true"/>
          <w:lang w:val="en-US" w:eastAsia="en-US"/>
        </w:rPr>
        <w:t>החזיק המשיב בארון בגדים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כיוון שהחזקת הכסף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ובדיעבד חילוטו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היא אחת מהסוגיות שבפנינו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נציין כבר בשלב זה כי החזקת מטבע זר מתיישבת יותר עם סחר בסמים מאשר עם סכומי כסף אותם הרוויח המשיב בעבודה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כשרה</w:t>
      </w:r>
      <w:r>
        <w:rPr>
          <w:rFonts w:cs="Arial" w:ascii="Arial" w:hAnsi="Arial"/>
          <w:rtl w:val="true"/>
          <w:lang w:val="en-US" w:eastAsia="en-US"/>
        </w:rPr>
        <w:t>".</w:t>
      </w:r>
    </w:p>
    <w:p>
      <w:pPr>
        <w:pStyle w:val="Normal"/>
        <w:spacing w:lineRule="auto" w:line="360"/>
        <w:ind w:firstLine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firstLine="720"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האישומים הבאים מתעדים את הסחר והספקת הסמים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אישומים </w:t>
      </w: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ו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7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עניינם הספקת סמים שביצע המשיב ב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השנים עובר ליום </w:t>
      </w:r>
      <w:r>
        <w:rPr>
          <w:rFonts w:cs="Arial" w:ascii="Arial" w:hAnsi="Arial"/>
          <w:lang w:val="en-US" w:eastAsia="en-US"/>
        </w:rPr>
        <w:t>25.10.11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המשיב סיפק סמים לארבעה אנשים שונים ב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19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הזדמנויות שונות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האישומים הרביעי והחמישי עניינם </w:t>
      </w: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עיסקאות של סחר בקאנביס ו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עיסקאות של סחר בחשיש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firstLine="720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סך הכל התמונה הנפרסת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מכתב האישום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התמונה היא קשה וחמורה של ביצוע מגוון עבירות סמים באופן שיטתי ולאורך תקופה ארוכה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החל מהחזקה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הספקה וכלה בסחר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כאמור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המשיב הודה בבית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ונשלח לקבלת תסקיר של שירות מבחן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בדיעבד היו בפני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מספר תסקירים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בתסקיר האחרון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מיום </w:t>
      </w:r>
      <w:r>
        <w:rPr>
          <w:rFonts w:cs="Arial" w:ascii="Arial" w:hAnsi="Arial"/>
          <w:lang w:val="en-US" w:eastAsia="en-US"/>
        </w:rPr>
        <w:t>16.9.13</w:t>
      </w:r>
      <w:r>
        <w:rPr>
          <w:rFonts w:cs="Arial" w:ascii="Arial" w:hAnsi="Arial"/>
          <w:rtl w:val="true"/>
          <w:lang w:val="en-US" w:eastAsia="en-US"/>
        </w:rPr>
        <w:t xml:space="preserve">,  </w:t>
      </w:r>
      <w:r>
        <w:rPr>
          <w:rFonts w:ascii="Arial" w:hAnsi="Arial" w:cs="Arial"/>
          <w:rtl w:val="true"/>
          <w:lang w:val="en-US" w:eastAsia="en-US"/>
        </w:rPr>
        <w:t>מסכם שירות המבחן את ממצאיו באשר למשיב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באומרו כי מדובר במי שעשה שימוש בסמים לאורך שנים ארוכות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בנקודת הזמן שבה נכתב התסקיר הוא בחר להפסיק את השימוש בסמים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ולדעתו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מדובר בהישג משמעותי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שירות המבחן המליץ לכן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העמדתו במבחן וכן הטלת עונש של מאסר בעבודות שירות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כפי שציינו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תסקיר זה מהווה מעין סיכום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הדברים המשמעותיים יותר מצויים בתסקירים הקודמים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בתסקיר שניתן ביום </w:t>
      </w:r>
      <w:r>
        <w:rPr>
          <w:rFonts w:cs="Arial" w:ascii="Arial" w:hAnsi="Arial"/>
          <w:lang w:val="en-US" w:eastAsia="en-US"/>
        </w:rPr>
        <w:t>7.5.13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נימת הדברים שונה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שירות המבחן מציין באותו תסקיר</w:t>
      </w:r>
      <w:r>
        <w:rPr>
          <w:rFonts w:cs="Arial" w:ascii="Arial" w:hAnsi="Arial"/>
          <w:rtl w:val="true"/>
          <w:lang w:val="en-US" w:eastAsia="en-US"/>
        </w:rPr>
        <w:t xml:space="preserve">,  </w:t>
      </w:r>
      <w:r>
        <w:rPr>
          <w:rFonts w:ascii="Arial" w:hAnsi="Arial" w:cs="Arial"/>
          <w:rtl w:val="true"/>
          <w:lang w:val="en-US" w:eastAsia="en-US"/>
        </w:rPr>
        <w:t>כי הגם שהמשיב לוקח אחריות על אופן התנהלותו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הוא מתקשה עם תיוגו כמכור לסמים מדחיק את מצבו ונמנע מהתמודדות עם קשיים המלווים את חייו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בתאריך זה </w:t>
      </w:r>
      <w:r>
        <w:rPr>
          <w:rFonts w:ascii="Arial" w:hAnsi="Arial" w:cs="Arial"/>
          <w:rtl w:val="true"/>
          <w:lang w:val="en-US" w:eastAsia="en-US"/>
        </w:rPr>
        <w:t>–</w:t>
      </w:r>
      <w:r>
        <w:rPr>
          <w:rFonts w:ascii="Arial" w:hAnsi="Arial" w:cs="Arial"/>
          <w:rtl w:val="true"/>
          <w:lang w:val="en-US" w:eastAsia="en-US"/>
        </w:rPr>
        <w:t xml:space="preserve"> </w:t>
      </w:r>
      <w:r>
        <w:rPr>
          <w:rFonts w:cs="Arial" w:ascii="Arial" w:hAnsi="Arial"/>
          <w:lang w:val="en-US" w:eastAsia="en-US"/>
        </w:rPr>
        <w:t>12.5.13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cs="Arial" w:ascii="Arial" w:hAnsi="Arial"/>
          <w:rtl w:val="true"/>
          <w:lang w:val="en-US" w:eastAsia="en-US"/>
        </w:rPr>
        <w:t>–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נשמעו הטיעונים לעונש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מטעם המשיב העידו מספר עדי הגנה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בהם אחותו ועדים נוספים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העדים בעיקר סיפרו על השינוי שעשה המשיב בדרך חייו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כך שהוא נגמל מהסמים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אחותו של המשיב דיברה על ילדותו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הקשיים שעבר בה ובעיקר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כך שאביו של המשיב בזמנו היכה והתעלל במשיב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ובנוסף לכך סיבך אותו כלכלית בשנותיו המאוחרות יותר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התביעה עתרה שבית המשפט יכריז על המשיב כסוחר 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יחלט את סכומי העתק שנמצאו בביתו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כמפורט לעיל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ויטיל עליו עונש מאסר משמעותי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בהתחשב בהיקף העבירות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ריבויין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בכמויות שמדובר בהן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באורך התקופה ובאופן כללי בתמונה הקשה העולה מכתב האישום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הסניגוריה הפנתה לשיקולים שחלקם נזכר כבר לעיל ועתרה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להסתפק במקרה זה במאסר שירוצה בדרך של עבודות שירות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באשר לסכומי הכסף הטענה היתה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המשיב הרוויח אותם בשנים שבהם עבד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פי הנטען המשיב עבד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לצד היותו מכור לסמים וסוחר סמים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הסכומים אינם כספים שהתקבלו אצלו מסחר בסמים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כן הבקשה היתה להימנע מחילוטם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משפט קמא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כב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ascii="Arial" w:hAnsi="Arial" w:cs="Arial"/>
          <w:rtl w:val="true"/>
          <w:lang w:val="en-US" w:eastAsia="en-US"/>
        </w:rPr>
        <w:t>השופט ע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ascii="Arial" w:hAnsi="Arial" w:cs="Arial"/>
          <w:rtl w:val="true"/>
          <w:lang w:val="en-US" w:eastAsia="en-US"/>
        </w:rPr>
        <w:t>דרויאן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>נענה לבקשת המדינה להכריז על המשיב כסוחר סמים והטיל עליו את העונשים הבאים</w:t>
      </w:r>
      <w:r>
        <w:rPr>
          <w:rFonts w:cs="Arial" w:ascii="Arial" w:hAnsi="Arial"/>
          <w:rtl w:val="true"/>
          <w:lang w:val="en-US" w:eastAsia="en-US"/>
        </w:rPr>
        <w:t xml:space="preserve">: 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 מאסר שירוצו על דרך של עבודות שירות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>שנתיים מאסר על תנאי בגין עבירת סמים שהיא פשע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 מאסר על תנאי למשך שנתיים בגין עבירת סמים שהיא עוון</w:t>
      </w:r>
      <w:r>
        <w:rPr>
          <w:rFonts w:cs="Arial" w:ascii="Arial" w:hAnsi="Arial"/>
          <w:rtl w:val="true"/>
          <w:lang w:val="en-US" w:eastAsia="en-US"/>
        </w:rPr>
        <w:t xml:space="preserve">; </w:t>
      </w:r>
      <w:r>
        <w:rPr>
          <w:rFonts w:ascii="Arial" w:hAnsi="Arial" w:cs="Arial"/>
          <w:rtl w:val="true"/>
          <w:lang w:val="en-US" w:eastAsia="en-US"/>
        </w:rPr>
        <w:t xml:space="preserve">קנס בסך </w:t>
      </w:r>
      <w:r>
        <w:rPr>
          <w:rFonts w:cs="Arial" w:ascii="Arial" w:hAnsi="Arial"/>
          <w:lang w:val="en-US" w:eastAsia="en-US"/>
        </w:rPr>
        <w:t>40,000</w:t>
      </w:r>
      <w:r>
        <w:rPr>
          <w:rFonts w:cs="Arial" w:ascii="Arial" w:hAnsi="Arial"/>
          <w:rtl w:val="true"/>
          <w:lang w:val="en-US" w:eastAsia="en-US"/>
        </w:rPr>
        <w:t xml:space="preserve"> ₪ </w:t>
      </w:r>
      <w:r>
        <w:rPr>
          <w:rFonts w:ascii="Arial" w:hAnsi="Arial" w:cs="Arial"/>
          <w:rtl w:val="true"/>
          <w:lang w:val="en-US" w:eastAsia="en-US"/>
        </w:rPr>
        <w:t xml:space="preserve">או </w:t>
      </w:r>
      <w:r>
        <w:rPr>
          <w:rFonts w:cs="Arial" w:ascii="Arial" w:hAnsi="Arial"/>
          <w:lang w:val="en-US" w:eastAsia="en-US"/>
        </w:rPr>
        <w:t>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חודשים נוספים של מאסר תמורתו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מתוך הסכום של כ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350,000</w:t>
      </w:r>
      <w:r>
        <w:rPr>
          <w:rFonts w:cs="Arial" w:ascii="Arial" w:hAnsi="Arial"/>
          <w:rtl w:val="true"/>
          <w:lang w:val="en-US" w:eastAsia="en-US"/>
        </w:rPr>
        <w:t xml:space="preserve"> ₪ (</w:t>
      </w:r>
      <w:r>
        <w:rPr>
          <w:rFonts w:ascii="Arial" w:hAnsi="Arial" w:cs="Arial"/>
          <w:rtl w:val="true"/>
          <w:lang w:val="en-US" w:eastAsia="en-US"/>
        </w:rPr>
        <w:t>שזהו הסכום הכולל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לרבות המטבע הזר שנתפס אצל המשיב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>הורה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משפט קמא על חילוט של </w:t>
      </w:r>
      <w:r>
        <w:rPr>
          <w:rFonts w:cs="Arial" w:ascii="Arial" w:hAnsi="Arial"/>
          <w:lang w:val="en-US" w:eastAsia="en-US"/>
        </w:rPr>
        <w:t>30,000</w:t>
      </w:r>
      <w:r>
        <w:rPr>
          <w:rFonts w:cs="Arial" w:ascii="Arial" w:hAnsi="Arial"/>
          <w:rtl w:val="true"/>
          <w:lang w:val="en-US" w:eastAsia="en-US"/>
        </w:rPr>
        <w:t xml:space="preserve"> ₪ </w:t>
      </w:r>
      <w:r>
        <w:rPr>
          <w:rFonts w:ascii="Arial" w:hAnsi="Arial" w:cs="Arial"/>
          <w:rtl w:val="true"/>
          <w:lang w:val="en-US" w:eastAsia="en-US"/>
        </w:rPr>
        <w:t>בלבד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כמו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כן העמיד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את המשיב בפיקוח של שירות המבחן למשך שנה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על גזר הדין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שני נדבכיו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מערערת המדינה בפנינו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המדינה מערערת על הענישה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קרי </w:t>
      </w:r>
      <w:r>
        <w:rPr>
          <w:rFonts w:ascii="Arial" w:hAnsi="Arial" w:cs="Arial"/>
          <w:rtl w:val="true"/>
          <w:lang w:val="en-US" w:eastAsia="en-US"/>
        </w:rPr>
        <w:t>–</w:t>
      </w:r>
      <w:r>
        <w:rPr>
          <w:rFonts w:ascii="Arial" w:hAnsi="Arial" w:cs="Arial"/>
          <w:rtl w:val="true"/>
          <w:lang w:val="en-US" w:eastAsia="en-US"/>
        </w:rPr>
        <w:t xml:space="preserve"> תקופת המאסר שהשית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על המשיב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לשיטתה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היה על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להטיל על המשיב עונש מאסר מאחורי סורג ובריח לתקופה משמעותית ולא להסתפק בתיק זה במאסר שירוצה בדרך של עבודות שירות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עוד מערערת המדינה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כך שבית המשפט נמנע מחילוט מלוא הכסף שנתפס אצל המשיב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7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על אלה עומדת המדינה</w:t>
      </w:r>
      <w:r>
        <w:rPr>
          <w:rFonts w:cs="Arial" w:ascii="Arial" w:hAnsi="Arial"/>
          <w:rtl w:val="true"/>
          <w:lang w:val="en-US" w:eastAsia="en-US"/>
        </w:rPr>
        <w:t>: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 xml:space="preserve">באשר לענישה </w:t>
      </w:r>
      <w:r>
        <w:rPr>
          <w:rFonts w:ascii="Arial" w:hAnsi="Arial" w:cs="Arial"/>
          <w:rtl w:val="true"/>
          <w:lang w:val="en-US" w:eastAsia="en-US"/>
        </w:rPr>
        <w:t>–</w:t>
      </w:r>
      <w:r>
        <w:rPr>
          <w:rFonts w:ascii="Arial" w:hAnsi="Arial" w:cs="Arial"/>
          <w:rtl w:val="true"/>
          <w:lang w:val="en-US" w:eastAsia="en-US"/>
        </w:rPr>
        <w:t xml:space="preserve"> המדינה מפנה לכך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מדובר בכל סוגי עבירות הסם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המשיב מכר וסיפק סם לאנשים שונים בעשרות הזדמנויות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הפסיקה הדגישה את הצורך להטלת עונשי מאסר ארוכים על סוחרי סמים ושגה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כאשר לא הלך בדרך זו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המדינה מפנה לפסיקה רבת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שנים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ולפיה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מחובתם של בתי</w:t>
      </w:r>
      <w:r>
        <w:rPr>
          <w:rFonts w:cs="Arial" w:ascii="Arial" w:hAnsi="Arial"/>
          <w:b/>
          <w:bCs/>
          <w:rtl w:val="true"/>
          <w:lang w:val="en-US" w:eastAsia="en-US"/>
        </w:rPr>
        <w:t>-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משפט לתת ידם בהדברת נגע זה על</w:t>
      </w:r>
      <w:r>
        <w:rPr>
          <w:rFonts w:cs="Arial" w:ascii="Arial" w:hAnsi="Arial"/>
          <w:b/>
          <w:bCs/>
          <w:rtl w:val="true"/>
          <w:lang w:val="en-US" w:eastAsia="en-US"/>
        </w:rPr>
        <w:t>-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ידי הטלת עונשי מאסר משמעותיים ביותר 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...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עם התגברותה של הפשיעה בתחום זה 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...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וכל עוד לא הודברה מכה זו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עלינו להעמיד בראש שיקולי הענישה על עבירות אלה שיקולי תגמול והרתעה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למען ישמעו וייראו ולא יוסיפו עוד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 (</w:t>
      </w:r>
      <w:hyperlink r:id="rId12">
        <w:r>
          <w:rPr>
            <w:rStyle w:val="Hyperlink"/>
            <w:rFonts w:ascii="Arial" w:hAnsi="Arial" w:cs="Arial"/>
            <w:rtl w:val="true"/>
            <w:lang w:val="en-US" w:eastAsia="en-US"/>
          </w:rPr>
          <w:t>ע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lang w:val="en-US" w:eastAsia="en-US"/>
          </w:rPr>
          <w:t>332/87</w:t>
        </w:r>
      </w:hyperlink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sz w:val="22"/>
          <w:rtl w:val="true"/>
          <w:lang w:val="en-US" w:eastAsia="en-US"/>
        </w:rPr>
        <w:t>[</w:t>
      </w:r>
      <w:r>
        <w:rPr>
          <w:sz w:val="22"/>
          <w:sz w:val="22"/>
          <w:rtl w:val="true"/>
          <w:lang w:val="en-US" w:eastAsia="en-US"/>
        </w:rPr>
        <w:t>פורסם</w:t>
      </w:r>
      <w:r>
        <w:rPr>
          <w:rFonts w:cs="Times New Roman"/>
          <w:sz w:val="22"/>
          <w:sz w:val="22"/>
          <w:rtl w:val="true"/>
          <w:lang w:val="en-US" w:eastAsia="en-US"/>
        </w:rPr>
        <w:t xml:space="preserve"> </w:t>
      </w:r>
      <w:r>
        <w:rPr>
          <w:sz w:val="22"/>
          <w:sz w:val="22"/>
          <w:rtl w:val="true"/>
          <w:lang w:val="en-US" w:eastAsia="en-US"/>
        </w:rPr>
        <w:t>בנבו</w:t>
      </w:r>
      <w:r>
        <w:rPr>
          <w:sz w:val="22"/>
          <w:rtl w:val="true"/>
          <w:lang w:val="en-US" w:eastAsia="en-US"/>
        </w:rPr>
        <w:t>]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אמירות מסוג זה שזורות לאורכה ולרוחבה של הפסיקה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וכאמור הטענה היא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לא היה מקום במקרה זה שלא לאמץ את ההלכה המושרשת מימים ימימה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 xml:space="preserve">באשר לסוג הסם </w:t>
      </w:r>
      <w:r>
        <w:rPr>
          <w:rFonts w:ascii="Arial" w:hAnsi="Arial" w:cs="Arial"/>
          <w:rtl w:val="true"/>
          <w:lang w:val="en-US" w:eastAsia="en-US"/>
        </w:rPr>
        <w:t>–</w:t>
      </w:r>
      <w:r>
        <w:rPr>
          <w:rFonts w:ascii="Arial" w:hAnsi="Arial" w:cs="Arial"/>
          <w:rtl w:val="true"/>
          <w:lang w:val="en-US" w:eastAsia="en-US"/>
        </w:rPr>
        <w:t xml:space="preserve"> חשיש </w:t>
      </w:r>
      <w:r>
        <w:rPr>
          <w:rFonts w:ascii="Arial" w:hAnsi="Arial" w:cs="Arial"/>
          <w:rtl w:val="true"/>
          <w:lang w:val="en-US" w:eastAsia="en-US"/>
        </w:rPr>
        <w:t>–</w:t>
      </w:r>
      <w:r>
        <w:rPr>
          <w:rFonts w:ascii="Arial" w:hAnsi="Arial" w:cs="Arial"/>
          <w:rtl w:val="true"/>
          <w:lang w:val="en-US" w:eastAsia="en-US"/>
        </w:rPr>
        <w:t xml:space="preserve"> אין להקל עם המשיב משום שעסק בסם זה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גם בנושא זה מפנה המדינה לפסיקה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האומרת כי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המאבק בהפצת הסמים כולל גם הפצתם של סמים קלים יחסית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עוד מפנה המדינה לאמירתנו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>הכוונה למותב זה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>בהזדמנות אחרת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ולפיה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כאשר מדובר בקילוגרמים של סם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גם אם מדובר בסם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קל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",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לא תיתכן ענישה שאין בה מאסר בפועל שירוצה במתקן כליאה ולא בעבודות שירות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 xml:space="preserve">מענין לענין באותו ענין </w:t>
      </w:r>
      <w:r>
        <w:rPr>
          <w:rFonts w:ascii="Arial" w:hAnsi="Arial" w:cs="Arial"/>
          <w:rtl w:val="true"/>
          <w:lang w:val="en-US" w:eastAsia="en-US"/>
        </w:rPr>
        <w:t>–</w:t>
      </w:r>
      <w:r>
        <w:rPr>
          <w:rFonts w:ascii="Arial" w:hAnsi="Arial" w:cs="Arial"/>
          <w:rtl w:val="true"/>
          <w:lang w:val="en-US" w:eastAsia="en-US"/>
        </w:rPr>
        <w:t xml:space="preserve"> המדינה מפנה לכמויות הסם שמדובר בהם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פרטנו את הדברים לעיל ולא נחזור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מדובר בכמעט </w:t>
      </w: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ק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ג חשיש לצד כמויות ניכרות של סוגי סמים אחרים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הכמות צריכה אף היא להכתיב את רמת הענישה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עוד מפנה המדינה לאורך התקופה שמדובר בה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אין מדובר באפיזודה מקרית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אלא בהספקת ומכירת סם לאורך </w:t>
      </w: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שנים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בשורה התחתונה העתירה היא </w:t>
      </w:r>
      <w:bookmarkStart w:id="14" w:name="_GoBack"/>
      <w:bookmarkEnd w:id="14"/>
      <w:r>
        <w:rPr>
          <w:rFonts w:ascii="Arial" w:hAnsi="Arial" w:cs="Arial"/>
          <w:rtl w:val="true"/>
          <w:lang w:val="en-US" w:eastAsia="en-US"/>
        </w:rPr>
        <w:t>כאמור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להטלת תקופת מאסר משמעותית שתרוצה מאחורי סורג ובריח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 xml:space="preserve">באשר לחילוט </w:t>
      </w:r>
      <w:r>
        <w:rPr>
          <w:rFonts w:ascii="Arial" w:hAnsi="Arial" w:cs="Arial"/>
          <w:rtl w:val="true"/>
          <w:lang w:val="en-US" w:eastAsia="en-US"/>
        </w:rPr>
        <w:t>–</w:t>
      </w:r>
      <w:r>
        <w:rPr>
          <w:rFonts w:ascii="Arial" w:hAnsi="Arial" w:cs="Arial"/>
          <w:rtl w:val="true"/>
          <w:lang w:val="en-US" w:eastAsia="en-US"/>
        </w:rPr>
        <w:t xml:space="preserve"> המדינה מפנה לחזקה הקבועה בסעיף </w:t>
      </w:r>
      <w:r>
        <w:rPr>
          <w:rFonts w:cs="Arial" w:ascii="Arial" w:hAnsi="Arial"/>
          <w:lang w:val="en-US" w:eastAsia="en-US"/>
        </w:rPr>
        <w:t>31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6</w:t>
      </w:r>
      <w:r>
        <w:rPr>
          <w:rFonts w:cs="Arial" w:ascii="Arial" w:hAnsi="Arial"/>
          <w:rtl w:val="true"/>
          <w:lang w:val="en-US" w:eastAsia="en-US"/>
        </w:rPr>
        <w:t xml:space="preserve">), </w:t>
      </w:r>
      <w:r>
        <w:rPr>
          <w:rFonts w:ascii="Arial" w:hAnsi="Arial" w:cs="Arial"/>
          <w:rtl w:val="true"/>
          <w:lang w:val="en-US" w:eastAsia="en-US"/>
        </w:rPr>
        <w:t>ולפיה כל הרכוש שנתפס אצל סוחר סמים הושג בעבירה של עיסקת 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כאשר הנטל עובר אל סוחר הסמים להוכיח כי האמצעים להשגת הרכוש היו חוקיים או שהרכוש מצוי בידיו למעלה מ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שנים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המדינה מפנה לפסק הדין בענין ליאור מטיס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hyperlink r:id="rId13">
        <w:r>
          <w:rPr>
            <w:rStyle w:val="Hyperlink"/>
            <w:rFonts w:ascii="Arial" w:hAnsi="Arial" w:cs="Arial"/>
            <w:rtl w:val="true"/>
            <w:lang w:val="en-US" w:eastAsia="en-US"/>
          </w:rPr>
          <w:t>ע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lang w:val="en-US" w:eastAsia="en-US"/>
          </w:rPr>
          <w:t>170/07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sz w:val="22"/>
          <w:rtl w:val="true"/>
          <w:lang w:val="en-US" w:eastAsia="en-US"/>
        </w:rPr>
        <w:t>[</w:t>
      </w:r>
      <w:r>
        <w:rPr>
          <w:sz w:val="22"/>
          <w:sz w:val="22"/>
          <w:rtl w:val="true"/>
          <w:lang w:val="en-US" w:eastAsia="en-US"/>
        </w:rPr>
        <w:t>פורסם</w:t>
      </w:r>
      <w:r>
        <w:rPr>
          <w:rFonts w:cs="Times New Roman"/>
          <w:sz w:val="22"/>
          <w:sz w:val="22"/>
          <w:rtl w:val="true"/>
          <w:lang w:val="en-US" w:eastAsia="en-US"/>
        </w:rPr>
        <w:t xml:space="preserve"> </w:t>
      </w:r>
      <w:r>
        <w:rPr>
          <w:sz w:val="22"/>
          <w:sz w:val="22"/>
          <w:rtl w:val="true"/>
          <w:lang w:val="en-US" w:eastAsia="en-US"/>
        </w:rPr>
        <w:t>בנבו</w:t>
      </w:r>
      <w:r>
        <w:rPr>
          <w:sz w:val="22"/>
          <w:rtl w:val="true"/>
          <w:lang w:val="en-US" w:eastAsia="en-US"/>
        </w:rPr>
        <w:t xml:space="preserve">] </w:t>
      </w:r>
      <w:r>
        <w:rPr>
          <w:rFonts w:ascii="Arial" w:hAnsi="Arial" w:cs="Arial"/>
          <w:rtl w:val="true"/>
          <w:lang w:val="en-US" w:eastAsia="en-US"/>
        </w:rPr>
        <w:t>שם נסקרה סוגיית החילוט בפירוט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לא יכולה להיות מחלוקת שהנטל בענייננו הועברה אל המשיב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העברת הנטל נובעת מעצם הכרזתו כסוחר סמים ובאשר להיקפו של הנטל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מפנה המדינה ל</w:t>
      </w:r>
      <w:hyperlink r:id="rId14">
        <w:r>
          <w:rPr>
            <w:rStyle w:val="Hyperlink"/>
            <w:rFonts w:ascii="Arial" w:hAnsi="Arial" w:cs="Arial"/>
            <w:rtl w:val="true"/>
            <w:lang w:val="en-US" w:eastAsia="en-US"/>
          </w:rPr>
          <w:t>ע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lang w:val="en-US" w:eastAsia="en-US"/>
          </w:rPr>
          <w:t>7598/95</w:t>
        </w:r>
      </w:hyperlink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בן שטרית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sz w:val="22"/>
          <w:rtl w:val="true"/>
          <w:lang w:val="en-US" w:eastAsia="en-US"/>
        </w:rPr>
        <w:t>[</w:t>
      </w:r>
      <w:r>
        <w:rPr>
          <w:sz w:val="22"/>
          <w:sz w:val="22"/>
          <w:rtl w:val="true"/>
          <w:lang w:val="en-US" w:eastAsia="en-US"/>
        </w:rPr>
        <w:t>פורסם</w:t>
      </w:r>
      <w:r>
        <w:rPr>
          <w:rFonts w:cs="Times New Roman"/>
          <w:sz w:val="22"/>
          <w:sz w:val="22"/>
          <w:rtl w:val="true"/>
          <w:lang w:val="en-US" w:eastAsia="en-US"/>
        </w:rPr>
        <w:t xml:space="preserve"> </w:t>
      </w:r>
      <w:r>
        <w:rPr>
          <w:sz w:val="22"/>
          <w:sz w:val="22"/>
          <w:rtl w:val="true"/>
          <w:lang w:val="en-US" w:eastAsia="en-US"/>
        </w:rPr>
        <w:t>בנבו</w:t>
      </w:r>
      <w:r>
        <w:rPr>
          <w:sz w:val="22"/>
          <w:rtl w:val="true"/>
          <w:lang w:val="en-US" w:eastAsia="en-US"/>
        </w:rPr>
        <w:t xml:space="preserve">] </w:t>
      </w:r>
      <w:r>
        <w:rPr>
          <w:rFonts w:ascii="Arial" w:hAnsi="Arial" w:cs="Arial"/>
          <w:rtl w:val="true"/>
          <w:lang w:val="en-US" w:eastAsia="en-US"/>
        </w:rPr>
        <w:t>שם נקבע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החזקה היא חזקה שבחוק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הנאשם אינו יוצא ידי חובתו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ידי הקמת ספק בלבד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ועליו להוכיח את גירסתו ברמה של הטיית מאזן ההסתברויות לזכותו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בענייננו המשיב לא הרים את הנטל שהוטל עליו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כן לא היה מקום להסתפק בחילוט </w:t>
      </w:r>
      <w:r>
        <w:rPr>
          <w:rFonts w:cs="Arial" w:ascii="Arial" w:hAnsi="Arial"/>
          <w:lang w:val="en-US" w:eastAsia="en-US"/>
        </w:rPr>
        <w:t>30,000</w:t>
      </w:r>
      <w:r>
        <w:rPr>
          <w:rFonts w:cs="Arial" w:ascii="Arial" w:hAnsi="Arial"/>
          <w:rtl w:val="true"/>
          <w:lang w:val="en-US" w:eastAsia="en-US"/>
        </w:rPr>
        <w:t xml:space="preserve"> ₪ </w:t>
      </w:r>
      <w:r>
        <w:rPr>
          <w:rFonts w:ascii="Arial" w:hAnsi="Arial" w:cs="Arial"/>
          <w:rtl w:val="true"/>
          <w:lang w:val="en-US" w:eastAsia="en-US"/>
        </w:rPr>
        <w:t>מתוך סך של כ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350,000</w:t>
      </w:r>
      <w:r>
        <w:rPr>
          <w:rFonts w:cs="Arial" w:ascii="Arial" w:hAnsi="Arial"/>
          <w:rtl w:val="true"/>
          <w:lang w:val="en-US" w:eastAsia="en-US"/>
        </w:rPr>
        <w:t xml:space="preserve"> ₪. </w:t>
      </w:r>
      <w:r>
        <w:rPr>
          <w:rFonts w:ascii="Arial" w:hAnsi="Arial" w:cs="Arial"/>
          <w:rtl w:val="true"/>
          <w:lang w:val="en-US" w:eastAsia="en-US"/>
        </w:rPr>
        <w:t>המדינה טוענת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המשיב כלל לא הצליח להוכיח מקור הכנסה כספי חילופי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כל מה שהיה בידיו להציג הוא אסופת מכתבים או אישורים נעדרי ביסוס ראייתי אובייקטיבי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ביחס לכך שעבד במקומות שונים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מכתבים אלה אין בהם די והם אינם שופכים אור על מקורו של הכסף שנתפס ברשותו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זאת ועוד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משעורבבו כספים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בהנחה שהיו כספים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לגיטימיים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>עם כספים שהתקבלו בסחר בסם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יש לחלט את מלוא הסכום במלואו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לפיכך העתירה היא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להורות על חילוט מלוא הכסף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8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הסניגור טוען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חרף חריגותו של גזר הדין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אין מקום להתערב בו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לא גזר את הדין כלאחר יד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אלא לאחר שיקול ממושך ותקופה ארוכה שבה היה תיק זה תלוי ועומד בפניו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בית המשפט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קיבל באשר למשיב מספר תסקירים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שמע מספר עדים לענין העונש ונראה כי התרשם ממה ששמעו אוזניו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עד כדי כך שראה שלא לשלוח את המשיב אל מאחורי סורג ובריח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ענישה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כך לטענת הסניגור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נשענת גם על אינטואיציה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ונראה כי בית המשפט סבר שזהו המקרה ללכת לקראת המשיב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לא בכדי סבר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כפי שסבר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בא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כוח המשיב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בטיעון מקיף וממצה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סקר את הדרך הארוכה שעבר המשיב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המשיב נרתם לטיפול בקהילה טיפולית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זאת לאחר שמלכתחילה לא הכיר כלל בכך שהוא מכור לסם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הוא שוחרר מהקהילה הטיפולית לאחר סיום הטיפול בה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לא לפני ולא אחרי הפרשייה הנוכחית לא היו לו הרשעות אחרות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 נפתחו לו מאז תיקים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לכל אלה יש לתת משקל מירבי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עוד טוען הסניגור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חרף העיסוק המאסיבי בסמים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המשיב גם חי חיים נורמטיביים והיה מעורה בחברה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לענין זה מפנה בא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כוח המשיב בעיקר לדברי עדי האופי שהעידו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שמעידים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כך שהמשיב היה ועודנו אדם מהישוב לצד העיסוק בסמים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במיוחד מפנה הסניגור לדבריה של אחותו של המשיב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באשר לנסיבות חייו של המשיב בשחר ימיו ולכך שאביו סיבך אותו בחובות רבים שהיו מעבר לכוחו ותרמו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ככל הנראה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להתמכרותו לסם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כרגע המשיב עובד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הוא סגן מנהל בחברת פז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מאדם שהיה מוגבל בבנק ולא יכול היה לפתוח חשבון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הוא הפך כרגע לאדם עובד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עומד לקבל ניהול בחברת פז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עוד מדגיש הסניגור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לעבירות הסחר וההספקה במקרה זה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חרף התקופה הארוכה שמדובר בה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אין לייחס חומרה רבתי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המשיב סיפק את הסמים לאנשים מסויימים שהיו מכריו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ואין מדובר בסחר לכל קונה מזדמן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כראיה מפנה הסניגור לכך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שהמדינה נקבה בסכום של </w:t>
      </w:r>
      <w:r>
        <w:rPr>
          <w:rFonts w:cs="Arial" w:ascii="Arial" w:hAnsi="Arial"/>
          <w:lang w:val="en-US" w:eastAsia="en-US"/>
        </w:rPr>
        <w:t>5,000</w:t>
      </w:r>
      <w:r>
        <w:rPr>
          <w:rFonts w:cs="Arial" w:ascii="Arial" w:hAnsi="Arial"/>
          <w:rtl w:val="true"/>
          <w:lang w:val="en-US" w:eastAsia="en-US"/>
        </w:rPr>
        <w:t xml:space="preserve"> ₪ </w:t>
      </w:r>
      <w:r>
        <w:rPr>
          <w:rFonts w:ascii="Arial" w:hAnsi="Arial" w:cs="Arial"/>
          <w:rtl w:val="true"/>
          <w:lang w:val="en-US" w:eastAsia="en-US"/>
        </w:rPr>
        <w:t>כסכום שאותו קיבל המשיב 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פי הראיות שבידיה כתוצאה מהסחר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9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באשר לנושא החילוט </w:t>
      </w:r>
      <w:r>
        <w:rPr>
          <w:rFonts w:ascii="Arial" w:hAnsi="Arial" w:cs="Arial"/>
          <w:rtl w:val="true"/>
          <w:lang w:val="en-US" w:eastAsia="en-US"/>
        </w:rPr>
        <w:t>–</w:t>
      </w:r>
      <w:r>
        <w:rPr>
          <w:rFonts w:ascii="Arial" w:hAnsi="Arial" w:cs="Arial"/>
          <w:rtl w:val="true"/>
          <w:lang w:val="en-US" w:eastAsia="en-US"/>
        </w:rPr>
        <w:t xml:space="preserve"> כפי שניתן לצפות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הטענה היא כי מדובר בכספים שהגיעו למשיב בדרכים כשרות ונורמטיביות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המשיב עבד לאורך שנותיו במקביל לעיסוקו בסם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לענין עבודתו של המשיב מפנה הסניגור לכל אותם אישורים מחברות שונות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מחברת אאוטדור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חברה עירונית אריאל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במבולה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שאנטיפי ועוד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המשיב עבד בכל אותם מקומות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הוא מכר מזון בכל מיני ירידים וכיו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במקומות אלה ניתן לצבור רווחים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כך אכן עשה המשיב וכך הצטברו הכספים בידיו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המשיב החזיק את הכספים בביתו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משום שהוא מוגבל בבנק ישראל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כאמור לעיל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כן אין לייחס להחזקה משקל ראייתי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i/>
          <w:i/>
          <w:iCs/>
          <w:lang w:val="en-US" w:eastAsia="en-US"/>
        </w:rPr>
      </w:pP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דיון והכרעה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i/>
          <w:i/>
          <w:iCs/>
          <w:lang w:val="en-US" w:eastAsia="en-US"/>
        </w:rPr>
      </w:pPr>
      <w:r>
        <w:rPr>
          <w:rFonts w:cs="Arial" w:ascii="Arial" w:hAnsi="Arial"/>
          <w:i/>
          <w:iCs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10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איננו מתעלמים מהדרך שעבר המשיב מאז שנת </w:t>
      </w:r>
      <w:r>
        <w:rPr>
          <w:rFonts w:cs="Arial" w:ascii="Arial" w:hAnsi="Arial"/>
          <w:lang w:val="en-US" w:eastAsia="en-US"/>
        </w:rPr>
        <w:t>2011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ועד היום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כמשתקף מתסקיר שירות המבחן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ועדיין דעתנו היא כי אין מנוס מקבלת ערעור המדינה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על שני נדבכיו</w:t>
      </w:r>
      <w:r>
        <w:rPr>
          <w:rFonts w:cs="Arial" w:ascii="Arial" w:hAnsi="Arial"/>
          <w:rtl w:val="true"/>
          <w:lang w:val="en-US" w:eastAsia="en-US"/>
        </w:rPr>
        <w:t xml:space="preserve">.  </w:t>
      </w:r>
      <w:r>
        <w:rPr>
          <w:rFonts w:ascii="Arial" w:hAnsi="Arial" w:cs="Arial"/>
          <w:rtl w:val="true"/>
          <w:lang w:val="en-US" w:eastAsia="en-US"/>
        </w:rPr>
        <w:t>עד שאנו מגיעים לפירוט הדברים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נעיר באופן כללי כי גזר הדין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סוקר ומתייחס לכל ההיבטים הרלוונטיים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יחד עם זאת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בסוף הדרך קיים פער של ממש בין הרטוריקה שבה נקט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והדברים שנאמרו בגוף גזר הדין לענין אופיין וחומרתן של העבירות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לבין תרגומם של הדברים שנאמרו לכלל ענישה אופרטיבית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נתחיל בעבירות שמדובר בהן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אין לך עבירה בתחום הסמים שהמשיב בחל בה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המשיב סיפק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סחר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החזיק בסם והחזיק גם בכלים להכנתו והפצתו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המשיב נהג כמקצוען מובהק לאורך כל דרך הסמים שאימץ לעצמו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מדובר בתקופה ארוכה של כ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5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שנים ויותר מכך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שעליה מתפרס כתב האישום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לאורך כל התקופה המשיב ביצע אותו מגוון עבירות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לא רק בריבוי עבירות מדובר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אלא בכמויות גדולות במיוחד של סם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לא בכדי פירטנו לעיל את הכמויות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די לנו אם נזכיר כי מדובר בכ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>ק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ג חשיש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גם עבריינים מקצוענים בתחום זה לא בנקל יגיעו להחזקת כמות כזו של סם ברשותם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כיוון שבא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כוח המשיב שב והדגיש את הנורמטיביות בדרך חייו של המשיב לצד עיסוקו בסם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אנו רואים לציין כי את אותה נורמטיביות ניצל המשיב גם לצורך העיסוק בסם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בכך כוונתנו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למשל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לאישום מס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cs="Arial" w:ascii="Arial" w:hAnsi="Arial"/>
          <w:lang w:val="en-US" w:eastAsia="en-US"/>
        </w:rPr>
        <w:t>3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המשיב עבד בקיוסק באיזור הדולפינריום בתל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 xml:space="preserve">אביב וניצל את עבודתו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הנורמטיבית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>כדי לספק סם בתמורה מסויימת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הסחר בסמים התפרס על פני איזורים שונים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המשיב נהג כמקצוען גם בדרך שבה הפיץ אותו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הוא נהג להתקשר לטלפון ולהודיע ללקוחותיו שיבואו לקבל את הסם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הכלים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אף הם מדברים בעד עצמם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מדובר במטחנות ומשקלים אלקטרוניים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שמשמשים להכנת והפצת סם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איננו סבורים כי ניתן בגין כל אותה פעילות ממושכת ורצופה להסתפק בענישה בדרך של עבודות שירות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לא בכדי אמר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כי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חומרת העבירות ונסיבות הביצוע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על אף נסיבותיו האישיות של הנאשם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מצביעות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איפוא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על הצורך בענישה מחמירה ההולמת את חומרת הפגיעה בציבור ונגזרת מהחובה להילחם מלחמת חורמה במפיצי הסמים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כך נוכל לומר רק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ואידך זיל גמור </w:t>
      </w:r>
      <w:r>
        <w:rPr>
          <w:rFonts w:cs="Arial" w:ascii="Arial" w:hAnsi="Arial"/>
          <w:rtl w:val="true"/>
          <w:lang w:val="en-US" w:eastAsia="en-US"/>
        </w:rPr>
        <w:t xml:space="preserve">! </w:t>
      </w:r>
      <w:r>
        <w:rPr>
          <w:rFonts w:ascii="Arial" w:hAnsi="Arial" w:cs="Arial"/>
          <w:rtl w:val="true"/>
          <w:lang w:val="en-US" w:eastAsia="en-US"/>
        </w:rPr>
        <w:t>היה על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לתרגם דברים אלה לכלל ענישה אופרטיבית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אנו מפנים לדברינו בענין סינואני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hyperlink r:id="rId15">
        <w:r>
          <w:rPr>
            <w:rStyle w:val="Hyperlink"/>
            <w:rFonts w:ascii="Arial" w:hAnsi="Arial" w:cs="Arial"/>
            <w:rtl w:val="true"/>
            <w:lang w:val="en-US" w:eastAsia="en-US"/>
          </w:rPr>
          <w:t>ע</w:t>
        </w:r>
        <w:r>
          <w:rPr>
            <w:rStyle w:val="Hyperlink"/>
            <w:rFonts w:cs="Arial" w:ascii="Arial" w:hAnsi="Arial"/>
            <w:rtl w:val="true"/>
            <w:lang w:val="en-US" w:eastAsia="en-US"/>
          </w:rPr>
          <w:t>"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פ </w:t>
        </w:r>
        <w:r>
          <w:rPr>
            <w:rStyle w:val="Hyperlink"/>
            <w:rFonts w:cs="Arial" w:ascii="Arial" w:hAnsi="Arial"/>
            <w:lang w:val="en-US" w:eastAsia="en-US"/>
          </w:rPr>
          <w:t>70776/99</w:t>
        </w:r>
      </w:hyperlink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sz w:val="22"/>
          <w:rtl w:val="true"/>
          <w:lang w:val="en-US" w:eastAsia="en-US"/>
        </w:rPr>
        <w:t>[</w:t>
      </w:r>
      <w:r>
        <w:rPr>
          <w:sz w:val="22"/>
          <w:sz w:val="22"/>
          <w:rtl w:val="true"/>
          <w:lang w:val="en-US" w:eastAsia="en-US"/>
        </w:rPr>
        <w:t>פורסם</w:t>
      </w:r>
      <w:r>
        <w:rPr>
          <w:rFonts w:cs="Times New Roman"/>
          <w:sz w:val="22"/>
          <w:sz w:val="22"/>
          <w:rtl w:val="true"/>
          <w:lang w:val="en-US" w:eastAsia="en-US"/>
        </w:rPr>
        <w:t xml:space="preserve"> </w:t>
      </w:r>
      <w:r>
        <w:rPr>
          <w:sz w:val="22"/>
          <w:sz w:val="22"/>
          <w:rtl w:val="true"/>
          <w:lang w:val="en-US" w:eastAsia="en-US"/>
        </w:rPr>
        <w:t>בנבו</w:t>
      </w:r>
      <w:r>
        <w:rPr>
          <w:sz w:val="22"/>
          <w:rtl w:val="true"/>
          <w:lang w:val="en-US" w:eastAsia="en-US"/>
        </w:rPr>
        <w:t xml:space="preserve">] </w:t>
      </w:r>
      <w:r>
        <w:rPr>
          <w:rFonts w:ascii="Arial" w:hAnsi="Arial" w:cs="Arial"/>
          <w:rtl w:val="true"/>
          <w:lang w:val="en-US" w:eastAsia="en-US"/>
        </w:rPr>
        <w:t>שם אמרנו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כאשר מדובר בקילוגרמים של סם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 תיתכן ענישה שאין בה מאסר בפועל שתרוצה במתקן כליאה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11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כנגד כל אלה העמיד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את ערך השיקום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אליבא דבית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המשיב עשה דרך ארוכה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נראה כי קיים צפי חיובי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שעל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כן מן הראוי לסייע לו בדרכו החדשה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בית המשפט ציין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כי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 xml:space="preserve">גם לאחר תיקון </w:t>
      </w:r>
      <w:r>
        <w:rPr>
          <w:rFonts w:cs="Arial" w:ascii="Arial" w:hAnsi="Arial"/>
          <w:b/>
          <w:bCs/>
          <w:lang w:val="en-US" w:eastAsia="en-US"/>
        </w:rPr>
        <w:t>113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אשר קבע במפורש את בכורתו של שיקול ההלימה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,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לא נזנחו העקרון של ענישה אינדיווידואלית והערך הנכבד של השיקום בנסיבות המתאימות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גם עם אמירה זו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אנו תמימי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דעים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אכן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גם בעידן תיקון </w:t>
      </w:r>
      <w:r>
        <w:rPr>
          <w:rFonts w:cs="Arial" w:ascii="Arial" w:hAnsi="Arial"/>
          <w:lang w:val="en-US" w:eastAsia="en-US"/>
        </w:rPr>
        <w:t>113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לא נעלם מקומו של השיקום והוא תופס מקום נכבד מאד כאמור </w:t>
      </w:r>
      <w:hyperlink r:id="rId16"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 xml:space="preserve">בסעיף </w:t>
        </w:r>
        <w:r>
          <w:rPr>
            <w:rStyle w:val="Hyperlink"/>
            <w:rFonts w:cs="Arial" w:ascii="Arial" w:hAnsi="Arial"/>
            <w:color w:val="0000FF"/>
            <w:u w:val="single"/>
            <w:lang w:val="en-US" w:eastAsia="en-US"/>
          </w:rPr>
          <w:t>40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  <w:lang w:val="en-US" w:eastAsia="en-US"/>
          </w:rPr>
          <w:t>ד</w:t>
        </w:r>
      </w:hyperlink>
      <w:r>
        <w:rPr>
          <w:rFonts w:ascii="Arial" w:hAnsi="Arial" w:cs="Arial"/>
          <w:rtl w:val="true"/>
          <w:lang w:val="en-US" w:eastAsia="en-US"/>
        </w:rPr>
        <w:t xml:space="preserve"> ל</w:t>
      </w:r>
      <w:hyperlink r:id="rId17">
        <w:r>
          <w:rPr>
            <w:rStyle w:val="Hyperlink"/>
            <w:rFonts w:ascii="Arial" w:hAnsi="Arial" w:cs="Arial"/>
            <w:rtl w:val="true"/>
            <w:lang w:val="en-US" w:eastAsia="en-US"/>
          </w:rPr>
          <w:t>חוק</w:t>
        </w:r>
        <w:r>
          <w:rPr>
            <w:rStyle w:val="Hyperlink"/>
            <w:rFonts w:ascii="Arial" w:hAnsi="Arial" w:cs="Arial"/>
            <w:rtl w:val="true"/>
            <w:lang w:val="en-US" w:eastAsia="en-US"/>
          </w:rPr>
          <w:t xml:space="preserve"> העונשין</w:t>
        </w:r>
      </w:hyperlink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אולם תרגומו של עקרון השיקום לכלל ענישה צריך להיעשות במידתיות תוך התאמת הענישה לנסיבות הקונקרטיות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בענייננו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השיקום אינו יכול לשאת על גבו את משקל ההתעלמות מכל הערכים האחרים אותם אמורה הענישה לבטא</w:t>
      </w:r>
      <w:r>
        <w:rPr>
          <w:rFonts w:cs="Arial" w:ascii="Arial" w:hAnsi="Arial"/>
          <w:rtl w:val="true"/>
          <w:lang w:val="en-US" w:eastAsia="en-US"/>
        </w:rPr>
        <w:t>. "</w:t>
      </w:r>
      <w:r>
        <w:rPr>
          <w:rFonts w:ascii="Arial" w:hAnsi="Arial" w:cs="Arial"/>
          <w:rtl w:val="true"/>
          <w:lang w:val="en-US" w:eastAsia="en-US"/>
        </w:rPr>
        <w:t>חובתנו לציבור</w:t>
      </w:r>
      <w:r>
        <w:rPr>
          <w:rFonts w:cs="Arial" w:ascii="Arial" w:hAnsi="Arial"/>
          <w:rtl w:val="true"/>
          <w:lang w:val="en-US" w:eastAsia="en-US"/>
        </w:rPr>
        <w:t>" (</w:t>
      </w:r>
      <w:r>
        <w:rPr>
          <w:rFonts w:ascii="Arial" w:hAnsi="Arial" w:cs="Arial"/>
          <w:rtl w:val="true"/>
          <w:lang w:val="en-US" w:eastAsia="en-US"/>
        </w:rPr>
        <w:t>כפי שהגדיר זאת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>מתבטאת בכך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שהענישה תבטא ותכמת את עקרון השיקום ואת עקרון ההלימה זה לצד זה ולא תתעלם מעקרון ההלימה כליל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נראה לנו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הסתפקות במאסר בדרך של עבודות שירות במקרה הנוכחי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יש בה התעלמות מוחלטת מעקרון ההלימה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וזאת חרף עדויותיהם של עדי ההגנה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eastAsia="Arial" w:cs="Arial" w:ascii="Arial" w:hAnsi="Arial"/>
          <w:rtl w:val="true"/>
          <w:lang w:val="en-US" w:eastAsia="en-US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12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התוצאה היא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אנו מקבלים את ערעור המדינה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בהיותנו ערכאת ערעור שאיננה נוהגת למצות את הדין עם משיבים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אנו מעמידים את תקופת המאסר בפועל על שנה אחת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13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 xml:space="preserve">באשר לחילוט </w:t>
      </w:r>
      <w:r>
        <w:rPr>
          <w:rFonts w:ascii="Arial" w:hAnsi="Arial" w:cs="Arial"/>
          <w:rtl w:val="true"/>
          <w:lang w:val="en-US" w:eastAsia="en-US"/>
        </w:rPr>
        <w:t>–</w:t>
      </w:r>
      <w:r>
        <w:rPr>
          <w:rFonts w:ascii="Arial" w:hAnsi="Arial" w:cs="Arial"/>
          <w:rtl w:val="true"/>
          <w:lang w:val="en-US" w:eastAsia="en-US"/>
        </w:rPr>
        <w:t xml:space="preserve"> גם כאן דעתנו כי יש ממש בערעור המדינה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החזקה שבסעיף </w:t>
      </w:r>
      <w:r>
        <w:rPr>
          <w:rFonts w:cs="Arial" w:ascii="Arial" w:hAnsi="Arial"/>
          <w:lang w:val="en-US" w:eastAsia="en-US"/>
        </w:rPr>
        <w:t>36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cs="Arial" w:ascii="Arial" w:hAnsi="Arial"/>
          <w:lang w:val="en-US" w:eastAsia="en-US"/>
        </w:rPr>
        <w:t>1</w:t>
      </w:r>
      <w:r>
        <w:rPr>
          <w:rFonts w:cs="Arial" w:ascii="Arial" w:hAnsi="Arial"/>
          <w:rtl w:val="true"/>
          <w:lang w:val="en-US" w:eastAsia="en-US"/>
        </w:rPr>
        <w:t xml:space="preserve">) </w:t>
      </w:r>
      <w:r>
        <w:rPr>
          <w:rFonts w:ascii="Arial" w:hAnsi="Arial" w:cs="Arial"/>
          <w:rtl w:val="true"/>
          <w:lang w:val="en-US" w:eastAsia="en-US"/>
        </w:rPr>
        <w:t>היא ברורה וחד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משמעית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על המשיב הנטל להוכיח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ברמה של הטיית מאזן הסתברויות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כיצד הגיע הכסף לידיו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המעט שנוכל לומר הוא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המשיב לא עמד בנטל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נראה לנו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לא נחטא לאמת אם נאמר כי לא זו בלבד שהמשיב לא עמד בנטל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אלא שהתמונה היא כי הכסף אכן הגיע לידיו מעסקי סמים ולא משום מקור אחר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המשיב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כזכור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המציא מסמכים שונים באשר למקומות בהם עבד בשנים הרלוונטיות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 xml:space="preserve">המסמכים הם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אנמיים</w:t>
      </w:r>
      <w:r>
        <w:rPr>
          <w:rFonts w:cs="Arial" w:ascii="Arial" w:hAnsi="Arial"/>
          <w:rtl w:val="true"/>
          <w:lang w:val="en-US" w:eastAsia="en-US"/>
        </w:rPr>
        <w:t xml:space="preserve">", </w:t>
      </w:r>
      <w:r>
        <w:rPr>
          <w:rFonts w:ascii="Arial" w:hAnsi="Arial" w:cs="Arial"/>
          <w:rtl w:val="true"/>
          <w:lang w:val="en-US" w:eastAsia="en-US"/>
        </w:rPr>
        <w:t>אין בהם פירוט מינימלי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לא על תקופת העבודה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לא על הסכומים שהרוויח המשיב בתקופה זו ולא כל נתון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קשיח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>אחר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לא ניתן להסתפק במסמכים מסוג זה כבסיס למסקנה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המשיב  היטה את מאזן ההסתברויות לטובתו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לכך מתווספת העובדה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חלק מהכספים הם במטבע זר מסוגים שונים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אם רצה המשיב להוכיח כי קיבל בדרך חוקית לידיו מטבע זר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צריך היה להביא ראשית ראייה בנושא זה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כמעט למותר לציין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שראשית ראייה שכזו לא הוצגה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הסניגור טען כי המשיב עבד מספר שנים בחו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ל בשנות ה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90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ספק בעינינו אם ניתן לקבל טענה כי משעות ה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90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ועד שנת </w:t>
      </w:r>
      <w:r>
        <w:rPr>
          <w:rFonts w:cs="Arial" w:ascii="Arial" w:hAnsi="Arial"/>
          <w:lang w:val="en-US" w:eastAsia="en-US"/>
        </w:rPr>
        <w:t>2011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החזיק המשיב 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בקירור</w:t>
      </w:r>
      <w:r>
        <w:rPr>
          <w:rFonts w:cs="Arial" w:ascii="Arial" w:hAnsi="Arial"/>
          <w:rtl w:val="true"/>
          <w:lang w:val="en-US" w:eastAsia="en-US"/>
        </w:rPr>
        <w:t xml:space="preserve">" </w:t>
      </w:r>
      <w:r>
        <w:rPr>
          <w:rFonts w:ascii="Arial" w:hAnsi="Arial" w:cs="Arial"/>
          <w:rtl w:val="true"/>
          <w:lang w:val="en-US" w:eastAsia="en-US"/>
        </w:rPr>
        <w:t>סכומי כסף שהרוויח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מכל מקום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גם בנושא זה לא הוצגה ולו ראשית ראייה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על דרך הקוריוז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נציין כי מטבע היורו עוד לא היה בבחינת הילך חוקי בשנות ה</w:t>
      </w:r>
      <w:r>
        <w:rPr>
          <w:rFonts w:cs="Arial" w:ascii="Arial" w:hAnsi="Arial"/>
          <w:rtl w:val="true"/>
          <w:lang w:val="en-US" w:eastAsia="en-US"/>
        </w:rPr>
        <w:t xml:space="preserve">- </w:t>
      </w:r>
      <w:r>
        <w:rPr>
          <w:rFonts w:cs="Arial" w:ascii="Arial" w:hAnsi="Arial"/>
          <w:lang w:val="en-US" w:eastAsia="en-US"/>
        </w:rPr>
        <w:t>90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מכל מקום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המשיב לא הוכיח מאום בהקשר זה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מטבע זר מתיישב יותר עם סחר בסמים מאשר עם פידיון חוקי שהגיע לידי המשיב כתוצאה מעבודתו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הסתפק באמירה כללית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ולפיה 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הוכח ברמה מספקת מקורו של עיקר הכסף שנתפס אצל הנאשם</w:t>
      </w:r>
      <w:r>
        <w:rPr>
          <w:rFonts w:cs="Arial" w:ascii="Arial" w:hAnsi="Arial"/>
          <w:b/>
          <w:bCs/>
          <w:rtl w:val="true"/>
          <w:lang w:val="en-US" w:eastAsia="en-US"/>
        </w:rPr>
        <w:t>"</w:t>
      </w:r>
      <w:r>
        <w:rPr>
          <w:rFonts w:cs="Arial" w:ascii="Arial" w:hAnsi="Arial"/>
          <w:rtl w:val="true"/>
          <w:lang w:val="en-US" w:eastAsia="en-US"/>
        </w:rPr>
        <w:t xml:space="preserve">.  </w:t>
      </w:r>
      <w:r>
        <w:rPr>
          <w:rFonts w:ascii="Arial" w:hAnsi="Arial" w:cs="Arial"/>
          <w:rtl w:val="true"/>
          <w:lang w:val="en-US" w:eastAsia="en-US"/>
        </w:rPr>
        <w:t>נראה לנו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אין די באמירה שכזו ונדרש פירוט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ולו מינימלי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מה הוכח וכיצד הוכח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מכל מקום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לשיטתנו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לא הוכח מאום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המשיב טרח וציין בפנינו את מצבו הכלכלי הקשה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ספק בעינינו אם מצב כלכלי קשה זה תומך בטענתו באשר לנסיבות קבלת והחזקת הכסף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בענין בן שטרית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שהוזכר כבר לעיל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קבע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כאמור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בית המשפט העליון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</w:t>
      </w:r>
      <w:r>
        <w:rPr>
          <w:rFonts w:ascii="Arial" w:hAnsi="Arial" w:cs="Arial"/>
          <w:u w:val="single"/>
          <w:rtl w:val="true"/>
          <w:lang w:val="en-US" w:eastAsia="en-US"/>
        </w:rPr>
        <w:t xml:space="preserve"> אין די בהטלת ספק</w:t>
      </w:r>
      <w:r>
        <w:rPr>
          <w:rFonts w:ascii="Arial" w:hAnsi="Arial" w:cs="Arial"/>
          <w:rtl w:val="true"/>
          <w:lang w:val="en-US" w:eastAsia="en-US"/>
        </w:rPr>
        <w:t xml:space="preserve"> באשר למקור הכסף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לענייננו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נראה לנו שאפילו ספק לא הוטל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שלא לדבר על הטיית מאזן הסתברויות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  <w:t>14</w:t>
      </w:r>
      <w:r>
        <w:rPr>
          <w:rFonts w:cs="Arial" w:ascii="Arial" w:hAnsi="Arial"/>
          <w:rtl w:val="true"/>
          <w:lang w:val="en-US" w:eastAsia="en-US"/>
        </w:rPr>
        <w:t>.</w:t>
        <w:tab/>
      </w:r>
      <w:r>
        <w:rPr>
          <w:rFonts w:ascii="Arial" w:hAnsi="Arial" w:cs="Arial"/>
          <w:rtl w:val="true"/>
          <w:lang w:val="en-US" w:eastAsia="en-US"/>
        </w:rPr>
        <w:t>התוצאה היא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כי אנו מקבלים את ערעור המדינה גם בנושא זה</w:t>
      </w:r>
      <w:r>
        <w:rPr>
          <w:rFonts w:cs="Arial" w:ascii="Arial" w:hAnsi="Arial"/>
          <w:rtl w:val="true"/>
          <w:lang w:val="en-US" w:eastAsia="en-US"/>
        </w:rPr>
        <w:t xml:space="preserve">. </w:t>
      </w:r>
      <w:r>
        <w:rPr>
          <w:rFonts w:ascii="Arial" w:hAnsi="Arial" w:cs="Arial"/>
          <w:rtl w:val="true"/>
          <w:lang w:val="en-US" w:eastAsia="en-US"/>
        </w:rPr>
        <w:t>אנו מורים על חילוטו של מלוא הסכום שנתפס במטבע זר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 xml:space="preserve">ולפנים משורת הדין אנו מורים על חילוט סכום של </w:t>
      </w:r>
      <w:r>
        <w:rPr>
          <w:rFonts w:cs="Arial" w:ascii="Arial" w:hAnsi="Arial"/>
          <w:lang w:val="en-US" w:eastAsia="en-US"/>
        </w:rPr>
        <w:t>150,000</w:t>
      </w:r>
      <w:r>
        <w:rPr>
          <w:rFonts w:cs="Arial" w:ascii="Arial" w:hAnsi="Arial"/>
          <w:rtl w:val="true"/>
          <w:lang w:val="en-US" w:eastAsia="en-US"/>
        </w:rPr>
        <w:t xml:space="preserve"> ₪ </w:t>
      </w:r>
      <w:r>
        <w:rPr>
          <w:rFonts w:ascii="Arial" w:hAnsi="Arial" w:cs="Arial"/>
          <w:rtl w:val="true"/>
          <w:lang w:val="en-US" w:eastAsia="en-US"/>
        </w:rPr>
        <w:t xml:space="preserve">מתוך המטבע הישראלי שנתפס </w:t>
      </w:r>
      <w:r>
        <w:rPr>
          <w:rFonts w:cs="Arial" w:ascii="Arial" w:hAnsi="Arial"/>
          <w:rtl w:val="true"/>
          <w:lang w:val="en-US" w:eastAsia="en-US"/>
        </w:rPr>
        <w:t>(</w:t>
      </w:r>
      <w:r>
        <w:rPr>
          <w:rFonts w:ascii="Arial" w:hAnsi="Arial" w:cs="Arial"/>
          <w:rtl w:val="true"/>
          <w:lang w:val="en-US" w:eastAsia="en-US"/>
        </w:rPr>
        <w:t xml:space="preserve">במקום </w:t>
      </w:r>
      <w:r>
        <w:rPr>
          <w:rFonts w:cs="Arial" w:ascii="Arial" w:hAnsi="Arial"/>
          <w:lang w:val="en-US" w:eastAsia="en-US"/>
        </w:rPr>
        <w:t>30,000</w:t>
      </w:r>
      <w:r>
        <w:rPr>
          <w:rFonts w:cs="Arial" w:ascii="Arial" w:hAnsi="Arial"/>
          <w:rtl w:val="true"/>
          <w:lang w:val="en-US" w:eastAsia="en-US"/>
        </w:rPr>
        <w:t xml:space="preserve"> ₪, </w:t>
      </w:r>
      <w:r>
        <w:rPr>
          <w:rFonts w:ascii="Arial" w:hAnsi="Arial" w:cs="Arial"/>
          <w:rtl w:val="true"/>
          <w:lang w:val="en-US" w:eastAsia="en-US"/>
        </w:rPr>
        <w:t>כפי שקבע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</w:t>
      </w:r>
      <w:r>
        <w:rPr>
          <w:rFonts w:cs="Arial" w:ascii="Arial" w:hAnsi="Arial"/>
          <w:rtl w:val="true"/>
          <w:lang w:val="en-US" w:eastAsia="en-US"/>
        </w:rPr>
        <w:t>).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  <w:tab/>
      </w:r>
      <w:r>
        <w:rPr>
          <w:rFonts w:ascii="Arial" w:hAnsi="Arial" w:cs="Arial"/>
          <w:rtl w:val="true"/>
          <w:lang w:val="en-US" w:eastAsia="en-US"/>
        </w:rPr>
        <w:t>יתר רכיבי גזר הדין של בית</w:t>
      </w:r>
      <w:r>
        <w:rPr>
          <w:rFonts w:cs="Arial" w:ascii="Arial" w:hAnsi="Arial"/>
          <w:rtl w:val="true"/>
          <w:lang w:val="en-US" w:eastAsia="en-US"/>
        </w:rPr>
        <w:t>-</w:t>
      </w:r>
      <w:r>
        <w:rPr>
          <w:rFonts w:ascii="Arial" w:hAnsi="Arial" w:cs="Arial"/>
          <w:rtl w:val="true"/>
          <w:lang w:val="en-US" w:eastAsia="en-US"/>
        </w:rPr>
        <w:t>משפט קמא ישארו בעינם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David"/>
        <w:ind w:end="0"/>
        <w:jc w:val="both"/>
        <w:rPr>
          <w:rFonts w:ascii="David" w:hAnsi="David" w:cs="David"/>
          <w:sz w:val="6"/>
          <w:szCs w:val="6"/>
        </w:rPr>
      </w:pPr>
      <w:r>
        <w:rPr>
          <w:rFonts w:cs="David" w:ascii="David" w:hAnsi="David"/>
          <w:sz w:val="6"/>
          <w:szCs w:val="6"/>
          <w:rtl w:val="true"/>
        </w:rPr>
        <w:t>&lt;</w:t>
      </w:r>
      <w:r>
        <w:rPr>
          <w:rFonts w:cs="David" w:ascii="David" w:hAnsi="David"/>
          <w:sz w:val="6"/>
          <w:szCs w:val="6"/>
        </w:rPr>
        <w:t>#4#</w:t>
      </w:r>
      <w:r>
        <w:rPr>
          <w:rFonts w:cs="David" w:ascii="David" w:hAnsi="David"/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start"/>
        <w:rPr>
          <w:rFonts w:ascii="David" w:hAnsi="David" w:cs="David"/>
          <w:b/>
          <w:bCs/>
          <w:sz w:val="28"/>
          <w:szCs w:val="28"/>
        </w:rPr>
      </w:pPr>
      <w:r>
        <w:rPr>
          <w:b/>
          <w:b/>
          <w:bCs/>
          <w:sz w:val="28"/>
          <w:sz w:val="28"/>
          <w:szCs w:val="28"/>
          <w:rtl w:val="true"/>
        </w:rPr>
        <w:t>ניתן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והודע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היום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</w:t>
      </w:r>
      <w:r>
        <w:rPr>
          <w:b/>
          <w:bCs/>
          <w:sz w:val="28"/>
          <w:szCs w:val="28"/>
          <w:rtl w:val="true"/>
        </w:rPr>
        <w:t xml:space="preserve">' </w:t>
      </w:r>
      <w:r>
        <w:rPr>
          <w:b/>
          <w:b/>
          <w:bCs/>
          <w:sz w:val="28"/>
          <w:sz w:val="28"/>
          <w:szCs w:val="28"/>
          <w:rtl w:val="true"/>
        </w:rPr>
        <w:t>שבט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תשע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ד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Cs/>
          <w:sz w:val="28"/>
          <w:szCs w:val="28"/>
        </w:rPr>
        <w:t>02/01/2014</w:t>
      </w:r>
      <w:r>
        <w:rPr>
          <w:b/>
          <w:bCs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במעמד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הצדדים</w:t>
      </w:r>
      <w:r>
        <w:rPr>
          <w:b/>
          <w:bCs/>
          <w:sz w:val="28"/>
          <w:szCs w:val="28"/>
          <w:rtl w:val="true"/>
        </w:rPr>
        <w:t xml:space="preserve">. </w:t>
      </w:r>
    </w:p>
    <w:p>
      <w:pPr>
        <w:pStyle w:val="Normal"/>
        <w:spacing w:lineRule="auto" w:line="360"/>
        <w:ind w:end="0"/>
        <w:jc w:val="start"/>
        <w:rPr>
          <w:rFonts w:ascii="David" w:hAnsi="David" w:cs="David"/>
          <w:b/>
          <w:bCs/>
          <w:sz w:val="28"/>
          <w:szCs w:val="28"/>
        </w:rPr>
      </w:pPr>
      <w:r>
        <w:rPr>
          <w:rFonts w:cs="David" w:ascii="David" w:hAnsi="David"/>
          <w:b/>
          <w:bCs/>
          <w:sz w:val="28"/>
          <w:szCs w:val="28"/>
          <w:rtl w:val="true"/>
        </w:rPr>
      </w:r>
    </w:p>
    <w:tbl>
      <w:tblPr>
        <w:bidiVisual w:val="true"/>
        <w:tblW w:w="859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66"/>
        <w:gridCol w:w="239"/>
        <w:gridCol w:w="2294"/>
        <w:gridCol w:w="302"/>
        <w:gridCol w:w="2796"/>
      </w:tblGrid>
      <w:tr>
        <w:trPr>
          <w:trHeight w:val="580" w:hRule="atLeast"/>
        </w:trPr>
        <w:tc>
          <w:tcPr>
            <w:tcW w:w="296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דבורה ברלינר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נשיאה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אב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ד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29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ג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>'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ורג קרא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ס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נ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02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79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מרים סוקולוב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שופטת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color w:val="000000"/>
        </w:rPr>
      </w:pPr>
      <w:r>
        <w:rPr>
          <w:rFonts w:cs="Times New Roman"/>
          <w:rtl w:val="true"/>
        </w:rPr>
        <w:t xml:space="preserve">  </w:t>
      </w:r>
    </w:p>
    <w:p>
      <w:pPr>
        <w:pStyle w:val="Normal"/>
        <w:bidi w:val="0"/>
        <w:spacing w:lineRule="auto" w:line="360"/>
        <w:jc w:val="center"/>
        <w:rPr>
          <w:b/>
          <w:bCs/>
          <w:color w:val="000000"/>
          <w:sz w:val="28"/>
          <w:szCs w:val="28"/>
          <w:u w:val="single"/>
        </w:rPr>
      </w:pPr>
      <w:r>
        <w:rPr>
          <w:b/>
          <w:b/>
          <w:bCs/>
          <w:color w:val="000000"/>
          <w:sz w:val="28"/>
          <w:sz w:val="28"/>
          <w:szCs w:val="28"/>
          <w:u w:val="single"/>
          <w:rtl w:val="true"/>
        </w:rPr>
        <w:t>ה</w:t>
      </w:r>
      <w:r>
        <w:rPr>
          <w:rFonts w:cs="Times New Roman"/>
          <w:b/>
          <w:b/>
          <w:bCs/>
          <w:color w:val="000000"/>
          <w:sz w:val="28"/>
          <w:sz w:val="28"/>
          <w:szCs w:val="28"/>
          <w:u w:val="single"/>
          <w:rtl w:val="true"/>
        </w:rPr>
        <w:t xml:space="preserve"> </w:t>
      </w:r>
      <w:r>
        <w:rPr>
          <w:b/>
          <w:b/>
          <w:bCs/>
          <w:color w:val="000000"/>
          <w:sz w:val="28"/>
          <w:sz w:val="28"/>
          <w:szCs w:val="28"/>
          <w:u w:val="single"/>
          <w:rtl w:val="true"/>
        </w:rPr>
        <w:t>ח</w:t>
      </w:r>
      <w:r>
        <w:rPr>
          <w:rFonts w:cs="Times New Roman"/>
          <w:b/>
          <w:b/>
          <w:bCs/>
          <w:color w:val="000000"/>
          <w:sz w:val="28"/>
          <w:sz w:val="28"/>
          <w:szCs w:val="28"/>
          <w:u w:val="single"/>
          <w:rtl w:val="true"/>
        </w:rPr>
        <w:t xml:space="preserve"> </w:t>
      </w:r>
      <w:r>
        <w:rPr>
          <w:b/>
          <w:b/>
          <w:bCs/>
          <w:color w:val="000000"/>
          <w:sz w:val="28"/>
          <w:sz w:val="28"/>
          <w:szCs w:val="28"/>
          <w:u w:val="single"/>
          <w:rtl w:val="true"/>
        </w:rPr>
        <w:t>ל</w:t>
      </w:r>
      <w:r>
        <w:rPr>
          <w:rFonts w:cs="Times New Roman"/>
          <w:b/>
          <w:b/>
          <w:bCs/>
          <w:color w:val="000000"/>
          <w:sz w:val="28"/>
          <w:sz w:val="28"/>
          <w:szCs w:val="28"/>
          <w:u w:val="single"/>
          <w:rtl w:val="true"/>
        </w:rPr>
        <w:t xml:space="preserve"> </w:t>
      </w:r>
      <w:r>
        <w:rPr>
          <w:b/>
          <w:b/>
          <w:bCs/>
          <w:color w:val="000000"/>
          <w:sz w:val="28"/>
          <w:sz w:val="28"/>
          <w:szCs w:val="28"/>
          <w:u w:val="single"/>
          <w:rtl w:val="true"/>
        </w:rPr>
        <w:t>ט</w:t>
      </w:r>
      <w:r>
        <w:rPr>
          <w:rFonts w:cs="Times New Roman"/>
          <w:b/>
          <w:b/>
          <w:bCs/>
          <w:color w:val="000000"/>
          <w:sz w:val="28"/>
          <w:sz w:val="28"/>
          <w:szCs w:val="28"/>
          <w:u w:val="single"/>
          <w:rtl w:val="true"/>
        </w:rPr>
        <w:t xml:space="preserve"> </w:t>
      </w:r>
      <w:r>
        <w:rPr>
          <w:b/>
          <w:b/>
          <w:bCs/>
          <w:color w:val="000000"/>
          <w:sz w:val="28"/>
          <w:sz w:val="28"/>
          <w:szCs w:val="28"/>
          <w:u w:val="single"/>
          <w:rtl w:val="true"/>
        </w:rPr>
        <w:t>ה</w:t>
      </w:r>
    </w:p>
    <w:p>
      <w:pPr>
        <w:pStyle w:val="Normal"/>
        <w:spacing w:lineRule="auto" w:line="360"/>
        <w:ind w:end="0"/>
        <w:jc w:val="both"/>
        <w:rPr>
          <w:color w:val="000000"/>
        </w:rPr>
      </w:pPr>
      <w:r>
        <w:rPr>
          <w:rFonts w:cs="Times New Roman"/>
          <w:b/>
          <w:bCs/>
          <w:color w:val="000000"/>
          <w:rtl w:val="true"/>
        </w:rPr>
        <w:t xml:space="preserve"> </w:t>
      </w:r>
      <w:r>
        <w:rPr>
          <w:color w:val="000000"/>
          <w:rtl w:val="true"/>
        </w:rPr>
        <w:tab/>
      </w:r>
    </w:p>
    <w:p>
      <w:pPr>
        <w:pStyle w:val="Normal"/>
        <w:spacing w:lineRule="auto" w:line="360"/>
        <w:ind w:hanging="720" w:start="720" w:end="0"/>
        <w:jc w:val="both"/>
        <w:rPr>
          <w:color w:val="000000"/>
        </w:rPr>
      </w:pPr>
      <w:r>
        <w:rPr>
          <w:color w:val="000000"/>
          <w:rtl w:val="true"/>
        </w:rPr>
        <w:t>א</w:t>
      </w:r>
      <w:r>
        <w:rPr>
          <w:color w:val="000000"/>
          <w:rtl w:val="true"/>
        </w:rPr>
        <w:t>.</w:t>
        <w:tab/>
      </w:r>
      <w:r>
        <w:rPr>
          <w:color w:val="000000"/>
          <w:rtl w:val="true"/>
        </w:rPr>
        <w:t>המשיב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יתייצב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למאסרו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בבית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מעצר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ניצן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ביום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</w:rPr>
        <w:t>2.2.14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>עד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השעה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</w:rPr>
        <w:t>12:00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>או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על</w:t>
      </w:r>
      <w:r>
        <w:rPr>
          <w:color w:val="000000"/>
          <w:rtl w:val="true"/>
        </w:rPr>
        <w:t>-</w:t>
      </w:r>
      <w:r>
        <w:rPr>
          <w:color w:val="000000"/>
          <w:rtl w:val="true"/>
        </w:rPr>
        <w:t>פי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החלטת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שב</w:t>
      </w:r>
      <w:r>
        <w:rPr>
          <w:color w:val="000000"/>
          <w:rtl w:val="true"/>
        </w:rPr>
        <w:t>"</w:t>
      </w:r>
      <w:r>
        <w:rPr>
          <w:color w:val="000000"/>
          <w:rtl w:val="true"/>
        </w:rPr>
        <w:t>ס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כשברשותו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תעודת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זהות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או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דרכון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ועותק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מפסק</w:t>
      </w:r>
      <w:r>
        <w:rPr>
          <w:color w:val="000000"/>
          <w:rtl w:val="true"/>
        </w:rPr>
        <w:t>-</w:t>
      </w:r>
      <w:r>
        <w:rPr>
          <w:color w:val="000000"/>
          <w:rtl w:val="true"/>
        </w:rPr>
        <w:t>דין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color w:val="000000"/>
          <w:rtl w:val="true"/>
        </w:rPr>
        <w:t>.</w:t>
      </w:r>
      <w:r>
        <w:rPr>
          <w:color w:val="000000"/>
          <w:rtl w:val="true"/>
        </w:rPr>
        <w:t xml:space="preserve"> </w:t>
      </w:r>
    </w:p>
    <w:p>
      <w:pPr>
        <w:pStyle w:val="Normal"/>
        <w:spacing w:lineRule="auto" w:line="360"/>
        <w:ind w:hanging="720" w:start="720" w:end="0"/>
        <w:jc w:val="both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color w:val="000000"/>
        </w:rPr>
      </w:pPr>
      <w:r>
        <w:rPr>
          <w:color w:val="000000"/>
          <w:rtl w:val="true"/>
        </w:rPr>
        <w:t>ב</w:t>
      </w:r>
      <w:r>
        <w:rPr>
          <w:color w:val="000000"/>
          <w:rtl w:val="true"/>
        </w:rPr>
        <w:t>.</w:t>
        <w:tab/>
      </w:r>
      <w:r>
        <w:rPr>
          <w:color w:val="000000"/>
          <w:rtl w:val="true"/>
        </w:rPr>
        <w:t>מתוך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תקופת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המאסר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ינוכו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ימי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המעצר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בהתאם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לתאריכים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שנקב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הסניגור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דהיינו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הימים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שבין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</w:rPr>
        <w:t>25.10.11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>ועד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</w:rPr>
        <w:t>19.1.12</w:t>
      </w:r>
      <w:r>
        <w:rPr>
          <w:color w:val="000000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color w:val="000000"/>
        </w:rPr>
      </w:pPr>
      <w:r>
        <w:rPr>
          <w:color w:val="000000"/>
          <w:rtl w:val="true"/>
        </w:rPr>
        <w:t>ג</w:t>
      </w:r>
      <w:r>
        <w:rPr>
          <w:color w:val="000000"/>
          <w:rtl w:val="true"/>
        </w:rPr>
        <w:t>.</w:t>
        <w:tab/>
      </w:r>
      <w:r>
        <w:rPr>
          <w:color w:val="000000"/>
          <w:rtl w:val="true"/>
        </w:rPr>
        <w:t>על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הנדון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לתאם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את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הכניסה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למאסר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כולל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האפשרות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למיון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מוקדם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עם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ענף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אבחון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ומיון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של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שב</w:t>
      </w:r>
      <w:r>
        <w:rPr>
          <w:color w:val="000000"/>
          <w:rtl w:val="true"/>
        </w:rPr>
        <w:t>"</w:t>
      </w:r>
      <w:r>
        <w:rPr>
          <w:color w:val="000000"/>
          <w:rtl w:val="true"/>
        </w:rPr>
        <w:t>ס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טל</w:t>
      </w:r>
      <w:r>
        <w:rPr>
          <w:color w:val="000000"/>
          <w:rtl w:val="true"/>
        </w:rPr>
        <w:t xml:space="preserve">': </w:t>
      </w:r>
      <w:r>
        <w:rPr>
          <w:color w:val="000000"/>
        </w:rPr>
        <w:t>08-9787377</w:t>
      </w:r>
      <w:r>
        <w:rPr>
          <w:color w:val="000000"/>
          <w:rtl w:val="true"/>
        </w:rPr>
        <w:t xml:space="preserve">; </w:t>
      </w:r>
      <w:r>
        <w:rPr>
          <w:color w:val="000000"/>
        </w:rPr>
        <w:t>08-9787336</w:t>
      </w:r>
      <w:r>
        <w:rPr>
          <w:color w:val="000000"/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spacing w:lineRule="auto" w:line="360"/>
        <w:ind w:end="0"/>
        <w:jc w:val="both"/>
        <w:rPr>
          <w:color w:val="000000"/>
        </w:rPr>
      </w:pPr>
      <w:r>
        <w:rPr>
          <w:color w:val="000000"/>
          <w:rtl w:val="true"/>
        </w:rPr>
        <w:t>ד</w:t>
      </w:r>
      <w:r>
        <w:rPr>
          <w:color w:val="000000"/>
          <w:rtl w:val="true"/>
        </w:rPr>
        <w:t>.</w:t>
        <w:tab/>
      </w:r>
      <w:r>
        <w:rPr>
          <w:color w:val="000000"/>
          <w:rtl w:val="true"/>
        </w:rPr>
        <w:t>הערבויות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שהופקדו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בתיק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ישמשו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להבטחת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התייצבותו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לריצוי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המאסר</w:t>
      </w:r>
      <w:r>
        <w:rPr>
          <w:color w:val="000000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spacing w:lineRule="auto" w:line="360"/>
        <w:ind w:end="0"/>
        <w:jc w:val="both"/>
        <w:rPr>
          <w:color w:val="000000"/>
        </w:rPr>
      </w:pPr>
      <w:r>
        <w:rPr>
          <w:color w:val="000000"/>
          <w:rtl w:val="true"/>
        </w:rPr>
        <w:t>ה</w:t>
      </w:r>
      <w:r>
        <w:rPr>
          <w:color w:val="000000"/>
          <w:rtl w:val="true"/>
        </w:rPr>
        <w:t>.</w:t>
        <w:tab/>
      </w:r>
      <w:r>
        <w:rPr>
          <w:color w:val="000000"/>
          <w:rtl w:val="true"/>
        </w:rPr>
        <w:t>ניתן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צו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עיכוב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יציאה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מהארץ</w:t>
      </w:r>
      <w:r>
        <w:rPr>
          <w:color w:val="000000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color w:val="000000"/>
          <w:sz w:val="22"/>
          <w:szCs w:val="22"/>
          <w:lang w:val="en-US" w:eastAsia="en-US"/>
        </w:rPr>
      </w:pPr>
      <w:r>
        <w:rPr>
          <w:rFonts w:cs="Arial" w:ascii="Arial" w:hAnsi="Arial"/>
          <w:color w:val="000000"/>
          <w:sz w:val="22"/>
          <w:szCs w:val="22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z w:val="22"/>
          <w:szCs w:val="22"/>
          <w:lang w:val="en-US" w:eastAsia="en-US"/>
        </w:rPr>
      </w:pPr>
      <w:r>
        <w:rPr>
          <w:b/>
          <w:b/>
          <w:bCs/>
          <w:sz w:val="28"/>
          <w:sz w:val="28"/>
          <w:szCs w:val="28"/>
          <w:rtl w:val="true"/>
        </w:rPr>
        <w:t>ניתנה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והודעה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היום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א</w:t>
      </w:r>
      <w:r>
        <w:rPr>
          <w:b/>
          <w:bCs/>
          <w:sz w:val="28"/>
          <w:szCs w:val="28"/>
          <w:rtl w:val="true"/>
        </w:rPr>
        <w:t xml:space="preserve">' </w:t>
      </w:r>
      <w:r>
        <w:rPr>
          <w:b/>
          <w:b/>
          <w:bCs/>
          <w:sz w:val="28"/>
          <w:sz w:val="28"/>
          <w:szCs w:val="28"/>
          <w:rtl w:val="true"/>
        </w:rPr>
        <w:t>שבט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תשע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ד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Cs/>
          <w:sz w:val="28"/>
          <w:szCs w:val="28"/>
        </w:rPr>
        <w:t>02/01/2014</w:t>
      </w:r>
      <w:r>
        <w:rPr>
          <w:b/>
          <w:bCs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במעמד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הצדדים</w:t>
      </w:r>
      <w:r>
        <w:rPr>
          <w:b/>
          <w:bCs/>
          <w:sz w:val="28"/>
          <w:szCs w:val="28"/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z w:val="22"/>
          <w:szCs w:val="22"/>
          <w:lang w:val="en-US" w:eastAsia="en-US"/>
        </w:rPr>
      </w:pPr>
      <w:r>
        <w:rPr>
          <w:rFonts w:cs="Arial" w:ascii="Arial" w:hAnsi="Arial"/>
          <w:sz w:val="22"/>
          <w:szCs w:val="22"/>
          <w:rtl w:val="true"/>
          <w:lang w:val="en-US" w:eastAsia="en-US"/>
        </w:rPr>
      </w:r>
    </w:p>
    <w:tbl>
      <w:tblPr>
        <w:bidiVisual w:val="true"/>
        <w:tblW w:w="859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66"/>
        <w:gridCol w:w="239"/>
        <w:gridCol w:w="2294"/>
        <w:gridCol w:w="302"/>
        <w:gridCol w:w="2796"/>
      </w:tblGrid>
      <w:tr>
        <w:trPr>
          <w:trHeight w:val="580" w:hRule="atLeast"/>
        </w:trPr>
        <w:tc>
          <w:tcPr>
            <w:tcW w:w="296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דבורה ברלינר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נשיאה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אב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ד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29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ג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>'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ורג קרא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ס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נ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02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79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מרים סוקולוב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שופטת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5129371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54678313</w:t>
      </w: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  <w:tab/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lang w:val="en-US" w:eastAsia="en-US"/>
        </w:rPr>
      </w:pPr>
      <w:r>
        <w:rPr>
          <w:rFonts w:cs="David" w:ascii="David" w:hAnsi="David"/>
          <w:color w:val="000000"/>
          <w:sz w:val="22"/>
          <w:szCs w:val="22"/>
          <w:rtl w:val="true"/>
          <w:lang w:val="en-US" w:eastAsia="en-US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>ג</w:t>
      </w:r>
      <w:r>
        <w:rPr>
          <w:rFonts w:cs="David" w:ascii="David" w:hAnsi="David"/>
          <w:color w:val="000000"/>
          <w:sz w:val="22"/>
          <w:szCs w:val="22"/>
          <w:rtl w:val="true"/>
        </w:rPr>
        <w:t>'</w:t>
      </w:r>
      <w:r>
        <w:rPr>
          <w:rFonts w:ascii="David" w:hAnsi="David"/>
          <w:color w:val="000000"/>
          <w:sz w:val="22"/>
          <w:sz w:val="22"/>
          <w:szCs w:val="22"/>
          <w:rtl w:val="true"/>
        </w:rPr>
        <w:t>ורג</w:t>
      </w:r>
      <w:r>
        <w:rPr>
          <w:rFonts w:cs="David" w:ascii="David" w:hAnsi="David"/>
          <w:color w:val="000000"/>
          <w:sz w:val="22"/>
          <w:szCs w:val="22"/>
          <w:rtl w:val="true"/>
        </w:rPr>
        <w:t xml:space="preserve">' </w:t>
      </w: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קרא </w:t>
      </w:r>
      <w:r>
        <w:rPr>
          <w:rFonts w:cs="David" w:ascii="David" w:hAnsi="David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18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19"/>
      <w:footerReference w:type="default" r:id="rId20"/>
      <w:type w:val="nextPage"/>
      <w:pgSz w:w="11906" w:h="16838"/>
      <w:pgMar w:left="1701" w:right="1701" w:gutter="0" w:header="720" w:top="1701" w:footer="737" w:bottom="1134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10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ת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א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28219-11-13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שמעון הבר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character" w:styleId="WW8Num1z0">
    <w:name w:val="WW8Num1z0"/>
    <w:qFormat/>
    <w:rPr>
      <w:rFonts w:ascii="Times New Roman" w:hAnsi="Times New Roman" w:eastAsia="Times New Roman" w:cs="David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LineNumber">
    <w:name w:val="lin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jc w:val="both"/>
    </w:pPr>
    <w:rPr/>
  </w:style>
  <w:style w:type="paragraph" w:styleId="Style14">
    <w:name w:val="פיסקת רשימה"/>
    <w:basedOn w:val="Normal"/>
    <w:qFormat/>
    <w:pPr>
      <w:spacing w:before="0" w:after="0"/>
      <w:ind w:hanging="0" w:start="720" w:end="0"/>
      <w:contextualSpacing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4216" TargetMode="External"/><Relationship Id="rId3" Type="http://schemas.openxmlformats.org/officeDocument/2006/relationships/hyperlink" Target="http://www.nevo.co.il/law/4216/7.a" TargetMode="External"/><Relationship Id="rId4" Type="http://schemas.openxmlformats.org/officeDocument/2006/relationships/hyperlink" Target="http://www.nevo.co.il/law/4216/7.c" TargetMode="External"/><Relationship Id="rId5" Type="http://schemas.openxmlformats.org/officeDocument/2006/relationships/hyperlink" Target="http://www.nevo.co.il/law/4216/10" TargetMode="External"/><Relationship Id="rId6" Type="http://schemas.openxmlformats.org/officeDocument/2006/relationships/hyperlink" Target="http://www.nevo.co.il/law/70301" TargetMode="External"/><Relationship Id="rId7" Type="http://schemas.openxmlformats.org/officeDocument/2006/relationships/hyperlink" Target="http://www.nevo.co.il/law/70301/40d" TargetMode="External"/><Relationship Id="rId8" Type="http://schemas.openxmlformats.org/officeDocument/2006/relationships/hyperlink" Target="http://www.nevo.co.il/law/4216/7.a" TargetMode="External"/><Relationship Id="rId9" Type="http://schemas.openxmlformats.org/officeDocument/2006/relationships/hyperlink" Target="http://www.nevo.co.il/law/4216/7.c" TargetMode="External"/><Relationship Id="rId10" Type="http://schemas.openxmlformats.org/officeDocument/2006/relationships/hyperlink" Target="http://www.nevo.co.il/law/4216" TargetMode="External"/><Relationship Id="rId11" Type="http://schemas.openxmlformats.org/officeDocument/2006/relationships/hyperlink" Target="http://www.nevo.co.il/law/4216/10" TargetMode="External"/><Relationship Id="rId12" Type="http://schemas.openxmlformats.org/officeDocument/2006/relationships/hyperlink" Target="http://www.nevo.co.il/links/psika/?link=&#1506;&#1508;%20332/87" TargetMode="External"/><Relationship Id="rId13" Type="http://schemas.openxmlformats.org/officeDocument/2006/relationships/hyperlink" Target="http://www.nevo.co.il/links/psika/?link=&#1506;&#1508;%20170/07" TargetMode="External"/><Relationship Id="rId14" Type="http://schemas.openxmlformats.org/officeDocument/2006/relationships/hyperlink" Target="http://www.nevo.co.il/links/psika/?link=&#1506;&#1508;%207598/95" TargetMode="External"/><Relationship Id="rId15" Type="http://schemas.openxmlformats.org/officeDocument/2006/relationships/hyperlink" Target="http://www.nevo.co.il/links/psika/?link=&#1506;&#1508;%2070776/99" TargetMode="External"/><Relationship Id="rId16" Type="http://schemas.openxmlformats.org/officeDocument/2006/relationships/hyperlink" Target="http://www.nevo.co.il/law/70301/40d" TargetMode="External"/><Relationship Id="rId17" Type="http://schemas.openxmlformats.org/officeDocument/2006/relationships/hyperlink" Target="http://www.nevo.co.il/law/70301" TargetMode="External"/><Relationship Id="rId18" Type="http://schemas.openxmlformats.org/officeDocument/2006/relationships/hyperlink" Target="http://www.nevo.co.il/advertisements/nevo-100.doc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5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2014-02-12T11:01:00Z</dcterms:created>
  <dc:creator> </dc:creator>
  <dc:description/>
  <cp:keywords/>
  <dc:language>en-IL</dc:language>
  <cp:lastModifiedBy>orly</cp:lastModifiedBy>
  <dcterms:modified xsi:type="dcterms:W3CDTF">2014-02-12T11:20:00Z</dcterms:modified>
  <cp:revision>3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שמעון הבר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ITY">
    <vt:lpwstr>ת"א</vt:lpwstr>
  </property>
  <property fmtid="{D5CDD505-2E9C-101B-9397-08002B2CF9AE}" pid="9" name="DATE">
    <vt:lpwstr>20140102</vt:lpwstr>
  </property>
  <property fmtid="{D5CDD505-2E9C-101B-9397-08002B2CF9AE}" pid="10" name="DELEMATA">
    <vt:lpwstr/>
  </property>
  <property fmtid="{D5CDD505-2E9C-101B-9397-08002B2CF9AE}" pid="11" name="ISABSTRACT">
    <vt:lpwstr>Y</vt:lpwstr>
  </property>
  <property fmtid="{D5CDD505-2E9C-101B-9397-08002B2CF9AE}" pid="12" name="JUDGE">
    <vt:lpwstr>ג'ורג' קרא;מרים סוקולוב;דבורה ברלינר</vt:lpwstr>
  </property>
  <property fmtid="{D5CDD505-2E9C-101B-9397-08002B2CF9AE}" pid="13" name="LAWLISTTMP1">
    <vt:lpwstr>4216/007.a;007.c;010</vt:lpwstr>
  </property>
  <property fmtid="{D5CDD505-2E9C-101B-9397-08002B2CF9AE}" pid="14" name="LAWLISTTMP2">
    <vt:lpwstr>70301/040d</vt:lpwstr>
  </property>
  <property fmtid="{D5CDD505-2E9C-101B-9397-08002B2CF9AE}" pid="15" name="LAWYER">
    <vt:lpwstr>זאב אלוני;רות שביט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METAKZER">
    <vt:lpwstr>מיכל</vt:lpwstr>
  </property>
  <property fmtid="{D5CDD505-2E9C-101B-9397-08002B2CF9AE}" pid="22" name="NEWPARTA">
    <vt:lpwstr>28219</vt:lpwstr>
  </property>
  <property fmtid="{D5CDD505-2E9C-101B-9397-08002B2CF9AE}" pid="23" name="NEWPARTB">
    <vt:lpwstr>11</vt:lpwstr>
  </property>
  <property fmtid="{D5CDD505-2E9C-101B-9397-08002B2CF9AE}" pid="24" name="NEWPARTC">
    <vt:lpwstr>13</vt:lpwstr>
  </property>
  <property fmtid="{D5CDD505-2E9C-101B-9397-08002B2CF9AE}" pid="25" name="NEWPROC">
    <vt:lpwstr>עפג</vt:lpwstr>
  </property>
  <property fmtid="{D5CDD505-2E9C-101B-9397-08002B2CF9AE}" pid="26" name="NOSE11">
    <vt:lpwstr>עונשין</vt:lpwstr>
  </property>
  <property fmtid="{D5CDD505-2E9C-101B-9397-08002B2CF9AE}" pid="27" name="NOSE110">
    <vt:lpwstr/>
  </property>
  <property fmtid="{D5CDD505-2E9C-101B-9397-08002B2CF9AE}" pid="28" name="NOSE12">
    <vt:lpwstr>עונשין</vt:lpwstr>
  </property>
  <property fmtid="{D5CDD505-2E9C-101B-9397-08002B2CF9AE}" pid="29" name="NOSE13">
    <vt:lpwstr>עונשין</vt:lpwstr>
  </property>
  <property fmtid="{D5CDD505-2E9C-101B-9397-08002B2CF9AE}" pid="30" name="NOSE14">
    <vt:lpwstr>עונשין</vt:lpwstr>
  </property>
  <property fmtid="{D5CDD505-2E9C-101B-9397-08002B2CF9AE}" pid="31" name="NOSE15">
    <vt:lpwstr/>
  </property>
  <property fmtid="{D5CDD505-2E9C-101B-9397-08002B2CF9AE}" pid="32" name="NOSE16">
    <vt:lpwstr/>
  </property>
  <property fmtid="{D5CDD505-2E9C-101B-9397-08002B2CF9AE}" pid="33" name="NOSE17">
    <vt:lpwstr/>
  </property>
  <property fmtid="{D5CDD505-2E9C-101B-9397-08002B2CF9AE}" pid="34" name="NOSE18">
    <vt:lpwstr/>
  </property>
  <property fmtid="{D5CDD505-2E9C-101B-9397-08002B2CF9AE}" pid="35" name="NOSE19">
    <vt:lpwstr/>
  </property>
  <property fmtid="{D5CDD505-2E9C-101B-9397-08002B2CF9AE}" pid="36" name="NOSE1ID">
    <vt:lpwstr>77;77;77;77</vt:lpwstr>
  </property>
  <property fmtid="{D5CDD505-2E9C-101B-9397-08002B2CF9AE}" pid="37" name="NOSE21">
    <vt:lpwstr>ערעור</vt:lpwstr>
  </property>
  <property fmtid="{D5CDD505-2E9C-101B-9397-08002B2CF9AE}" pid="38" name="NOSE210">
    <vt:lpwstr/>
  </property>
  <property fmtid="{D5CDD505-2E9C-101B-9397-08002B2CF9AE}" pid="39" name="NOSE22">
    <vt:lpwstr>ענישה</vt:lpwstr>
  </property>
  <property fmtid="{D5CDD505-2E9C-101B-9397-08002B2CF9AE}" pid="40" name="NOSE23">
    <vt:lpwstr>ענישה</vt:lpwstr>
  </property>
  <property fmtid="{D5CDD505-2E9C-101B-9397-08002B2CF9AE}" pid="41" name="NOSE24">
    <vt:lpwstr>ענישה</vt:lpwstr>
  </property>
  <property fmtid="{D5CDD505-2E9C-101B-9397-08002B2CF9AE}" pid="42" name="NOSE25">
    <vt:lpwstr/>
  </property>
  <property fmtid="{D5CDD505-2E9C-101B-9397-08002B2CF9AE}" pid="43" name="NOSE26">
    <vt:lpwstr/>
  </property>
  <property fmtid="{D5CDD505-2E9C-101B-9397-08002B2CF9AE}" pid="44" name="NOSE27">
    <vt:lpwstr/>
  </property>
  <property fmtid="{D5CDD505-2E9C-101B-9397-08002B2CF9AE}" pid="45" name="NOSE28">
    <vt:lpwstr/>
  </property>
  <property fmtid="{D5CDD505-2E9C-101B-9397-08002B2CF9AE}" pid="46" name="NOSE29">
    <vt:lpwstr/>
  </property>
  <property fmtid="{D5CDD505-2E9C-101B-9397-08002B2CF9AE}" pid="47" name="NOSE2ID">
    <vt:lpwstr>15235;1446;1446;1446</vt:lpwstr>
  </property>
  <property fmtid="{D5CDD505-2E9C-101B-9397-08002B2CF9AE}" pid="48" name="NOSE31">
    <vt:lpwstr>התערבות במידת העונש</vt:lpwstr>
  </property>
  <property fmtid="{D5CDD505-2E9C-101B-9397-08002B2CF9AE}" pid="49" name="NOSE310">
    <vt:lpwstr/>
  </property>
  <property fmtid="{D5CDD505-2E9C-101B-9397-08002B2CF9AE}" pid="50" name="NOSE32">
    <vt:lpwstr>עקרון ההלימה‏</vt:lpwstr>
  </property>
  <property fmtid="{D5CDD505-2E9C-101B-9397-08002B2CF9AE}" pid="51" name="NOSE33">
    <vt:lpwstr>מדיניות ענישה: שיקום</vt:lpwstr>
  </property>
  <property fmtid="{D5CDD505-2E9C-101B-9397-08002B2CF9AE}" pid="52" name="NOSE34">
    <vt:lpwstr>דרכי ענישה: חילוט</vt:lpwstr>
  </property>
  <property fmtid="{D5CDD505-2E9C-101B-9397-08002B2CF9AE}" pid="53" name="NOSE35">
    <vt:lpwstr/>
  </property>
  <property fmtid="{D5CDD505-2E9C-101B-9397-08002B2CF9AE}" pid="54" name="NOSE36">
    <vt:lpwstr/>
  </property>
  <property fmtid="{D5CDD505-2E9C-101B-9397-08002B2CF9AE}" pid="55" name="NOSE37">
    <vt:lpwstr/>
  </property>
  <property fmtid="{D5CDD505-2E9C-101B-9397-08002B2CF9AE}" pid="56" name="NOSE38">
    <vt:lpwstr/>
  </property>
  <property fmtid="{D5CDD505-2E9C-101B-9397-08002B2CF9AE}" pid="57" name="NOSE39">
    <vt:lpwstr/>
  </property>
  <property fmtid="{D5CDD505-2E9C-101B-9397-08002B2CF9AE}" pid="58" name="NOSE3ID">
    <vt:lpwstr>15236;14799;14346;8957</vt:lpwstr>
  </property>
  <property fmtid="{D5CDD505-2E9C-101B-9397-08002B2CF9AE}" pid="59" name="PADIDATE">
    <vt:lpwstr>20140212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/>
  </property>
  <property fmtid="{D5CDD505-2E9C-101B-9397-08002B2CF9AE}" pid="64" name="PROCNUM">
    <vt:lpwstr/>
  </property>
  <property fmtid="{D5CDD505-2E9C-101B-9397-08002B2CF9AE}" pid="65" name="PROCYEAR">
    <vt:lpwstr/>
  </property>
  <property fmtid="{D5CDD505-2E9C-101B-9397-08002B2CF9AE}" pid="66" name="PSAKDIN">
    <vt:lpwstr>פסק-דין</vt:lpwstr>
  </property>
  <property fmtid="{D5CDD505-2E9C-101B-9397-08002B2CF9AE}" pid="67" name="TYPE">
    <vt:lpwstr>2</vt:lpwstr>
  </property>
  <property fmtid="{D5CDD505-2E9C-101B-9397-08002B2CF9AE}" pid="68" name="TYPE_ABS_DATE">
    <vt:lpwstr>390120140102</vt:lpwstr>
  </property>
  <property fmtid="{D5CDD505-2E9C-101B-9397-08002B2CF9AE}" pid="69" name="TYPE_N_DATE">
    <vt:lpwstr>39020140102</vt:lpwstr>
  </property>
  <property fmtid="{D5CDD505-2E9C-101B-9397-08002B2CF9AE}" pid="70" name="VOLUME">
    <vt:lpwstr/>
  </property>
  <property fmtid="{D5CDD505-2E9C-101B-9397-08002B2CF9AE}" pid="71" name="WORDNUMPAGES">
    <vt:lpwstr>8</vt:lpwstr>
  </property>
</Properties>
</file>