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Arial" w:hAnsi="Arial" w:cs="Arial"/>
                <w:color w:val="000080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בבאר שבע</w:t>
            </w:r>
          </w:p>
          <w:p>
            <w:pPr>
              <w:pStyle w:val="Header"/>
              <w:ind w:end="0"/>
              <w:jc w:val="center"/>
              <w:rPr>
                <w:rFonts w:ascii="Arial" w:hAnsi="Arial" w:cs="Arial"/>
                <w:color w:val="000080"/>
                <w:lang w:val="en-US" w:eastAsia="en-US"/>
              </w:rPr>
            </w:pPr>
            <w:r>
              <w:rPr>
                <w:rFonts w:cs="Arial" w:ascii="Arial" w:hAnsi="Arial"/>
                <w:color w:val="000080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בפני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: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ס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הנשיא השופטת ר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יפה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-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ץ</w:t>
            </w:r>
          </w:p>
          <w:p>
            <w:pPr>
              <w:pStyle w:val="Normal"/>
              <w:tabs>
                <w:tab w:val="clear" w:pos="720"/>
                <w:tab w:val="right" w:pos="4831" w:leader="none"/>
              </w:tabs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eastAsia="Arial"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      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השופט צלקובניק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ab/>
            </w:r>
          </w:p>
          <w:p>
            <w:pPr>
              <w:pStyle w:val="Normal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eastAsia="Arial"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      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השופטת י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רז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-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לוי</w:t>
            </w:r>
          </w:p>
        </w:tc>
        <w:tc>
          <w:tcPr>
            <w:tcW w:w="3674" w:type="dxa"/>
            <w:tcBorders/>
          </w:tcPr>
          <w:p>
            <w:pPr>
              <w:pStyle w:val="Header"/>
              <w:spacing w:before="120" w:after="120"/>
              <w:ind w:end="0"/>
              <w:jc w:val="end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ג </w:t>
            </w: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31724-10-13</w:t>
            </w:r>
          </w:p>
        </w:tc>
      </w:tr>
    </w:tbl>
    <w:p>
      <w:pPr>
        <w:pStyle w:val="Header"/>
        <w:spacing w:before="120" w:after="120"/>
        <w:ind w:end="0"/>
        <w:jc w:val="start"/>
        <w:rPr>
          <w:rFonts w:cs="Times New Roman"/>
          <w:lang w:val="en-US" w:eastAsia="en-US"/>
        </w:rPr>
      </w:pPr>
      <w:bookmarkStart w:id="0" w:name="LastJudge"/>
      <w:bookmarkEnd w:id="0"/>
      <w:r>
        <w:rPr>
          <w:rFonts w:cs="Times New Roman"/>
          <w:rtl w:val="true"/>
          <w:lang w:val="en-US" w:eastAsia="en-US"/>
        </w:rPr>
        <w:t xml:space="preserve"> </w:t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5571"/>
      </w:tblGrid>
      <w:tr>
        <w:trPr/>
        <w:tc>
          <w:tcPr>
            <w:tcW w:w="3249" w:type="dxa"/>
            <w:tcBorders/>
          </w:tcPr>
          <w:p>
            <w:pPr>
              <w:pStyle w:val="Normal"/>
              <w:bidi w:val="0"/>
              <w:spacing w:before="120" w:after="120"/>
              <w:jc w:val="end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bookmarkStart w:id="1" w:name="FirstLawyer"/>
            <w:bookmarkStart w:id="2" w:name="FirstAppellant"/>
            <w:bookmarkStart w:id="3" w:name="_GoBack"/>
            <w:bookmarkEnd w:id="1"/>
            <w:bookmarkEnd w:id="2"/>
            <w:bookmarkEnd w:id="3"/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המערער</w:t>
            </w: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:</w:t>
            </w:r>
          </w:p>
          <w:p>
            <w:pPr>
              <w:pStyle w:val="Normal"/>
              <w:bidi w:val="0"/>
              <w:spacing w:before="120" w:after="120"/>
              <w:jc w:val="end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ליאור מלכם </w:t>
            </w:r>
          </w:p>
          <w:p>
            <w:pPr>
              <w:pStyle w:val="Normal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eastAsia="Arial"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 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 עו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 ר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לוין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לגמי ו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-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גרובס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napToGrid w:val="false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pacing w:before="120" w:after="120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המשיבה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: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 ישראל</w:t>
            </w:r>
          </w:p>
          <w:p>
            <w:pPr>
              <w:pStyle w:val="Normal"/>
              <w:spacing w:before="120" w:after="12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eastAsia="Arial"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 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 עו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 טל אדיר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-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כהן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פמ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</w:t>
            </w:r>
          </w:p>
        </w:tc>
      </w:tr>
    </w:tbl>
    <w:p>
      <w:pPr>
        <w:pStyle w:val="Normal"/>
        <w:suppressLineNumbers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uppressLineNumbers/>
        <w:ind w:end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/>
          <w:bCs/>
          <w:rtl w:val="true"/>
        </w:rPr>
        <w:t>ערעור על גזר דינו של בימ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>ש השלום בקרית גת</w:t>
      </w:r>
    </w:p>
    <w:p>
      <w:pPr>
        <w:pStyle w:val="Normal"/>
        <w:suppressLineNumbers/>
        <w:ind w:end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/>
          <w:bCs/>
          <w:rtl w:val="true"/>
        </w:rPr>
        <w:t>בפני כב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>השופטת ר</w:t>
      </w:r>
      <w:r>
        <w:rPr>
          <w:rFonts w:cs="Arial" w:ascii="Arial" w:hAnsi="Arial"/>
          <w:b/>
          <w:bCs/>
          <w:rtl w:val="true"/>
        </w:rPr>
        <w:t xml:space="preserve">. </w:t>
      </w:r>
      <w:r>
        <w:rPr>
          <w:rFonts w:ascii="Arial" w:hAnsi="Arial" w:cs="Arial"/>
          <w:b/>
          <w:b/>
          <w:bCs/>
          <w:rtl w:val="true"/>
        </w:rPr>
        <w:t xml:space="preserve">לביא </w:t>
      </w:r>
    </w:p>
    <w:p>
      <w:pPr>
        <w:pStyle w:val="Normal"/>
        <w:suppressLineNumbers/>
        <w:ind w:end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/>
          <w:bCs/>
          <w:rtl w:val="true"/>
        </w:rPr>
        <w:t>ב</w:t>
      </w:r>
      <w:hyperlink r:id="rId2">
        <w:r>
          <w:rPr>
            <w:rStyle w:val="Hyperlink"/>
            <w:rFonts w:ascii="Arial" w:hAnsi="Arial" w:cs="Arial"/>
            <w:b/>
            <w:b/>
            <w:bCs/>
            <w:color w:val="0000FF"/>
            <w:u w:val="single"/>
            <w:rtl w:val="true"/>
          </w:rPr>
          <w:t>ת</w:t>
        </w:r>
        <w:r>
          <w:rPr>
            <w:rStyle w:val="Hyperlink"/>
            <w:rFonts w:cs="Arial" w:ascii="Arial" w:hAnsi="Arial"/>
            <w:b/>
            <w:bCs/>
            <w:color w:val="0000FF"/>
            <w:u w:val="single"/>
            <w:rtl w:val="true"/>
          </w:rPr>
          <w:t>.</w:t>
        </w:r>
        <w:r>
          <w:rPr>
            <w:rStyle w:val="Hyperlink"/>
            <w:rFonts w:ascii="Arial" w:hAnsi="Arial" w:cs="Arial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Arial" w:ascii="Arial" w:hAnsi="Arial"/>
            <w:b/>
            <w:bCs/>
            <w:color w:val="0000FF"/>
            <w:u w:val="single"/>
            <w:rtl w:val="true"/>
          </w:rPr>
          <w:t xml:space="preserve">. </w:t>
        </w:r>
        <w:r>
          <w:rPr>
            <w:rStyle w:val="Hyperlink"/>
            <w:rFonts w:cs="Arial" w:ascii="Arial" w:hAnsi="Arial"/>
            <w:b/>
            <w:bCs/>
            <w:color w:val="0000FF"/>
            <w:u w:val="single"/>
          </w:rPr>
          <w:t>3990-12-12</w:t>
        </w:r>
      </w:hyperlink>
      <w:r>
        <w:rPr>
          <w:rFonts w:cs="Arial" w:ascii="Arial" w:hAnsi="Arial"/>
          <w:b/>
          <w:bCs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Fonts w:ascii="Arial" w:hAnsi="Arial" w:cs="Arial"/>
          <w:b/>
          <w:b/>
          <w:bCs/>
          <w:rtl w:val="true"/>
        </w:rPr>
        <w:t xml:space="preserve">מיום </w:t>
      </w:r>
      <w:r>
        <w:rPr>
          <w:rFonts w:cs="Arial" w:ascii="Arial" w:hAnsi="Arial"/>
          <w:b/>
          <w:bCs/>
        </w:rPr>
        <w:t>2/7/13</w:t>
      </w:r>
    </w:p>
    <w:p>
      <w:pPr>
        <w:pStyle w:val="Normal"/>
        <w:suppressLineNumbers/>
        <w:ind w:end="0"/>
        <w:jc w:val="start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p>
      <w:pPr>
        <w:pStyle w:val="Normal"/>
        <w:suppressLineNumbers/>
        <w:ind w:end="0"/>
        <w:jc w:val="start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Style w:val="Hyperlink"/>
        </w:rPr>
      </w:pPr>
      <w:bookmarkStart w:id="4" w:name="Links_Start"/>
      <w:bookmarkEnd w:id="4"/>
      <w:r>
        <w:rPr>
          <w:rFonts w:ascii="FrankRuehl" w:hAnsi="FrankRuehl" w:cs="FrankRuehl"/>
          <w:rtl w:val="true"/>
          <w:lang w:val="en-US" w:eastAsia="en-US"/>
        </w:rPr>
        <w:t>כתבי עת</w:t>
      </w:r>
      <w:hyperlink r:id="rId3">
        <w:r>
          <w:rPr>
            <w:rFonts w:cs="FrankRuehl" w:ascii="FrankRuehl" w:hAnsi="FrankRuehl"/>
            <w:rtl w:val="true"/>
            <w:lang w:val="en-US" w:eastAsia="en-US"/>
          </w:rPr>
          <w:t>: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hyperlink r:id="rId4">
        <w:r>
          <w:rPr>
            <w:rStyle w:val="Hyperlink"/>
            <w:rFonts w:ascii="FrankRuehl" w:hAnsi="FrankRuehl" w:cs="FrankRuehl"/>
            <w:rtl w:val="true"/>
            <w:lang w:val="en-US" w:eastAsia="en-US"/>
          </w:rPr>
          <w:t>יניב ואקי</w:t>
        </w:r>
        <w:r>
          <w:rPr>
            <w:rStyle w:val="Hyperlink"/>
            <w:rFonts w:cs="FrankRuehl" w:ascii="FrankRuehl" w:hAnsi="FrankRuehl"/>
            <w:rtl w:val="true"/>
            <w:lang w:val="en-US" w:eastAsia="en-US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  <w:lang w:val="en-US" w:eastAsia="en-US"/>
          </w:rPr>
          <w:t>יורם רבין</w:t>
        </w:r>
        <w:r>
          <w:rPr>
            <w:rStyle w:val="Hyperlink"/>
            <w:rFonts w:cs="FrankRuehl" w:ascii="FrankRuehl" w:hAnsi="FrankRuehl"/>
            <w:rtl w:val="true"/>
            <w:lang w:val="en-US" w:eastAsia="en-US"/>
          </w:rPr>
          <w:t>, "</w:t>
        </w:r>
        <w:r>
          <w:rPr>
            <w:rStyle w:val="Hyperlink"/>
            <w:rFonts w:ascii="FrankRuehl" w:hAnsi="FrankRuehl" w:cs="FrankRuehl"/>
            <w:rtl w:val="true"/>
            <w:lang w:val="en-US" w:eastAsia="en-US"/>
          </w:rPr>
          <w:t>הבניית שיקול הדעת השיפוטי</w:t>
        </w:r>
        <w:r>
          <w:rPr>
            <w:rStyle w:val="Hyperlink"/>
            <w:rFonts w:cs="FrankRuehl" w:ascii="FrankRuehl" w:hAnsi="FrankRuehl"/>
            <w:rtl w:val="true"/>
            <w:lang w:val="en-US" w:eastAsia="en-US"/>
          </w:rPr>
          <w:t xml:space="preserve">", </w:t>
        </w:r>
        <w:r>
          <w:rPr>
            <w:rStyle w:val="Hyperlink"/>
            <w:rFonts w:ascii="FrankRuehl" w:hAnsi="FrankRuehl" w:cs="FrankRuehl"/>
            <w:rtl w:val="true"/>
            <w:lang w:val="en-US" w:eastAsia="en-US"/>
          </w:rPr>
          <w:t>הפרקליט</w:t>
        </w:r>
        <w:r>
          <w:rPr>
            <w:rStyle w:val="Hyperlink"/>
            <w:rFonts w:cs="FrankRuehl" w:ascii="FrankRuehl" w:hAnsi="FrankRuehl"/>
            <w:rtl w:val="true"/>
            <w:lang w:val="en-US" w:eastAsia="en-US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  <w:lang w:val="en-US" w:eastAsia="en-US"/>
          </w:rPr>
          <w:t xml:space="preserve">נב </w:t>
        </w:r>
        <w:r>
          <w:rPr>
            <w:rStyle w:val="Hyperlink"/>
            <w:rFonts w:cs="FrankRuehl" w:ascii="FrankRuehl" w:hAnsi="FrankRuehl"/>
            <w:rtl w:val="true"/>
            <w:lang w:val="en-US" w:eastAsia="en-US"/>
          </w:rPr>
          <w:t>(</w:t>
        </w:r>
        <w:r>
          <w:rPr>
            <w:rStyle w:val="Hyperlink"/>
            <w:rFonts w:ascii="FrankRuehl" w:hAnsi="FrankRuehl" w:cs="FrankRuehl"/>
            <w:rtl w:val="true"/>
            <w:lang w:val="en-US" w:eastAsia="en-US"/>
          </w:rPr>
          <w:t>תשע</w:t>
        </w:r>
        <w:r>
          <w:rPr>
            <w:rStyle w:val="Hyperlink"/>
            <w:rFonts w:cs="FrankRuehl" w:ascii="FrankRuehl" w:hAnsi="FrankRuehl"/>
            <w:rtl w:val="true"/>
            <w:lang w:val="en-US" w:eastAsia="en-US"/>
          </w:rPr>
          <w:t>"</w:t>
        </w:r>
        <w:r>
          <w:rPr>
            <w:rStyle w:val="Hyperlink"/>
            <w:rFonts w:ascii="FrankRuehl" w:hAnsi="FrankRuehl" w:cs="FrankRuehl"/>
            <w:rtl w:val="true"/>
            <w:lang w:val="en-US" w:eastAsia="en-US"/>
          </w:rPr>
          <w:t>ד</w:t>
        </w:r>
        <w:r>
          <w:rPr>
            <w:rStyle w:val="Hyperlink"/>
            <w:rFonts w:cs="FrankRuehl" w:ascii="FrankRuehl" w:hAnsi="FrankRuehl"/>
            <w:rtl w:val="true"/>
            <w:lang w:val="en-US" w:eastAsia="en-US"/>
          </w:rPr>
          <w:t xml:space="preserve">) </w:t>
        </w:r>
        <w:r>
          <w:rPr>
            <w:rStyle w:val="Hyperlink"/>
            <w:rFonts w:cs="FrankRuehl" w:ascii="FrankRuehl" w:hAnsi="FrankRuehl"/>
            <w:lang w:val="en-US" w:eastAsia="en-US"/>
          </w:rPr>
          <w:t>413</w:t>
        </w:r>
      </w:hyperlink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  <w:bookmarkStart w:id="5" w:name="Links_End"/>
      <w:bookmarkStart w:id="6" w:name="Links_End"/>
      <w:bookmarkEnd w:id="6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bookmarkStart w:id="7" w:name="LawTable"/>
      <w:bookmarkEnd w:id="7"/>
      <w:r>
        <w:rPr>
          <w:rFonts w:ascii="FrankRuehl" w:hAnsi="FrankRuehl" w:cs="FrankRuehl"/>
          <w:rtl w:val="true"/>
          <w:lang w:val="en-US" w:eastAsia="en-US"/>
        </w:rPr>
        <w:t>חקיקה שאוזכרה</w:t>
      </w:r>
      <w:r>
        <w:rPr>
          <w:rFonts w:cs="FrankRuehl" w:ascii="FrankRuehl" w:hAnsi="FrankRuehl"/>
          <w:rtl w:val="true"/>
          <w:lang w:val="en-US" w:eastAsia="en-US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hyperlink r:id="rId5"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1973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rtl w:val="true"/>
          <w:lang w:val="en-US" w:eastAsia="en-US"/>
        </w:rPr>
        <w:t>סע</w:t>
      </w:r>
      <w:r>
        <w:rPr>
          <w:rFonts w:cs="FrankRuehl" w:ascii="FrankRuehl" w:hAnsi="FrankRuehl"/>
          <w:rtl w:val="true"/>
          <w:lang w:val="en-US" w:eastAsia="en-US"/>
        </w:rPr>
        <w:t xml:space="preserve">'  </w:t>
      </w:r>
      <w:hyperlink r:id="rId6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7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)(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13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hyperlink r:id="rId8"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1977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rtl w:val="true"/>
          <w:lang w:val="en-US" w:eastAsia="en-US"/>
        </w:rPr>
        <w:t>סע</w:t>
      </w:r>
      <w:r>
        <w:rPr>
          <w:rFonts w:cs="FrankRuehl" w:ascii="FrankRuehl" w:hAnsi="FrankRuehl"/>
          <w:rtl w:val="true"/>
          <w:lang w:val="en-US" w:eastAsia="en-US"/>
        </w:rPr>
        <w:t xml:space="preserve">'  </w:t>
      </w:r>
      <w:hyperlink r:id="rId9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25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10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א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12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113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יג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ב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hyperlink r:id="rId14"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 xml:space="preserve">חוק סדר הדין הפלילי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נוסח משולב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תשמ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ב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1982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rtl w:val="true"/>
          <w:lang w:val="en-US" w:eastAsia="en-US"/>
        </w:rPr>
        <w:t>סע</w:t>
      </w:r>
      <w:r>
        <w:rPr>
          <w:rFonts w:cs="FrankRuehl" w:ascii="FrankRuehl" w:hAnsi="FrankRuehl"/>
          <w:rtl w:val="true"/>
          <w:lang w:val="en-US" w:eastAsia="en-US"/>
        </w:rPr>
        <w:t xml:space="preserve">'  </w:t>
      </w:r>
      <w:hyperlink r:id="rId15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186</w:t>
        </w:r>
      </w:hyperlink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  <w:bookmarkStart w:id="8" w:name="LawTable_End"/>
      <w:bookmarkStart w:id="9" w:name="LawTable_End"/>
      <w:bookmarkEnd w:id="9"/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bookmarkStart w:id="10" w:name="ABSTRACT_START"/>
      <w:bookmarkEnd w:id="10"/>
      <w:r>
        <w:rPr>
          <w:rFonts w:ascii="Times New Roman" w:hAnsi="Times New Roman" w:cs="FrankRuehl"/>
          <w:sz w:val="24"/>
          <w:sz w:val="24"/>
          <w:szCs w:val="26"/>
          <w:rtl w:val="true"/>
        </w:rPr>
        <w:t>מיני</w:t>
      </w:r>
      <w:r>
        <w:rPr>
          <w:rFonts w:cs="FrankRuehl" w:ascii="Times New Roman" w:hAnsi="Times New Roman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רציו</w:t>
      </w:r>
      <w:r>
        <w:rPr>
          <w:rFonts w:cs="FrankRuehl" w:ascii="Times New Roman" w:hAnsi="Times New Roman"/>
          <w:sz w:val="24"/>
          <w:szCs w:val="26"/>
          <w:rtl w:val="true"/>
        </w:rPr>
        <w:t>: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ביהמ</w:t>
      </w:r>
      <w:r>
        <w:rPr>
          <w:rFonts w:cs="FrankRuehl" w:ascii="Times New Roman" w:hAnsi="Times New Roman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קיבל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חומרת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והפחית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המאסר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שהוטל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שהורשע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בעבירות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סמים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</w:t>
      </w:r>
      <w:r>
        <w:rPr>
          <w:rFonts w:cs="FrankRuehl" w:ascii="Times New Roman" w:hAnsi="Times New Roman"/>
          <w:sz w:val="24"/>
          <w:szCs w:val="26"/>
          <w:rtl w:val="true"/>
        </w:rPr>
        <w:t>-</w:t>
      </w:r>
      <w:r>
        <w:rPr>
          <w:rFonts w:cs="FrankRuehl" w:ascii="Times New Roman" w:hAnsi="Times New Roman"/>
          <w:sz w:val="24"/>
          <w:szCs w:val="26"/>
        </w:rPr>
        <w:t>32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חודשים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- </w:t>
      </w:r>
      <w:r>
        <w:rPr>
          <w:rFonts w:cs="FrankRuehl" w:ascii="Times New Roman" w:hAnsi="Times New Roman"/>
          <w:sz w:val="24"/>
          <w:szCs w:val="26"/>
        </w:rPr>
        <w:t>22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חודשים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עקרון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ההלימה‏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אחדות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הענישה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מתחם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הענישה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המערער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שלושה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אחרים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הורשע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במסגרת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הסדר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טיעון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בארבע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בסם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מסוכן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ובעבירה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אחת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החזקת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מסוכן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לשימוש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עצמי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ונדון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</w:t>
      </w:r>
      <w:r>
        <w:rPr>
          <w:rFonts w:cs="FrankRuehl"/>
          <w:szCs w:val="26"/>
          <w:rtl w:val="true"/>
        </w:rPr>
        <w:t>-</w:t>
      </w:r>
      <w:r>
        <w:rPr>
          <w:rFonts w:cs="FrankRuehl"/>
          <w:szCs w:val="26"/>
        </w:rPr>
        <w:t>32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לריצוי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שני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עונשי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מותנים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פסילת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רישיון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נהיגה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לתקופה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18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וחתימה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התחייבות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כספית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בסך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12,000</w:t>
      </w:r>
      <w:r>
        <w:rPr>
          <w:rFonts w:cs="FrankRuehl"/>
          <w:szCs w:val="26"/>
          <w:rtl w:val="true"/>
        </w:rPr>
        <w:t xml:space="preserve"> </w:t>
      </w:r>
      <w:r>
        <w:rPr>
          <w:rFonts w:eastAsia="FrankRuehl" w:cs="FrankRuehl" w:ascii="FrankRuehl" w:hAnsi="FrankRuehl"/>
          <w:szCs w:val="26"/>
          <w:rtl w:val="true"/>
        </w:rPr>
        <w:t>₪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נסב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חומרת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ואופן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חישובו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המחוזי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קיבל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ופסק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Cs w:val="26"/>
          <w:rtl w:val="true"/>
        </w:rPr>
        <w:t>המונח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אירוע</w:t>
      </w:r>
      <w:r>
        <w:rPr>
          <w:rFonts w:cs="FrankRuehl"/>
          <w:szCs w:val="26"/>
          <w:rtl w:val="true"/>
        </w:rPr>
        <w:t xml:space="preserve">" </w:t>
      </w:r>
      <w:r>
        <w:rPr>
          <w:rFonts w:cs="FrankRuehl"/>
          <w:szCs w:val="26"/>
          <w:rtl w:val="true"/>
        </w:rPr>
        <w:t>יכול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לכלול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בתוכו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מספר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</w:t>
      </w:r>
      <w:r>
        <w:rPr>
          <w:rFonts w:cs="FrankRuehl"/>
          <w:szCs w:val="26"/>
          <w:rtl w:val="true"/>
        </w:rPr>
        <w:t>מאחוריהן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תכנית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עבריינית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אחת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מבחינת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המחשבה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הפלילית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והן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מבחינת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המכלול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העובדתי</w:t>
      </w:r>
      <w:r>
        <w:rPr>
          <w:rFonts w:cs="FrankRuehl"/>
          <w:szCs w:val="26"/>
          <w:rtl w:val="true"/>
        </w:rPr>
        <w:t>.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במקרה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זה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מדובר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מעשה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אחד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אירוע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אחד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</w:t>
      </w:r>
      <w:r>
        <w:rPr>
          <w:rFonts w:cs="FrankRuehl"/>
          <w:szCs w:val="26"/>
          <w:rtl w:val="true"/>
        </w:rPr>
        <w:t>לפיכך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צדק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כאשר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בקביעת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ההולם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</w:t>
      </w:r>
      <w:r>
        <w:rPr>
          <w:rFonts w:cs="FrankRuehl"/>
          <w:szCs w:val="26"/>
          <w:rtl w:val="true"/>
        </w:rPr>
        <w:t>לאחר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</w:t>
      </w:r>
      <w:r>
        <w:rPr>
          <w:rFonts w:cs="FrankRuehl"/>
          <w:szCs w:val="26"/>
          <w:rtl w:val="true"/>
        </w:rPr>
        <w:t>מערער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הורשע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במספר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שעניינן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מספר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אירועים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נפרדים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קבע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נפרד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לכל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אירוע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קביעת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מתחמי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היה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לבחון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רק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בהן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הורשע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שנקבע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לצדן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ליתן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גם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משקל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ביצוע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העבירות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ייקבע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בהתאם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לעיקרון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ההלימות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תוך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משקל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לשיקולים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הקשורים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בעבירה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ולצורך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להתחשב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בערך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החברתי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שנפגע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מביצוע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ובמידת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הפגיעה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בו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במדיניות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הנהוגה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ו</w:t>
      </w:r>
      <w:r>
        <w:rPr>
          <w:rFonts w:cs="FrankRuehl"/>
          <w:szCs w:val="26"/>
          <w:rtl w:val="true"/>
        </w:rPr>
        <w:t>בנסיבות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הקשורות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בביצוע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הנסיבות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האישיות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יובאו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במניין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השיקולים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בקביעת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המתאים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בתוך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</w:t>
      </w:r>
      <w:r>
        <w:rPr>
          <w:rFonts w:cs="FrankRuehl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בקביעת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עצמו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בעבירות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בהן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הורשע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המערער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שהוא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קובע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הראוי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לשקול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היתר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הפסיקה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שהונהגה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דומו</w:t>
      </w:r>
      <w:r>
        <w:rPr>
          <w:rFonts w:cs="FrankRuehl"/>
          <w:szCs w:val="26"/>
          <w:rtl w:val="true"/>
        </w:rPr>
        <w:t>ת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ביצוע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העבירות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סוגי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שנמכרו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משקל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שנמכר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בכל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אירוע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התמורה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ששולמה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אופן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ההתקשרות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והיוזמה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לרכישה</w:t>
      </w:r>
      <w:r>
        <w:rPr>
          <w:rFonts w:cs="FrankRuehl"/>
          <w:szCs w:val="26"/>
          <w:rtl w:val="true"/>
        </w:rPr>
        <w:t>/</w:t>
      </w:r>
      <w:r>
        <w:rPr>
          <w:rFonts w:cs="FrankRuehl"/>
          <w:szCs w:val="26"/>
          <w:rtl w:val="true"/>
        </w:rPr>
        <w:t>מכירה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זמינות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</w:t>
      </w:r>
      <w:r>
        <w:rPr>
          <w:rFonts w:cs="FrankRuehl"/>
          <w:szCs w:val="26"/>
          <w:rtl w:val="true"/>
        </w:rPr>
        <w:t>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לפניית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הסוכן–רוכש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ונגישותו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לכמויות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שנקנו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ועוד</w:t>
      </w:r>
      <w:r>
        <w:rPr>
          <w:rFonts w:cs="FrankRuehl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אחידות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נגזר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השוויון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בפני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החוק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המורה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שיקולי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דומים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שביצעו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דומות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ובאותן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נסיבות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כאשר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בכך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שמדובר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בנאשמים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שהופללו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אותו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סוכן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סמוי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כדי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להפוך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ביצוע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שלהם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שנגזרה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עליהם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לקנה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מידה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חשבונאי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מחייב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ראוי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להטיל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גזרי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תעריפים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כפי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שנעשה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במקרה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זה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בנוסף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החישוב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שנעשה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הכפיל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שקבע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לצד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אירוע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שנתן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דעתו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הכולל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שנפסק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לנוכח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נסיבותיו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ולנוכח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ביצוע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ידו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הביא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לתוצאה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חמורה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לפיכך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ולאחר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שנשקלו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הפרטניות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שביצע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וקשת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דוגמת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אלה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שעבר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רקע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עברו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הפלילי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שאינו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מכביד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נמצא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החמיר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ולכן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הועמד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הכולל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לרצות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22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יתר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רכיבי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הותרו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כנם</w:t>
      </w:r>
      <w:r>
        <w:rPr>
          <w:rFonts w:cs="FrankRuehl"/>
          <w:szCs w:val="26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Cs w:val="26"/>
          <w:lang w:val="en-US" w:eastAsia="en-US"/>
        </w:rPr>
      </w:pPr>
      <w:r>
        <w:rPr>
          <w:rFonts w:cs="Arial" w:ascii="Arial" w:hAnsi="Arial"/>
          <w:szCs w:val="26"/>
          <w:rtl w:val="true"/>
          <w:lang w:val="en-US" w:eastAsia="en-US"/>
        </w:rPr>
      </w:r>
      <w:bookmarkStart w:id="11" w:name="ABSTRACT_END"/>
      <w:bookmarkStart w:id="12" w:name="ABSTRACT_END"/>
      <w:bookmarkEnd w:id="12"/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/>
            </w:pPr>
            <w:bookmarkStart w:id="13" w:name="PsakDin"/>
            <w:bookmarkEnd w:id="13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 ס ק – ד י 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ס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הנשיא רויטל יפה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כ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ץ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אב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ד</w:t>
      </w:r>
      <w:r>
        <w:rPr>
          <w:rFonts w:cs="Arial" w:ascii="Arial" w:hAnsi="Arial"/>
          <w:b/>
          <w:bCs/>
          <w:rtl w:val="true"/>
          <w:lang w:val="en-US" w:eastAsia="en-US"/>
        </w:rPr>
        <w:t>: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כתב האישום שהוגש כנגד המערער ושלושה אחרים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ייחס לכל אחד מהנאשמים ביצוע עבירות שונות מתחום הסמים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בהקשר לסוכן סמוי שהופעל על ידי המשטרה בתקופה הרלבנטית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הצדדים הגיעו להסדרי טיעון לגבי כל אחד מהנאשמים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בהתייחס לשלושת חבריו לכתב האישום של המערער ההסכמה כללה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בנוסף לתיקון כתב האישום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גם עתירה משותפת של הצדדים להטלת עונש מוסכם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ואילו לגבי המערער הודיעו הצדדים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ההסכמה הינה לתיקון כתב האישום בלבד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והטיעון לעונש יהיה חופשי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בהתאם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הודה המערער בביצוע ארבע עבירות של סחר בסם מסוכן ובעבירה אחת של החזקת סם מסוכן שלא לשימוש עצמי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ונדון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32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לריצוי בפועל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לשני עונשי מאסר מותנים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האחד למשך </w:t>
      </w:r>
      <w:r>
        <w:rPr>
          <w:rFonts w:cs="Arial" w:ascii="Arial" w:hAnsi="Arial"/>
          <w:sz w:val="20"/>
          <w:szCs w:val="20"/>
          <w:lang w:val="en-US" w:eastAsia="en-US"/>
        </w:rPr>
        <w:t>12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חודשים לבל יעבור עבירות מ</w:t>
      </w:r>
      <w:hyperlink r:id="rId16"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>פקודת הסמים המסוכנים</w:t>
        </w:r>
      </w:hyperlink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 מסוג פשע והשני למשך </w:t>
      </w:r>
      <w:r>
        <w:rPr>
          <w:rFonts w:cs="Arial" w:ascii="Arial" w:hAnsi="Arial"/>
          <w:sz w:val="20"/>
          <w:szCs w:val="20"/>
          <w:lang w:val="en-US" w:eastAsia="en-US"/>
        </w:rPr>
        <w:t>6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חודשים לבל יעבור עבירות מסוג עוון מהפקודה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פסילת רישיון נהיגה לתקופה של </w:t>
      </w: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 מיום השחרור מהמאסר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ולחתימה על התחייבות כספית בסך </w:t>
      </w:r>
      <w:r>
        <w:rPr>
          <w:rFonts w:cs="Arial" w:ascii="Arial" w:hAnsi="Arial"/>
          <w:lang w:val="en-US" w:eastAsia="en-US"/>
        </w:rPr>
        <w:t>12,000</w:t>
      </w:r>
      <w:r>
        <w:rPr>
          <w:rFonts w:cs="Arial" w:ascii="Arial" w:hAnsi="Arial"/>
          <w:rtl w:val="true"/>
          <w:lang w:val="en-US" w:eastAsia="en-US"/>
        </w:rPr>
        <w:t xml:space="preserve"> ₪. </w:t>
      </w:r>
      <w:r>
        <w:rPr>
          <w:rFonts w:ascii="Arial" w:hAnsi="Arial" w:cs="Arial"/>
          <w:rtl w:val="true"/>
          <w:lang w:val="en-US" w:eastAsia="en-US"/>
        </w:rPr>
        <w:t>על חומרת העונש והעל הדרך שהביאה את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לגזירת העונש הנ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הוגש הערעור נשוא פס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זה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בהתאם לעובדות כתב האישום המתוקן בהן הודו המערער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הוא הנאשם </w:t>
      </w:r>
      <w:r>
        <w:rPr>
          <w:rFonts w:cs="Arial" w:ascii="Arial" w:hAnsi="Arial"/>
          <w:sz w:val="20"/>
          <w:szCs w:val="20"/>
          <w:lang w:val="en-US" w:eastAsia="en-US"/>
        </w:rPr>
        <w:t>1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בכתב האישום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ושותפיו לכתב האישום עולה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הנאשמים נעצרו ביום </w:t>
      </w:r>
      <w:r>
        <w:rPr>
          <w:rFonts w:cs="Arial" w:ascii="Arial" w:hAnsi="Arial"/>
          <w:lang w:val="en-US" w:eastAsia="en-US"/>
        </w:rPr>
        <w:t>27/11/12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לאחר סיום העסקתו של סוכן משטרתי סמוי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שהיה פעיל החל מיום </w:t>
      </w:r>
      <w:r>
        <w:rPr>
          <w:rFonts w:cs="Arial" w:ascii="Arial" w:hAnsi="Arial"/>
          <w:lang w:val="en-US" w:eastAsia="en-US"/>
        </w:rPr>
        <w:t>05/08/12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האישום הראשון של כתב האישום המתוקן מיוחס למערער בלבד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ועל פיו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בתאריך </w:t>
      </w:r>
      <w:r>
        <w:rPr>
          <w:rFonts w:cs="Arial" w:ascii="Arial" w:hAnsi="Arial"/>
          <w:lang w:val="en-US" w:eastAsia="en-US"/>
        </w:rPr>
        <w:t>29/08/12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ולאחר תיאום טלפוני מוקדם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מכר המערער לסוכן הסמוי סם מסוכן מסוג חשיש במשקל </w:t>
      </w:r>
      <w:r>
        <w:rPr>
          <w:rFonts w:cs="Arial" w:ascii="Arial" w:hAnsi="Arial"/>
          <w:lang w:val="en-US" w:eastAsia="en-US"/>
        </w:rPr>
        <w:t>5.90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נטו תמורת </w:t>
      </w:r>
      <w:r>
        <w:rPr>
          <w:rFonts w:cs="Arial" w:ascii="Arial" w:hAnsi="Arial"/>
          <w:lang w:val="en-US" w:eastAsia="en-US"/>
        </w:rPr>
        <w:t>200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 xml:space="preserve">מתוך מספר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אצבעות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של סם שהחזיק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ועל כן הורשע בביצוע עבירות של החזקת סם מסוכן שלא לצריכה עצמית לפי </w:t>
      </w:r>
      <w:hyperlink r:id="rId17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סעיפים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7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רישא ל</w:t>
      </w:r>
      <w:hyperlink r:id="rId18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פקודת הסמים המסוכנים</w:t>
        </w:r>
      </w:hyperlink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>[</w:t>
      </w:r>
      <w:r>
        <w:rPr>
          <w:rFonts w:ascii="Arial" w:hAnsi="Arial" w:cs="Arial"/>
          <w:rtl w:val="true"/>
          <w:lang w:val="en-US" w:eastAsia="en-US"/>
        </w:rPr>
        <w:t>נוסח חדש</w:t>
      </w:r>
      <w:r>
        <w:rPr>
          <w:rFonts w:cs="Arial" w:ascii="Arial" w:hAnsi="Arial"/>
          <w:rtl w:val="true"/>
          <w:lang w:val="en-US" w:eastAsia="en-US"/>
        </w:rPr>
        <w:t xml:space="preserve">], </w:t>
      </w:r>
      <w:r>
        <w:rPr>
          <w:rFonts w:ascii="Arial" w:hAnsi="Arial" w:cs="Arial"/>
          <w:rtl w:val="true"/>
          <w:lang w:val="en-US" w:eastAsia="en-US"/>
        </w:rPr>
        <w:t>תשל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1973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להלן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: "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הפקודה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")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וסחר בסמים מסוכנים לפי </w:t>
      </w:r>
      <w:hyperlink r:id="rId19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13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לפקודה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האישום השני של כתב האישום המתוקן מיוחס אף הוא למערער בלבד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ולפיו בתאריך </w:t>
      </w:r>
      <w:r>
        <w:rPr>
          <w:rFonts w:cs="Arial" w:ascii="Arial" w:hAnsi="Arial"/>
          <w:lang w:val="en-US" w:eastAsia="en-US"/>
        </w:rPr>
        <w:t>02/09/12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ולאחר תיאום טלפוני מוקדם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מכר המערער לסוכן הסמוי סם מסוכן מסוג חשיש מחולק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אריזות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במשקל כולל של </w:t>
      </w:r>
      <w:r>
        <w:rPr>
          <w:rFonts w:cs="Arial" w:ascii="Arial" w:hAnsi="Arial"/>
          <w:lang w:val="en-US" w:eastAsia="en-US"/>
        </w:rPr>
        <w:t>4.9614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נטו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תמורת </w:t>
      </w:r>
      <w:r>
        <w:rPr>
          <w:rFonts w:cs="Arial" w:ascii="Arial" w:hAnsi="Arial"/>
          <w:lang w:val="en-US" w:eastAsia="en-US"/>
        </w:rPr>
        <w:t>150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 xml:space="preserve">ועל כן הורשע בביצוע עבירה של סחר בסם מסוכן לפי סעיף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לפקודה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האישום השלישי של כתב האישום המתוקן מיוחס למערער ולנאשם </w:t>
      </w:r>
      <w:r>
        <w:rPr>
          <w:rFonts w:cs="Arial" w:ascii="Arial" w:hAnsi="Arial"/>
          <w:b/>
          <w:bCs/>
          <w:lang w:val="en-US" w:eastAsia="en-US"/>
        </w:rPr>
        <w:t>2</w:t>
      </w:r>
      <w:r>
        <w:rPr>
          <w:rFonts w:cs="Arial" w:ascii="Arial" w:hAnsi="Arial"/>
          <w:b/>
          <w:bCs/>
          <w:rtl w:val="true"/>
          <w:lang w:val="en-US" w:eastAsia="en-US"/>
        </w:rPr>
        <w:t>,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ולפיו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בתאריך </w:t>
      </w:r>
      <w:r>
        <w:rPr>
          <w:rFonts w:cs="Arial" w:ascii="Arial" w:hAnsi="Arial"/>
          <w:lang w:val="en-US" w:eastAsia="en-US"/>
        </w:rPr>
        <w:t>16/09/12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בשיחת טלפון בין הסוכן הסמוי לבין הנאשם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במהלכה ביקש הסוכן לרכוש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חצי רבע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 xml:space="preserve">הפנה הנאשם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את הסוכן אל המערער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בעקבות 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יצר הסוכן קשר עם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תאם עמו מקום מפגש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ובשעה </w:t>
      </w:r>
      <w:r>
        <w:rPr>
          <w:rFonts w:cs="Arial" w:ascii="Arial" w:hAnsi="Arial"/>
          <w:lang w:val="en-US" w:eastAsia="en-US"/>
        </w:rPr>
        <w:t>12:40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בערך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מכר המערער לסוכן הסמוי סם מסוכן מסוג חשיש במשקל </w:t>
      </w:r>
      <w:r>
        <w:rPr>
          <w:rFonts w:cs="Arial" w:ascii="Arial" w:hAnsi="Arial"/>
          <w:lang w:val="en-US" w:eastAsia="en-US"/>
        </w:rPr>
        <w:t>21.10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נטו בתמורה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600</w:t>
      </w:r>
      <w:r>
        <w:rPr>
          <w:rFonts w:cs="Arial" w:ascii="Arial" w:hAnsi="Arial"/>
          <w:rtl w:val="true"/>
          <w:lang w:val="en-US" w:eastAsia="en-US"/>
        </w:rPr>
        <w:t xml:space="preserve"> ₪. </w:t>
      </w:r>
      <w:r>
        <w:rPr>
          <w:rFonts w:ascii="Arial" w:hAnsi="Arial" w:cs="Arial"/>
          <w:rtl w:val="true"/>
          <w:lang w:val="en-US" w:eastAsia="en-US"/>
        </w:rPr>
        <w:t>לפיכך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המערער הורשע באישום זה בעבירה של סחר בסם מסוכן לפי סעיף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לפקודה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ואילו הנאשם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הורשע בעבירה של סיוע לסחר בהתאם לסעיף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לפקודה בצירוף </w:t>
      </w:r>
      <w:hyperlink r:id="rId20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25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21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תשל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ז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cs="Arial" w:ascii="Arial" w:hAnsi="Arial"/>
          <w:lang w:val="en-US" w:eastAsia="en-US"/>
        </w:rPr>
        <w:t>1977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להלן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: "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חוק העונשין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")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האישום החמישי בכתב האישום המתוקן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לאחר שהאישום הרביעי נמחק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מיוחס לנאשם </w:t>
      </w:r>
      <w:r>
        <w:rPr>
          <w:rFonts w:cs="Arial" w:ascii="Arial" w:hAnsi="Arial"/>
          <w:b/>
          <w:bCs/>
          <w:lang w:val="en-US" w:eastAsia="en-US"/>
        </w:rPr>
        <w:t>4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בלבד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במסגרתו הורשע הנאשם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בכך שבתאריך </w:t>
      </w:r>
      <w:r>
        <w:rPr>
          <w:rFonts w:cs="Arial" w:ascii="Arial" w:hAnsi="Arial"/>
          <w:lang w:val="en-US" w:eastAsia="en-US"/>
        </w:rPr>
        <w:t>17/10/12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ולאחר תיאום טלפוני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מכר לסוכן המשטרתי הסמוי סם מסוכן מסוג חשיש במשקל </w:t>
      </w:r>
      <w:r>
        <w:rPr>
          <w:rFonts w:cs="Arial" w:ascii="Arial" w:hAnsi="Arial"/>
          <w:lang w:val="en-US" w:eastAsia="en-US"/>
        </w:rPr>
        <w:t>95.10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נטו תמורת </w:t>
      </w:r>
      <w:r>
        <w:rPr>
          <w:rFonts w:cs="Arial" w:ascii="Arial" w:hAnsi="Arial"/>
          <w:lang w:val="en-US" w:eastAsia="en-US"/>
        </w:rPr>
        <w:t>1,980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 xml:space="preserve">והורשע בעבירה של סחר בסם מסוכן לפי סעיף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לפקודה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האישום השישי בכתב האישום המתוקן מיוחס למערער בלבד</w:t>
      </w:r>
      <w:r>
        <w:rPr>
          <w:rFonts w:ascii="Arial" w:hAnsi="Arial" w:cs="Arial"/>
          <w:rtl w:val="true"/>
          <w:lang w:val="en-US" w:eastAsia="en-US"/>
        </w:rPr>
        <w:t xml:space="preserve"> ולפיו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בתאריך </w:t>
      </w:r>
      <w:r>
        <w:rPr>
          <w:rFonts w:cs="Arial" w:ascii="Arial" w:hAnsi="Arial"/>
          <w:lang w:val="en-US" w:eastAsia="en-US"/>
        </w:rPr>
        <w:t>22/10/12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ולאחר תיאום טלפוני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מכר לסוכן הסמוי סם מסוכן מסוג חשיש במשקל </w:t>
      </w:r>
      <w:r>
        <w:rPr>
          <w:rFonts w:cs="Arial" w:ascii="Arial" w:hAnsi="Arial"/>
          <w:lang w:val="en-US" w:eastAsia="en-US"/>
        </w:rPr>
        <w:t>24.10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נטו תמורת </w:t>
      </w:r>
      <w:r>
        <w:rPr>
          <w:rFonts w:cs="Arial" w:ascii="Arial" w:hAnsi="Arial"/>
          <w:lang w:val="en-US" w:eastAsia="en-US"/>
        </w:rPr>
        <w:t>600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 xml:space="preserve">והורשע בעבירה של סחר בסם מסוכן לפי סעיף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לפקודה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האישום השביעי בכתב האישום המתוקן מיוחס לנאשם </w:t>
      </w:r>
      <w:r>
        <w:rPr>
          <w:rFonts w:cs="Arial" w:ascii="Arial" w:hAnsi="Arial"/>
          <w:b/>
          <w:bCs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במסגרתו הורשע הנאשם 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בכך שבתאריך </w:t>
      </w:r>
      <w:r>
        <w:rPr>
          <w:rFonts w:cs="Arial" w:ascii="Arial" w:hAnsi="Arial"/>
          <w:lang w:val="en-US" w:eastAsia="en-US"/>
        </w:rPr>
        <w:t>27/11/12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בשעה </w:t>
      </w:r>
      <w:r>
        <w:rPr>
          <w:rFonts w:cs="Arial" w:ascii="Arial" w:hAnsi="Arial"/>
          <w:lang w:val="en-US" w:eastAsia="en-US"/>
        </w:rPr>
        <w:t>05:20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החזיק בארון בחדרו שקית לבנה שקופה ובה סם מסוכן מסוג קוקאין במשקל </w:t>
      </w:r>
      <w:r>
        <w:rPr>
          <w:rFonts w:cs="Arial" w:ascii="Arial" w:hAnsi="Arial"/>
          <w:lang w:val="en-US" w:eastAsia="en-US"/>
        </w:rPr>
        <w:t>3.8935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נטו שלא לצריכתו העצמית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ולכן הורשע בעבירה של החזקת סם מסוכן שלא לצריכה עצמית לפי </w:t>
      </w:r>
      <w:hyperlink r:id="rId22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7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רישא לפקודה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גם האישום השמיני שבכתב האישום המתוקן מיוחס לנאשם </w:t>
      </w:r>
      <w:r>
        <w:rPr>
          <w:rFonts w:cs="Arial" w:ascii="Arial" w:hAnsi="Arial"/>
          <w:b/>
          <w:bCs/>
          <w:lang w:val="en-US" w:eastAsia="en-US"/>
        </w:rPr>
        <w:t>3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בלבד</w:t>
      </w:r>
      <w:r>
        <w:rPr>
          <w:rFonts w:ascii="Arial" w:hAnsi="Arial" w:cs="Arial"/>
          <w:rtl w:val="true"/>
          <w:lang w:val="en-US" w:eastAsia="en-US"/>
        </w:rPr>
        <w:t xml:space="preserve"> ובמסגרתו הוא הורשע בכך שביום </w:t>
      </w:r>
      <w:r>
        <w:rPr>
          <w:rFonts w:cs="Arial" w:ascii="Arial" w:hAnsi="Arial"/>
          <w:lang w:val="en-US" w:eastAsia="en-US"/>
        </w:rPr>
        <w:t>30/10/13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ובעקבות תיאום טלפוני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מכר לסוכן הסמוי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"</w:t>
      </w:r>
      <w:r>
        <w:rPr>
          <w:rFonts w:ascii="Arial" w:hAnsi="Arial" w:cs="Arial"/>
          <w:rtl w:val="true"/>
          <w:lang w:val="en-US" w:eastAsia="en-US"/>
        </w:rPr>
        <w:t>מנות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 xml:space="preserve">של סם מסוכן מסוג קוקאין במשקל </w:t>
      </w:r>
      <w:r>
        <w:rPr>
          <w:rFonts w:cs="Arial" w:ascii="Arial" w:hAnsi="Arial"/>
          <w:lang w:val="en-US" w:eastAsia="en-US"/>
        </w:rPr>
        <w:t>4.08453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נטו תמורת </w:t>
      </w:r>
      <w:r>
        <w:rPr>
          <w:rFonts w:cs="Arial" w:ascii="Arial" w:hAnsi="Arial"/>
          <w:lang w:val="en-US" w:eastAsia="en-US"/>
        </w:rPr>
        <w:t>3,000</w:t>
      </w:r>
      <w:r>
        <w:rPr>
          <w:rFonts w:cs="Arial" w:ascii="Arial" w:hAnsi="Arial"/>
          <w:rtl w:val="true"/>
          <w:lang w:val="en-US" w:eastAsia="en-US"/>
        </w:rPr>
        <w:t xml:space="preserve"> ₪. </w:t>
      </w:r>
      <w:r>
        <w:rPr>
          <w:rFonts w:ascii="Arial" w:hAnsi="Arial" w:cs="Arial"/>
          <w:rtl w:val="true"/>
          <w:lang w:val="en-US" w:eastAsia="en-US"/>
        </w:rPr>
        <w:t>לכן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הוא הורשע בביצוע עבירה של סחר בסם מסוכן לפי סעיף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לפקודה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כאמור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הגיעו הצדדים בבימ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קמא להסדרי טיעון גם בנוגע לענישה באשר לשותפיו לכתב האישום של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תוך שהסבירו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הסדרי הטיעון המקלים נובעים מקשיים ראייתיים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נוכח חשיפת שימושו של הסוכן הסמוי בסמים בעת הפעלתו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המצב העובדתי לגבי המערער היה שונה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מאחר והוא הודה באישומים בהם הורשע כבר בחקירתו במשטרה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ועל כן לגביו הסדר הטיעון לא כלל הסכמה עונשית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אלא רק מחיקת אותו אישום בו לא הודה בחקירתו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בהתאם להסדר הטיעון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נדון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הנאשם מס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cs="Arial" w:ascii="Arial" w:hAnsi="Arial"/>
          <w:b/>
          <w:bCs/>
          <w:lang w:val="en-US" w:eastAsia="en-US"/>
        </w:rPr>
        <w:t>2</w:t>
      </w:r>
      <w:r>
        <w:rPr>
          <w:rFonts w:cs="Arial" w:ascii="Arial" w:hAnsi="Arial"/>
          <w:b/>
          <w:bCs/>
          <w:rtl w:val="true"/>
          <w:lang w:val="en-US" w:eastAsia="en-US"/>
        </w:rPr>
        <w:t>,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שכזכור הורשע בעבירה של סיוע לסחר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לריצוי בפועל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הופעל עונש מותנה של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 שהיה תלוי ועומד כנגדו באופן ש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הופעלו בחופף ו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במצטבר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כך שסך הכל נדון הנאשם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לריצוי בפועל בניכוי ימי מעצרו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הוטלו עליו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עונשי מאסר מותנים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הוא נפסל מלהחזיק רישיון נהיגה לתקופה של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וחויב לחתום על התחייבות בסך </w:t>
      </w:r>
      <w:r>
        <w:rPr>
          <w:rFonts w:cs="Arial" w:ascii="Arial" w:hAnsi="Arial"/>
          <w:lang w:val="en-US" w:eastAsia="en-US"/>
        </w:rPr>
        <w:t>7,500</w:t>
      </w:r>
      <w:r>
        <w:rPr>
          <w:rFonts w:cs="Arial" w:ascii="Arial" w:hAnsi="Arial"/>
          <w:rtl w:val="true"/>
          <w:lang w:val="en-US" w:eastAsia="en-US"/>
        </w:rPr>
        <w:t xml:space="preserve"> ₪.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יצוין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לנאשם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שהוא יליד </w:t>
      </w:r>
      <w:r>
        <w:rPr>
          <w:rFonts w:cs="Arial" w:ascii="Arial" w:hAnsi="Arial"/>
          <w:sz w:val="20"/>
          <w:szCs w:val="20"/>
          <w:lang w:val="en-US" w:eastAsia="en-US"/>
        </w:rPr>
        <w:t>1985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הרשעות קודמות בגין שורת עבירות של החזקת סם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עבירות אלימות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מרמה ועוד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נאשם זה נדון בעברו גם לעונש מאסר בפועל של </w:t>
      </w:r>
      <w:r>
        <w:rPr>
          <w:rFonts w:cs="Arial" w:ascii="Arial" w:hAnsi="Arial"/>
          <w:lang w:val="en-US" w:eastAsia="en-US"/>
        </w:rPr>
        <w:t>24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במסגרתו גם הוטל עליו עונש המאסר המותנה שהופעל בתיק שבפנינו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  <w:tab/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הנאשם מס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cs="Arial" w:ascii="Arial" w:hAnsi="Arial"/>
          <w:b/>
          <w:bCs/>
          <w:lang w:val="en-US" w:eastAsia="en-US"/>
        </w:rPr>
        <w:t>3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נדון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לאחר שכזכור הורשע באישום אחד בעבירה של החזקת סם מסוכן ובאחר בעבירה של 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למאסר בפועל של </w:t>
      </w: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הופעל עונש מאסר מותנה של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חודשים שהיה תלוי ועומד כנגדו 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ascii="Arial" w:hAnsi="Arial" w:cs="Arial"/>
          <w:rtl w:val="true"/>
          <w:lang w:val="en-US" w:eastAsia="en-US"/>
        </w:rPr>
        <w:t>בחופף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הוטלו עליו עונשי מאסר מותנים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הוא נפסל מלהחזיק רישיון נהיגה לתקופה של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וחויב לחתום על התחייבות בסך </w:t>
      </w:r>
      <w:r>
        <w:rPr>
          <w:rFonts w:cs="Arial" w:ascii="Arial" w:hAnsi="Arial"/>
          <w:lang w:val="en-US" w:eastAsia="en-US"/>
        </w:rPr>
        <w:t>12,000</w:t>
      </w:r>
      <w:r>
        <w:rPr>
          <w:rFonts w:cs="Arial" w:ascii="Arial" w:hAnsi="Arial"/>
          <w:rtl w:val="true"/>
          <w:lang w:val="en-US" w:eastAsia="en-US"/>
        </w:rPr>
        <w:t xml:space="preserve"> ₪.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יצוין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לנאשם 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שהוא יליד </w:t>
      </w:r>
      <w:r>
        <w:rPr>
          <w:rFonts w:cs="Arial" w:ascii="Arial" w:hAnsi="Arial"/>
          <w:sz w:val="20"/>
          <w:szCs w:val="20"/>
          <w:lang w:val="en-US" w:eastAsia="en-US"/>
        </w:rPr>
        <w:t>1981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),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הרשעות קודמות החל משנת </w:t>
      </w:r>
      <w:r>
        <w:rPr>
          <w:rFonts w:cs="Arial" w:ascii="Arial" w:hAnsi="Arial"/>
          <w:lang w:val="en-US" w:eastAsia="en-US"/>
        </w:rPr>
        <w:t>1998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בעבירות רכוש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אלימות ועוד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הוא נדון בעברו לעונשי מאסר שונים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ובין היתר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נשפט בשנת </w:t>
      </w:r>
      <w:r>
        <w:rPr>
          <w:rFonts w:cs="Arial" w:ascii="Arial" w:hAnsi="Arial"/>
          <w:lang w:val="en-US" w:eastAsia="en-US"/>
        </w:rPr>
        <w:t>2004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לעונש מאסר של </w:t>
      </w:r>
      <w:r>
        <w:rPr>
          <w:rFonts w:cs="Arial" w:ascii="Arial" w:hAnsi="Arial"/>
          <w:lang w:val="en-US" w:eastAsia="en-US"/>
        </w:rPr>
        <w:t>16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בשנת </w:t>
      </w:r>
      <w:r>
        <w:rPr>
          <w:rFonts w:cs="Arial" w:ascii="Arial" w:hAnsi="Arial"/>
          <w:lang w:val="en-US" w:eastAsia="en-US"/>
        </w:rPr>
        <w:t>2005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לעונש מאסר של </w:t>
      </w:r>
      <w:r>
        <w:rPr>
          <w:rFonts w:cs="Arial" w:ascii="Arial" w:hAnsi="Arial"/>
          <w:lang w:val="en-US" w:eastAsia="en-US"/>
        </w:rPr>
        <w:t>22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חודשים ובשנת </w:t>
      </w:r>
      <w:r>
        <w:rPr>
          <w:rFonts w:cs="Arial" w:ascii="Arial" w:hAnsi="Arial"/>
          <w:lang w:val="en-US" w:eastAsia="en-US"/>
        </w:rPr>
        <w:t>2008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לעונש מאסר של </w:t>
      </w:r>
      <w:r>
        <w:rPr>
          <w:rFonts w:cs="Arial" w:ascii="Arial" w:hAnsi="Arial"/>
          <w:lang w:val="en-US" w:eastAsia="en-US"/>
        </w:rPr>
        <w:t>40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הכל בגין עבירות בניגוד לפקודת הסמים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הנאשם </w:t>
      </w:r>
      <w:r>
        <w:rPr>
          <w:rFonts w:cs="Arial" w:ascii="Arial" w:hAnsi="Arial"/>
          <w:b/>
          <w:bCs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נדון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לאחר שהורשע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כזכור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בעבירה אחת של 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לעונש מאסר בפועל של </w:t>
      </w:r>
      <w:r>
        <w:rPr>
          <w:rFonts w:cs="Arial" w:ascii="Arial" w:hAnsi="Arial"/>
          <w:lang w:val="en-US" w:eastAsia="en-US"/>
        </w:rPr>
        <w:t>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עונש מאסר מותנה של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שהופעל חציו בחופף חציו במצטבר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כך שסך הכל נדון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לריצוי בפועל בניכוי ימי המעצר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הוטלו עליו עונשי מאסר מותנים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הוא נפסל מלהחזיק רישיון נהיגה לתקופה של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וחויב לחתום על התחייבות בסך </w:t>
      </w:r>
      <w:r>
        <w:rPr>
          <w:rFonts w:cs="Arial" w:ascii="Arial" w:hAnsi="Arial"/>
          <w:lang w:val="en-US" w:eastAsia="en-US"/>
        </w:rPr>
        <w:t>7,500</w:t>
      </w:r>
      <w:r>
        <w:rPr>
          <w:rFonts w:cs="Arial" w:ascii="Arial" w:hAnsi="Arial"/>
          <w:rtl w:val="true"/>
          <w:lang w:val="en-US" w:eastAsia="en-US"/>
        </w:rPr>
        <w:t xml:space="preserve"> ₪.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יצוין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לחובתו של הנאשם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שהוא יליד </w:t>
      </w:r>
      <w:r>
        <w:rPr>
          <w:rFonts w:cs="Arial" w:ascii="Arial" w:hAnsi="Arial"/>
          <w:sz w:val="20"/>
          <w:szCs w:val="20"/>
          <w:lang w:val="en-US" w:eastAsia="en-US"/>
        </w:rPr>
        <w:t>1986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הרשעות קודמות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בין היתר בעבירות בניגוד לפקודת הסמים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הוא גם נדון בעברו לעונשי מאסר בפועל בגין עבירות לפי פקודת הסמים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כאשר בשנת </w:t>
      </w:r>
      <w:r>
        <w:rPr>
          <w:rFonts w:cs="Arial" w:ascii="Arial" w:hAnsi="Arial"/>
          <w:lang w:val="en-US" w:eastAsia="en-US"/>
        </w:rPr>
        <w:t>2007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נגזרו עליו </w:t>
      </w:r>
      <w:r>
        <w:rPr>
          <w:rFonts w:cs="Arial" w:ascii="Arial" w:hAnsi="Arial"/>
          <w:lang w:val="en-US" w:eastAsia="en-US"/>
        </w:rPr>
        <w:t>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ובשנת </w:t>
      </w:r>
      <w:r>
        <w:rPr>
          <w:rFonts w:cs="Arial" w:ascii="Arial" w:hAnsi="Arial"/>
          <w:lang w:val="en-US" w:eastAsia="en-US"/>
        </w:rPr>
        <w:t>2012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נדון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בפועל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כשהפעם נדון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לצד העבירה בניגוד לפקודת הסמים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גם בעבירה של נהיגה ללא רישיון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בעת שגזר דינו של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סקר את הענישה שניתנה בפרשיה נשוא הסוכן הסמוי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הן הענישה שנגזרה בכתב האישום שבפנינו והן הענישה שנפסקה בגזרי דין אחרים שניתנו בפרשיה הרלבנטית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סקר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פסיקה ענפה נוספת מתחום הסחר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ולאחר שמצא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הערך החברתי המוגן בעבירות בהן הורשע המערער הינו החובה להגן על בריאותו ושלומו הפיזי והנפשי של הציבור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כמו גם הצורך למנוע פגיעה ונזק לחברה כתוצאה מהתופעה הקשה של התמכרות לחומרים פסיכו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אקטיביים משני תודעה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קבע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המחוקק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לא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הבחין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בעונש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בין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סוגי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הסם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או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כמויות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הסם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ובתי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המשפט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נוהגים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להחמיר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ככל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שהכמות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גדולה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יותר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ומעשי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הסחר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רבים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יותר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כשגם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לעבר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הפלילי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ניתן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שיקול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של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ממש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הדגיש את מדיניות הענישה המחמירה בעבירות שעניינן סחר בסמים מסוכנים והחזקת סמים מסוכנים שלא לצריכה עצמית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ובסופו של דבר קבע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המתחם העונשי ההולם של מי שסוחר בסם מסוכן או מחזיק בו למטרת סחר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הינו עונש מאסר בפועל לתקופה שבין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כל מקרה על פי נסיבותיו של המעשה ושל העושה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לאחר קביעה זו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בחן ביהמ</w:t>
      </w:r>
      <w:r>
        <w:rPr>
          <w:rFonts w:ascii="Times New Roman" w:hAnsi="Times New Roman" w:cs="Times New Roman"/>
          <w:rtl w:val="true"/>
          <w:lang w:val="en-US" w:eastAsia="en-US"/>
        </w:rPr>
        <w:t>”</w:t>
      </w:r>
      <w:r>
        <w:rPr>
          <w:rFonts w:ascii="Arial" w:hAnsi="Arial" w:cs="Arial"/>
          <w:rtl w:val="true"/>
          <w:lang w:val="en-US" w:eastAsia="en-US"/>
        </w:rPr>
        <w:t>ש את רף הענישה המוסכם לגבי יתר הנאשמים בגין כל עסקה ועסקה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ומצא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לאחר חישוב מתמטי של העונשים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שרף ענישה זה נע בין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 בלבד</w:t>
      </w:r>
      <w:r>
        <w:rPr>
          <w:rFonts w:cs="Arial" w:ascii="Arial" w:hAnsi="Arial"/>
          <w:rtl w:val="true"/>
          <w:lang w:val="en-US" w:eastAsia="en-US"/>
        </w:rPr>
        <w:t>, 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רף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נמוך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לכל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הדעות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בעיקר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לאור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העובדה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שלחלקם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מאסרים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מותנים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ואף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ריצו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עונשי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מאסר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בעבר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בגין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עבירות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דומות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עוד בחן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את נסיבותיו של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את החרטה שהביע ואת טענתו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למד את לקחו וכי לא סחר בסמים למטרת רווח אלא למטרת עישון בלבד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כן התחשב בעדות אחי המערער ובמכתב שכתב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ובעברו הפלילי הכולל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הרשעות קודמות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הראשונה מיום </w:t>
      </w:r>
      <w:r>
        <w:rPr>
          <w:rFonts w:cs="Arial" w:ascii="Arial" w:hAnsi="Arial"/>
          <w:lang w:val="en-US" w:eastAsia="en-US"/>
        </w:rPr>
        <w:t>30/08/07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במסגרתה נדון בבית דין צבאי בגין היעדרות מן השירות למאסר של </w:t>
      </w:r>
      <w:r>
        <w:rPr>
          <w:rFonts w:cs="Arial" w:ascii="Arial" w:hAnsi="Arial"/>
          <w:lang w:val="en-US" w:eastAsia="en-US"/>
        </w:rPr>
        <w:t>50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ימים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והשנייה מיום </w:t>
      </w:r>
      <w:r>
        <w:rPr>
          <w:rFonts w:cs="Arial" w:ascii="Arial" w:hAnsi="Arial"/>
          <w:lang w:val="en-US" w:eastAsia="en-US"/>
        </w:rPr>
        <w:t>26/01/11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במסגרתה נדון בגין עבירה של הכשלת שוטר למאסר מותנה ופסילה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לאור כל האמור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תוך ציון עקרון האחידות בענישה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קבע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בשונה מן האחרים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המערער הורשע בכמות גדולה של עבירות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ב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-</w:t>
      </w:r>
      <w:r>
        <w:rPr>
          <w:rFonts w:cs="Arial" w:ascii="Arial" w:hAnsi="Arial"/>
          <w:sz w:val="20"/>
          <w:szCs w:val="20"/>
          <w:lang w:val="en-US" w:eastAsia="en-US"/>
        </w:rPr>
        <w:t>4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עבירות של סחר בסם מסוכן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אולם עדיין יש מקום לקחת בחשבון את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גזרי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הדין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המקלים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שהוטלו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על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יתר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הנאשמים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וכן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העובדה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שבחר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להודות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מיד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כבר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במשטרה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משכך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סבר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ניתן להסתפק בתקופת מאסר קצרה יחסית של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לכל אחד מן האישומים ועל 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דן את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כמצוין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ובנוסף לעונשים האחרים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32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בניכוי ימי המעצר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הערעור שבפנינו הופנה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כנגד חומרת העונש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אך גם כנגד אופן חישובו של עונש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נטען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העונש שהוטל בסופו של דבר אינו מידתי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אינו מבטא את עקרון ההלימה ואף אינו נותן ביטוי לעקרון האחידות בענישה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לוין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ציינה בהודעת ערעור ארוכה ומפורטת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שנכתבה יחד עם עו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"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ד לגמי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כמו גם בטיעוניה בעל פה 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לא היה מקום לקביעת עונש נפרד לכל אישום ואישום ובוודאי שלא היה מקום לקבוע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עונשים אלה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גם אם נקבעו בנפרד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ירוצו במצטבר זה לזה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הדבר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לטעמה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איננו מחויב על פי תיקון </w:t>
      </w:r>
      <w:r>
        <w:rPr>
          <w:rFonts w:cs="Arial" w:ascii="Arial" w:hAnsi="Arial"/>
          <w:lang w:val="en-US" w:eastAsia="en-US"/>
        </w:rPr>
        <w:t>113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23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אשר לא ביקש לשנות או לבטל את עקרונות הענישה שנקבעו בפסיקה לאורך השנים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ואין מקום לפעול בדרך זו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העונש שייגזר בסופו של דבר לא יהלום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עקב 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את העבירות שבוצעו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ובענייננו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לטעמה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היה מקום להטיל עונש אחד כולל לארבעת האישומים בהם הורשע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תוך התחשבות בכך שמדובר בסחר בחשיש בכמות קטנה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מספר העסקאות יכול לשמש כנסיבה מחמירה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אולם לא כמכפלה של העונש בגין כל אחת מהעבירות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דברים אלה נכונים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להבנתה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בבחינת קל וחומר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מדובר במי שמכר סמים מסוכנים במסגרת מבצע הפעלה של סוכן סמוי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שכן המשטרה היא זו שבוחרת את מספר הפעמים בהם יישלח הסוכן אל אותו סוחר פוטנציאלי והיא זו ששולטת במספר העסקאות אותן היא יוזמת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  <w:t xml:space="preserve"> </w:t>
      </w:r>
      <w:r>
        <w:rPr>
          <w:rFonts w:ascii="Arial" w:hAnsi="Arial" w:cs="Arial"/>
          <w:rtl w:val="true"/>
          <w:lang w:val="en-US" w:eastAsia="en-US"/>
        </w:rPr>
        <w:t>עוד טענה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בגזר דינו סטה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מכלל אחידות הענישה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תוך שהשווה בין העונשים השונים שקיבלו הנאשמים האחרים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בעיקר על רקע עברם הפלילי הכבד מזה של המערער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כאשר עברו של המערער אינו מכביד ואילו האחרים ריצו עונשי מאסר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כי בגזר דינו לא נתן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ש משקל ראוי לכך שמדובר בסחר בסם מסוג חשיש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במאובחן מעניינו של נאשם </w:t>
      </w:r>
      <w:r>
        <w:rPr>
          <w:rFonts w:cs="Arial" w:ascii="Arial" w:hAnsi="Arial"/>
          <w:sz w:val="20"/>
          <w:szCs w:val="20"/>
          <w:lang w:val="en-US" w:eastAsia="en-US"/>
        </w:rPr>
        <w:t>4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למשל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שסחר והחזיק בסם מסוכן מסוג קריסטל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כי בגזר דינו לא נתן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ש משקל לנסיבותיו האישיות המיוחדות של המערער ולחרטה שהביע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לעניין זה הגישה מסמך מהאגף לשירותי רווחה בעיר מגוריו של המערער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–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 קריית גת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המפרט את הטיפול שמעניקה העירייה למכורים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כי בגזר דינו שגה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כאשר קבע מתחם עונש אחיד בגין כל עבירות הסחר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יסוד העונש שנקבע לצד עבירת הסחר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בלא לאבחן בין המקרים על בסיס כמות הסם או סוגו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וכי בגזר דינו החמיר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עם המערער הן יחסית לעונשים האחרים שנגזרו אך גם אובייקטיבית נוכח המעשים שביצע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ביקשה הסנגורית להקל בעונשו של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ובפרט להקל בעונש המאסר בפועל שנגזר עליו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המשיבה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אדיר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כהן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ביקשה שלא להתערב בגזר דינו של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תוך שציינה שהעונש הולם את חומרת מעשיו של המערער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היא הדגישה את מטרתו של תיקון </w:t>
      </w:r>
      <w:r>
        <w:rPr>
          <w:rFonts w:cs="Arial" w:ascii="Arial" w:hAnsi="Arial"/>
          <w:lang w:val="en-US" w:eastAsia="en-US"/>
        </w:rPr>
        <w:t>113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24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שנועד להכניס את בתי המשפט למערך של כללים בטרם ענישה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ובין היתר כללים אלה אמורים להביא את בתי המשפט ליתן משקל של ממש לכל אחת מהעבירות המבוצעות על ידי הנאשמים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להבנתה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קמא שקל את כל השיקולים הנכונים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השווה בין העונשים השונים שניתנו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קבע מתחם עונש הולם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וגזר עונשו של המערער בהתאם לרף הענישה שנקבע בפרשייה הרלבנטית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כך שבגין כל עבירה נדון המערער רק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בפועל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עונש שאינו מחמיר לעבירה של 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גם אם מדובר בסחר בחשיש ובכמויות לא גדולות כמו במקרה הנוכחי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התובעת הדגישה עוד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שכשם שההגנה מבקשת לא לעשות חישוב אריתמטי של ארבעה אישומים כפול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כך ההיגיון גם מחייב לא לעשות חישוב אריתמטי של מספר חודשי מאסר לפי מספר גרמים של סם מסוכן שהחזיק כל 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כפי שההגנה ביקשה לעשות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תוך שהשוותה בין העונשים השונים שנגזרו בפרשייה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7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בתי המשפט כבר הביעו עמדתם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ואף אנו עשינו 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בכל הנוגע לאופן ההליכה במתווה שנקבע בתיקון </w:t>
      </w:r>
      <w:hyperlink r:id="rId25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מס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 xml:space="preserve">'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113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26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ר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' </w:t>
      </w:r>
      <w:hyperlink r:id="rId27"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>עפ</w:t>
        </w:r>
        <w:r>
          <w:rPr>
            <w:rStyle w:val="Hyperlink"/>
            <w:rFonts w:cs="Arial" w:ascii="Arial" w:hAnsi="Arial"/>
            <w:color w:val="0000FF"/>
            <w:sz w:val="20"/>
            <w:szCs w:val="20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 xml:space="preserve">ג </w:t>
        </w:r>
        <w:r>
          <w:rPr>
            <w:rStyle w:val="Hyperlink"/>
            <w:rFonts w:cs="Arial" w:ascii="Arial" w:hAnsi="Arial"/>
            <w:color w:val="0000FF"/>
            <w:sz w:val="20"/>
            <w:szCs w:val="20"/>
            <w:u w:val="single"/>
            <w:rtl w:val="true"/>
            <w:lang w:val="en-US" w:eastAsia="en-US"/>
          </w:rPr>
          <w:t>[</w:t>
        </w:r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>ב</w:t>
        </w:r>
        <w:r>
          <w:rPr>
            <w:rStyle w:val="Hyperlink"/>
            <w:rFonts w:cs="Arial" w:ascii="Arial" w:hAnsi="Arial"/>
            <w:color w:val="0000FF"/>
            <w:sz w:val="20"/>
            <w:szCs w:val="20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>ש</w:t>
        </w:r>
        <w:r>
          <w:rPr>
            <w:rStyle w:val="Hyperlink"/>
            <w:rFonts w:cs="Arial" w:ascii="Arial" w:hAnsi="Arial"/>
            <w:color w:val="0000FF"/>
            <w:sz w:val="20"/>
            <w:szCs w:val="20"/>
            <w:u w:val="single"/>
            <w:rtl w:val="true"/>
            <w:lang w:val="en-US" w:eastAsia="en-US"/>
          </w:rPr>
          <w:t xml:space="preserve">] </w:t>
        </w:r>
        <w:r>
          <w:rPr>
            <w:rStyle w:val="Hyperlink"/>
            <w:rFonts w:cs="Arial" w:ascii="Arial" w:hAnsi="Arial"/>
            <w:color w:val="0000FF"/>
            <w:sz w:val="20"/>
            <w:szCs w:val="20"/>
            <w:u w:val="single"/>
            <w:lang w:val="en-US" w:eastAsia="en-US"/>
          </w:rPr>
          <w:t>39844-08-13</w:t>
        </w:r>
      </w:hyperlink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sz w:val="20"/>
          <w:sz w:val="20"/>
          <w:szCs w:val="20"/>
          <w:rtl w:val="true"/>
          <w:lang w:val="en-US" w:eastAsia="en-US"/>
        </w:rPr>
        <w:t>מדינת ישראל נ</w:t>
      </w:r>
      <w:r>
        <w:rPr>
          <w:rFonts w:cs="Arial" w:ascii="Arial" w:hAnsi="Arial"/>
          <w:b/>
          <w:bCs/>
          <w:sz w:val="20"/>
          <w:szCs w:val="20"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sz w:val="20"/>
          <w:sz w:val="20"/>
          <w:szCs w:val="20"/>
          <w:rtl w:val="true"/>
          <w:lang w:val="en-US" w:eastAsia="en-US"/>
        </w:rPr>
        <w:t>אבו</w:t>
      </w:r>
      <w:r>
        <w:rPr>
          <w:rFonts w:cs="Arial" w:ascii="Arial" w:hAnsi="Arial"/>
          <w:b/>
          <w:bCs/>
          <w:sz w:val="20"/>
          <w:szCs w:val="20"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sz w:val="20"/>
          <w:sz w:val="20"/>
          <w:szCs w:val="20"/>
          <w:rtl w:val="true"/>
          <w:lang w:val="en-US" w:eastAsia="en-US"/>
        </w:rPr>
        <w:t>רקייק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sz w:val="20"/>
          <w:szCs w:val="20"/>
          <w:rtl w:val="true"/>
          <w:lang w:val="en-US" w:eastAsia="en-US"/>
        </w:rPr>
        <w:t>[</w:t>
      </w:r>
      <w:r>
        <w:rPr>
          <w:sz w:val="20"/>
          <w:sz w:val="20"/>
          <w:szCs w:val="20"/>
          <w:rtl w:val="true"/>
          <w:lang w:val="en-US" w:eastAsia="en-US"/>
        </w:rPr>
        <w:t>פורסם</w:t>
      </w:r>
      <w:r>
        <w:rPr>
          <w:rFonts w:cs="Times New Roman"/>
          <w:sz w:val="20"/>
          <w:sz w:val="20"/>
          <w:szCs w:val="20"/>
          <w:rtl w:val="true"/>
          <w:lang w:val="en-US" w:eastAsia="en-US"/>
        </w:rPr>
        <w:t xml:space="preserve"> </w:t>
      </w:r>
      <w:r>
        <w:rPr>
          <w:sz w:val="20"/>
          <w:sz w:val="20"/>
          <w:szCs w:val="20"/>
          <w:rtl w:val="true"/>
          <w:lang w:val="en-US" w:eastAsia="en-US"/>
        </w:rPr>
        <w:t>בנבו</w:t>
      </w:r>
      <w:r>
        <w:rPr>
          <w:sz w:val="20"/>
          <w:szCs w:val="20"/>
          <w:rtl w:val="true"/>
          <w:lang w:val="en-US" w:eastAsia="en-US"/>
        </w:rPr>
        <w:t xml:space="preserve">]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מיום </w:t>
      </w:r>
      <w:r>
        <w:rPr>
          <w:rFonts w:cs="Arial" w:ascii="Arial" w:hAnsi="Arial"/>
          <w:sz w:val="20"/>
          <w:szCs w:val="20"/>
          <w:lang w:val="en-US" w:eastAsia="en-US"/>
        </w:rPr>
        <w:t>26/12/13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וצוין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</w:t>
      </w:r>
      <w:r>
        <w:rPr>
          <w:rFonts w:cs="Arial"/>
          <w:rtl w:val="true"/>
          <w:lang w:val="en-US" w:eastAsia="en-US"/>
        </w:rPr>
        <w:t>תיקון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Arial"/>
          <w:lang w:val="en-US" w:eastAsia="en-US"/>
        </w:rPr>
        <w:t>113</w:t>
      </w:r>
      <w:r>
        <w:rPr>
          <w:rFonts w:cs="Arial"/>
          <w:rtl w:val="true"/>
          <w:lang w:val="en-US" w:eastAsia="en-US"/>
        </w:rPr>
        <w:t xml:space="preserve"> </w:t>
      </w:r>
      <w:r>
        <w:rPr>
          <w:rFonts w:cs="Arial"/>
          <w:rtl w:val="true"/>
          <w:lang w:val="en-US" w:eastAsia="en-US"/>
        </w:rPr>
        <w:t>לחוק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Arial"/>
          <w:rtl w:val="true"/>
          <w:lang w:val="en-US" w:eastAsia="en-US"/>
        </w:rPr>
        <w:t>העונשין</w:t>
      </w:r>
      <w:r>
        <w:rPr>
          <w:rFonts w:cs="Arial"/>
          <w:rtl w:val="true"/>
          <w:lang w:val="en-US" w:eastAsia="en-US"/>
        </w:rPr>
        <w:t xml:space="preserve">, </w:t>
      </w:r>
      <w:r>
        <w:rPr>
          <w:rFonts w:cs="Arial"/>
          <w:rtl w:val="true"/>
          <w:lang w:val="en-US" w:eastAsia="en-US"/>
        </w:rPr>
        <w:t>שכותרתו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Miriam"/>
          <w:rtl w:val="true"/>
          <w:lang w:val="en-US" w:eastAsia="en-US"/>
        </w:rPr>
        <w:t>"</w:t>
      </w:r>
      <w:r>
        <w:rPr>
          <w:rFonts w:cs="Miriam"/>
          <w:b/>
          <w:b/>
          <w:bCs/>
          <w:rtl w:val="true"/>
          <w:lang w:val="en-US" w:eastAsia="en-US"/>
        </w:rPr>
        <w:t>הבניית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שיקול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הדעת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השיפוטי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בענישה</w:t>
      </w:r>
      <w:r>
        <w:rPr>
          <w:rFonts w:cs="Miriam"/>
          <w:rtl w:val="true"/>
          <w:lang w:val="en-US" w:eastAsia="en-US"/>
        </w:rPr>
        <w:t xml:space="preserve">", </w:t>
      </w:r>
      <w:r>
        <w:rPr>
          <w:rFonts w:cs="Arial"/>
          <w:rtl w:val="true"/>
          <w:lang w:val="en-US" w:eastAsia="en-US"/>
        </w:rPr>
        <w:t>שׂם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Arial"/>
          <w:rtl w:val="true"/>
          <w:lang w:val="en-US" w:eastAsia="en-US"/>
        </w:rPr>
        <w:t>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Arial"/>
          <w:rtl w:val="true"/>
          <w:lang w:val="en-US" w:eastAsia="en-US"/>
        </w:rPr>
        <w:t>למטרה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Miriam"/>
          <w:rtl w:val="true"/>
          <w:lang w:val="en-US" w:eastAsia="en-US"/>
        </w:rPr>
        <w:t>"</w:t>
      </w:r>
      <w:r>
        <w:rPr>
          <w:rFonts w:cs="Miriam"/>
          <w:b/>
          <w:b/>
          <w:bCs/>
          <w:rtl w:val="true"/>
          <w:lang w:val="en-US" w:eastAsia="en-US"/>
        </w:rPr>
        <w:t>לקבוע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העקרונות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והשיקולים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המנחים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בענישה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המשקל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שיש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להם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והיחס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ביניהם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כדי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יקבע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העונש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המתאים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לנאשם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בנסיבות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העבירה</w:t>
      </w:r>
      <w:r>
        <w:rPr>
          <w:rFonts w:cs="Miriam"/>
          <w:rtl w:val="true"/>
          <w:lang w:val="en-US" w:eastAsia="en-US"/>
        </w:rPr>
        <w:t>"</w:t>
      </w:r>
      <w:r>
        <w:rPr>
          <w:rFonts w:cs="Arial"/>
          <w:rtl w:val="true"/>
          <w:lang w:val="en-US" w:eastAsia="en-US"/>
        </w:rPr>
        <w:t xml:space="preserve"> </w:t>
      </w:r>
      <w:r>
        <w:rPr>
          <w:rFonts w:cs="Arial"/>
          <w:sz w:val="20"/>
          <w:szCs w:val="20"/>
          <w:rtl w:val="true"/>
          <w:lang w:val="en-US" w:eastAsia="en-US"/>
        </w:rPr>
        <w:t>(</w:t>
      </w:r>
      <w:hyperlink r:id="rId28">
        <w:r>
          <w:rPr>
            <w:rStyle w:val="Hyperlink"/>
            <w:rFonts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Arial"/>
            <w:color w:val="0000FF"/>
            <w:sz w:val="20"/>
            <w:szCs w:val="20"/>
            <w:u w:val="single"/>
            <w:lang w:val="en-US" w:eastAsia="en-US"/>
          </w:rPr>
          <w:t>40</w:t>
        </w:r>
        <w:r>
          <w:rPr>
            <w:rStyle w:val="Hyperlink"/>
            <w:rFonts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>א</w:t>
        </w:r>
      </w:hyperlink>
      <w:r>
        <w:rPr>
          <w:rFonts w:cs="Times New Roman"/>
          <w:sz w:val="20"/>
          <w:sz w:val="20"/>
          <w:szCs w:val="20"/>
          <w:rtl w:val="true"/>
          <w:lang w:val="en-US" w:eastAsia="en-US"/>
        </w:rPr>
        <w:t xml:space="preserve"> </w:t>
      </w:r>
      <w:r>
        <w:rPr>
          <w:rFonts w:cs="Arial"/>
          <w:sz w:val="20"/>
          <w:sz w:val="20"/>
          <w:szCs w:val="20"/>
          <w:rtl w:val="true"/>
          <w:lang w:val="en-US" w:eastAsia="en-US"/>
        </w:rPr>
        <w:t>לחוק</w:t>
      </w:r>
      <w:r>
        <w:rPr>
          <w:rFonts w:cs="Times New Roman"/>
          <w:sz w:val="20"/>
          <w:sz w:val="20"/>
          <w:szCs w:val="20"/>
          <w:rtl w:val="true"/>
          <w:lang w:val="en-US" w:eastAsia="en-US"/>
        </w:rPr>
        <w:t xml:space="preserve"> </w:t>
      </w:r>
      <w:r>
        <w:rPr>
          <w:rFonts w:cs="Arial"/>
          <w:sz w:val="20"/>
          <w:sz w:val="20"/>
          <w:szCs w:val="20"/>
          <w:rtl w:val="true"/>
          <w:lang w:val="en-US" w:eastAsia="en-US"/>
        </w:rPr>
        <w:t>העונשין</w:t>
      </w:r>
      <w:r>
        <w:rPr>
          <w:rFonts w:cs="Arial"/>
          <w:sz w:val="20"/>
          <w:szCs w:val="20"/>
          <w:rtl w:val="true"/>
          <w:lang w:val="en-US" w:eastAsia="en-US"/>
        </w:rPr>
        <w:t>)</w:t>
      </w:r>
      <w:r>
        <w:rPr>
          <w:rFonts w:cs="Arial"/>
          <w:rtl w:val="true"/>
          <w:lang w:val="en-US" w:eastAsia="en-US"/>
        </w:rPr>
        <w:t>.</w:t>
      </w:r>
      <w:r>
        <w:rPr>
          <w:rFonts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וכך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קבע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כב</w:t>
      </w:r>
      <w:r>
        <w:rPr>
          <w:rFonts w:cs="Arial" w:ascii="Calibri" w:hAnsi="Calibri"/>
          <w:rtl w:val="true"/>
          <w:lang w:val="en-US" w:eastAsia="en-US"/>
        </w:rPr>
        <w:t xml:space="preserve">' </w:t>
      </w:r>
      <w:r>
        <w:rPr>
          <w:rFonts w:ascii="Calibri" w:hAnsi="Calibri" w:cs="Arial"/>
          <w:rtl w:val="true"/>
          <w:lang w:val="en-US" w:eastAsia="en-US"/>
        </w:rPr>
        <w:t>השופט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סולברג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ב</w:t>
      </w:r>
      <w:hyperlink r:id="rId29">
        <w:r>
          <w:rPr>
            <w:rStyle w:val="Hyperlink"/>
            <w:rFonts w:ascii="Calibri" w:hAnsi="Calibri" w:cs="Arial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rFonts w:cs="Arial" w:ascii="Calibri" w:hAnsi="Calibri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Calibri" w:hAnsi="Calibri" w:cs="Arial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ascii="Calibri" w:hAnsi="Calibri" w:eastAsia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Calibri" w:hAnsi="Calibri"/>
            <w:color w:val="0000FF"/>
            <w:u w:val="single"/>
            <w:lang w:val="en-US" w:eastAsia="en-US"/>
          </w:rPr>
          <w:t>8641/12</w:t>
        </w:r>
      </w:hyperlink>
      <w:r>
        <w:rPr>
          <w:rFonts w:cs="Arial" w:ascii="Calibri" w:hAnsi="Calibri"/>
          <w:rtl w:val="true"/>
          <w:lang w:val="en-US" w:eastAsia="en-US"/>
        </w:rPr>
        <w:t xml:space="preserve">, </w:t>
      </w:r>
      <w:r>
        <w:rPr>
          <w:rFonts w:cs="Arial" w:ascii="Calibri" w:hAnsi="Calibri"/>
          <w:lang w:val="en-US" w:eastAsia="en-US"/>
        </w:rPr>
        <w:t>8678/12</w:t>
      </w:r>
      <w:r>
        <w:rPr>
          <w:rFonts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b/>
          <w:b/>
          <w:bCs/>
          <w:rtl w:val="true"/>
          <w:lang w:val="en-US" w:eastAsia="en-US"/>
        </w:rPr>
        <w:t>מחמוד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Arial"/>
          <w:b/>
          <w:b/>
          <w:bCs/>
          <w:rtl w:val="true"/>
          <w:lang w:val="en-US" w:eastAsia="en-US"/>
        </w:rPr>
        <w:t>סעד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Arial"/>
          <w:b/>
          <w:b/>
          <w:bCs/>
          <w:rtl w:val="true"/>
          <w:lang w:val="en-US" w:eastAsia="en-US"/>
        </w:rPr>
        <w:t>נ</w:t>
      </w:r>
      <w:r>
        <w:rPr>
          <w:rFonts w:cs="Arial" w:ascii="Calibri" w:hAnsi="Calibri"/>
          <w:b/>
          <w:bCs/>
          <w:rtl w:val="true"/>
          <w:lang w:val="en-US" w:eastAsia="en-US"/>
        </w:rPr>
        <w:t xml:space="preserve">' </w:t>
      </w:r>
      <w:r>
        <w:rPr>
          <w:rFonts w:ascii="Calibri" w:hAnsi="Calibri" w:cs="Arial"/>
          <w:b/>
          <w:b/>
          <w:bCs/>
          <w:rtl w:val="true"/>
          <w:lang w:val="en-US" w:eastAsia="en-US"/>
        </w:rPr>
        <w:t>מדינת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Arial"/>
          <w:b/>
          <w:b/>
          <w:bCs/>
          <w:rtl w:val="true"/>
          <w:lang w:val="en-US" w:eastAsia="en-US"/>
        </w:rPr>
        <w:t>ישראל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cs="Arial" w:ascii="Calibri" w:hAnsi="Calibri"/>
          <w:sz w:val="20"/>
          <w:szCs w:val="20"/>
          <w:rtl w:val="true"/>
          <w:lang w:val="en-US" w:eastAsia="en-US"/>
        </w:rPr>
        <w:t>(</w:t>
      </w:r>
      <w:r>
        <w:rPr>
          <w:rFonts w:ascii="Calibri" w:hAnsi="Calibri" w:cs="Arial"/>
          <w:sz w:val="20"/>
          <w:sz w:val="20"/>
          <w:szCs w:val="20"/>
          <w:rtl w:val="true"/>
          <w:lang w:val="en-US" w:eastAsia="en-US"/>
        </w:rPr>
        <w:t>מיום</w:t>
      </w:r>
      <w:r>
        <w:rPr>
          <w:rFonts w:ascii="Calibri" w:hAnsi="Calibri" w:eastAsia="Calibri" w:cs="Calibri"/>
          <w:sz w:val="20"/>
          <w:sz w:val="20"/>
          <w:szCs w:val="20"/>
          <w:rtl w:val="true"/>
          <w:lang w:val="en-US" w:eastAsia="en-US"/>
        </w:rPr>
        <w:t xml:space="preserve"> </w:t>
      </w:r>
      <w:r>
        <w:rPr>
          <w:rFonts w:cs="Arial" w:ascii="Calibri" w:hAnsi="Calibri"/>
          <w:sz w:val="20"/>
          <w:szCs w:val="20"/>
          <w:lang w:val="en-US" w:eastAsia="en-US"/>
        </w:rPr>
        <w:t>05/08/13</w:t>
      </w:r>
      <w:r>
        <w:rPr>
          <w:rFonts w:cs="Arial" w:ascii="Calibri" w:hAnsi="Calibri"/>
          <w:sz w:val="20"/>
          <w:szCs w:val="20"/>
          <w:rtl w:val="true"/>
          <w:lang w:val="en-US" w:eastAsia="en-US"/>
        </w:rPr>
        <w:t>)</w:t>
      </w:r>
      <w:r>
        <w:rPr>
          <w:rFonts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בכל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הנוגע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לאופן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קביעת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המתחם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Arial"/>
          <w:rtl w:val="true"/>
          <w:lang w:val="en-US" w:eastAsia="en-US"/>
        </w:rPr>
        <w:t>האמור</w:t>
      </w:r>
      <w:r>
        <w:rPr>
          <w:rFonts w:cs="Arial" w:ascii="Calibri" w:hAnsi="Calibri"/>
          <w:rtl w:val="true"/>
          <w:lang w:val="en-US" w:eastAsia="en-US"/>
        </w:rPr>
        <w:t>:</w:t>
      </w:r>
    </w:p>
    <w:p>
      <w:pPr>
        <w:pStyle w:val="Normal"/>
        <w:spacing w:before="0" w:after="200"/>
        <w:ind w:start="1440" w:end="709"/>
        <w:jc w:val="both"/>
        <w:rPr>
          <w:rFonts w:ascii="Calibri" w:hAnsi="Calibri" w:cs="Miriam"/>
          <w:b/>
          <w:bCs/>
          <w:lang w:val="en-US" w:eastAsia="en-US"/>
        </w:rPr>
      </w:pPr>
      <w:r>
        <w:rPr>
          <w:rFonts w:cs="Miriam"/>
          <w:b/>
          <w:bCs/>
          <w:rtl w:val="true"/>
          <w:lang w:val="en-US" w:eastAsia="en-US"/>
        </w:rPr>
        <w:t>"</w:t>
      </w:r>
      <w:r>
        <w:rPr>
          <w:rFonts w:cs="Miriam"/>
          <w:b/>
          <w:b/>
          <w:bCs/>
          <w:rtl w:val="true"/>
          <w:lang w:val="en-US" w:eastAsia="en-US"/>
        </w:rPr>
        <w:t>בתיקון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lang w:val="en-US" w:eastAsia="en-US"/>
        </w:rPr>
        <w:t>113</w:t>
      </w:r>
      <w:r>
        <w:rPr>
          <w:rFonts w:cs="Miriam"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קבע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המחוקק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מנגנון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תלת</w:t>
      </w:r>
      <w:r>
        <w:rPr>
          <w:rFonts w:cs="Miriam"/>
          <w:b/>
          <w:bCs/>
          <w:rtl w:val="true"/>
          <w:lang w:val="en-US" w:eastAsia="en-US"/>
        </w:rPr>
        <w:t>-</w:t>
      </w:r>
      <w:r>
        <w:rPr>
          <w:rFonts w:cs="Miriam"/>
          <w:b/>
          <w:b/>
          <w:bCs/>
          <w:rtl w:val="true"/>
          <w:lang w:val="en-US" w:eastAsia="en-US"/>
        </w:rPr>
        <w:t>שלבי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לגזירת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העונש</w:t>
      </w:r>
      <w:r>
        <w:rPr>
          <w:rFonts w:cs="Miriam"/>
          <w:b/>
          <w:bCs/>
          <w:rtl w:val="true"/>
          <w:lang w:val="en-US" w:eastAsia="en-US"/>
        </w:rPr>
        <w:t xml:space="preserve">. </w:t>
      </w:r>
      <w:r>
        <w:rPr>
          <w:rFonts w:cs="Miriam"/>
          <w:rtl w:val="true"/>
          <w:lang w:val="en-US" w:eastAsia="en-US"/>
        </w:rPr>
        <w:t>בשלב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Miriam"/>
          <w:rtl w:val="true"/>
          <w:lang w:val="en-US" w:eastAsia="en-US"/>
        </w:rPr>
        <w:t>הראשון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Miriam"/>
          <w:rtl w:val="true"/>
          <w:lang w:val="en-US" w:eastAsia="en-US"/>
        </w:rPr>
        <w:t xml:space="preserve">- </w:t>
      </w:r>
      <w:r>
        <w:rPr>
          <w:rFonts w:cs="Miriam"/>
          <w:rtl w:val="true"/>
          <w:lang w:val="en-US" w:eastAsia="en-US"/>
        </w:rPr>
        <w:t>המקדמי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נדרש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לבדוק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האם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הנאשם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שלפניו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הורשע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בכמה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עבירות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להבדיל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מהרשעה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בעבירה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יחידה</w:t>
      </w:r>
      <w:r>
        <w:rPr>
          <w:rFonts w:cs="Miriam"/>
          <w:b/>
          <w:bCs/>
          <w:rtl w:val="true"/>
          <w:lang w:val="en-US" w:eastAsia="en-US"/>
        </w:rPr>
        <w:t xml:space="preserve">. </w:t>
      </w:r>
      <w:r>
        <w:rPr>
          <w:rFonts w:cs="Miriam"/>
          <w:b/>
          <w:b/>
          <w:bCs/>
          <w:rtl w:val="true"/>
          <w:lang w:val="en-US" w:eastAsia="en-US"/>
        </w:rPr>
        <w:t>במידה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ומדובר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בכמה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עבירות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לקבוע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האם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מהוות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אירוע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אחד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כמה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אירועים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נפרדים</w:t>
      </w:r>
      <w:r>
        <w:rPr>
          <w:rFonts w:cs="Miriam"/>
          <w:b/>
          <w:bCs/>
          <w:rtl w:val="true"/>
          <w:lang w:val="en-US" w:eastAsia="en-US"/>
        </w:rPr>
        <w:t xml:space="preserve">. </w:t>
      </w:r>
      <w:r>
        <w:rPr>
          <w:rFonts w:cs="Miriam"/>
          <w:b/>
          <w:b/>
          <w:bCs/>
          <w:rtl w:val="true"/>
          <w:lang w:val="en-US" w:eastAsia="en-US"/>
        </w:rPr>
        <w:t>אם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מדובר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באירוע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אחד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ימשיך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'</w:t>
      </w:r>
      <w:r>
        <w:rPr>
          <w:rFonts w:cs="Miriam"/>
          <w:b/>
          <w:b/>
          <w:bCs/>
          <w:rtl w:val="true"/>
          <w:lang w:val="en-US" w:eastAsia="en-US"/>
        </w:rPr>
        <w:t>כרגיל</w:t>
      </w:r>
      <w:r>
        <w:rPr>
          <w:rFonts w:cs="Miriam"/>
          <w:b/>
          <w:bCs/>
          <w:rtl w:val="true"/>
          <w:lang w:val="en-US" w:eastAsia="en-US"/>
        </w:rPr>
        <w:t xml:space="preserve">', </w:t>
      </w:r>
      <w:r>
        <w:rPr>
          <w:rFonts w:cs="Miriam"/>
          <w:b/>
          <w:b/>
          <w:bCs/>
          <w:rtl w:val="true"/>
          <w:lang w:val="en-US" w:eastAsia="en-US"/>
        </w:rPr>
        <w:t>אל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שני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השלבים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הבאים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קרי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יקבע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מתחם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ענישה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לאירוע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כולו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ויגזור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עונש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כולל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לכל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העבירות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הקשורות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לאותו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אירוע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סעיף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lang w:val="en-US" w:eastAsia="en-US"/>
        </w:rPr>
        <w:t>40</w:t>
      </w:r>
      <w:r>
        <w:rPr>
          <w:rFonts w:cs="Miriam"/>
          <w:b/>
          <w:b/>
          <w:bCs/>
          <w:rtl w:val="true"/>
          <w:lang w:val="en-US" w:eastAsia="en-US"/>
        </w:rPr>
        <w:t>יג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א</w:t>
      </w:r>
      <w:r>
        <w:rPr>
          <w:rFonts w:cs="Miriam"/>
          <w:b/>
          <w:bCs/>
          <w:rtl w:val="true"/>
          <w:lang w:val="en-US" w:eastAsia="en-US"/>
        </w:rPr>
        <w:t xml:space="preserve">) </w:t>
      </w:r>
      <w:r>
        <w:rPr>
          <w:rFonts w:cs="Miriam"/>
          <w:b/>
          <w:b/>
          <w:bCs/>
          <w:rtl w:val="true"/>
          <w:lang w:val="en-US" w:eastAsia="en-US"/>
        </w:rPr>
        <w:t>ל</w:t>
      </w:r>
      <w:hyperlink r:id="rId30">
        <w:r>
          <w:rPr>
            <w:rStyle w:val="Hyperlink"/>
            <w:rFonts w:cs="Miriam"/>
            <w:b/>
            <w:b/>
            <w:bCs/>
            <w:color w:val="0000FF"/>
            <w:u w:val="single"/>
            <w:rtl w:val="true"/>
            <w:lang w:val="en-US" w:eastAsia="en-US"/>
          </w:rPr>
          <w:t>חוק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Miriam"/>
            <w:b/>
            <w:b/>
            <w:bCs/>
            <w:color w:val="0000FF"/>
            <w:u w:val="single"/>
            <w:rtl w:val="true"/>
            <w:lang w:val="en-US" w:eastAsia="en-US"/>
          </w:rPr>
          <w:t>העונשין</w:t>
        </w:r>
      </w:hyperlink>
      <w:r>
        <w:rPr>
          <w:rFonts w:cs="Miriam"/>
          <w:b/>
          <w:bCs/>
          <w:rtl w:val="true"/>
          <w:lang w:val="en-US" w:eastAsia="en-US"/>
        </w:rPr>
        <w:t xml:space="preserve">)). </w:t>
      </w:r>
      <w:r>
        <w:rPr>
          <w:rFonts w:cs="Miriam"/>
          <w:b/>
          <w:b/>
          <w:bCs/>
          <w:rtl w:val="true"/>
          <w:lang w:val="en-US" w:eastAsia="en-US"/>
        </w:rPr>
        <w:t>לעומת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זאת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במידה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ובית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מצא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כי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בעבירות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שבהן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הורשע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הנאשם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מדובר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בכמה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אירועים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יקבע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עונש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הולם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לכל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אירוע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בנפרד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ולאחר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מכן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יוכל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לגזור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עונש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נפרד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לכל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אירוע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בד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בבד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קביעה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האם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ירוצו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העונשים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בחופף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במצטבר</w:t>
      </w:r>
      <w:r>
        <w:rPr>
          <w:rFonts w:cs="Miriam"/>
          <w:b/>
          <w:bCs/>
          <w:rtl w:val="true"/>
          <w:lang w:val="en-US" w:eastAsia="en-US"/>
        </w:rPr>
        <w:t xml:space="preserve">), </w:t>
      </w:r>
      <w:r>
        <w:rPr>
          <w:rFonts w:cs="Miriam"/>
          <w:b/>
          <w:b/>
          <w:bCs/>
          <w:rtl w:val="true"/>
          <w:lang w:val="en-US" w:eastAsia="en-US"/>
        </w:rPr>
        <w:t>או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עונש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כולל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לאירועים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כולם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סעיף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lang w:val="en-US" w:eastAsia="en-US"/>
        </w:rPr>
        <w:t>40</w:t>
      </w:r>
      <w:r>
        <w:rPr>
          <w:rFonts w:cs="Miriam"/>
          <w:b/>
          <w:b/>
          <w:bCs/>
          <w:rtl w:val="true"/>
          <w:lang w:val="en-US" w:eastAsia="en-US"/>
        </w:rPr>
        <w:t>יג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ב</w:t>
      </w:r>
      <w:r>
        <w:rPr>
          <w:rFonts w:cs="Miriam"/>
          <w:b/>
          <w:bCs/>
          <w:rtl w:val="true"/>
          <w:lang w:val="en-US" w:eastAsia="en-US"/>
        </w:rPr>
        <w:t xml:space="preserve">) </w:t>
      </w:r>
      <w:r>
        <w:rPr>
          <w:rFonts w:cs="Miriam"/>
          <w:b/>
          <w:b/>
          <w:bCs/>
          <w:rtl w:val="true"/>
          <w:lang w:val="en-US" w:eastAsia="en-US"/>
        </w:rPr>
        <w:t>ל</w:t>
      </w:r>
      <w:hyperlink r:id="rId31">
        <w:r>
          <w:rPr>
            <w:rStyle w:val="Hyperlink"/>
            <w:rFonts w:cs="Miriam"/>
            <w:b/>
            <w:b/>
            <w:bCs/>
            <w:color w:val="0000FF"/>
            <w:u w:val="single"/>
            <w:rtl w:val="true"/>
            <w:lang w:val="en-US" w:eastAsia="en-US"/>
          </w:rPr>
          <w:t>חוק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Miriam"/>
            <w:b/>
            <w:b/>
            <w:bCs/>
            <w:color w:val="0000FF"/>
            <w:u w:val="single"/>
            <w:rtl w:val="true"/>
            <w:lang w:val="en-US" w:eastAsia="en-US"/>
          </w:rPr>
          <w:t>העונשין</w:t>
        </w:r>
      </w:hyperlink>
      <w:r>
        <w:rPr>
          <w:rFonts w:cs="Miriam"/>
          <w:b/>
          <w:bCs/>
          <w:rtl w:val="true"/>
          <w:lang w:val="en-US" w:eastAsia="en-US"/>
        </w:rPr>
        <w:t xml:space="preserve">); </w:t>
      </w:r>
      <w:r>
        <w:rPr>
          <w:rFonts w:cs="Miriam"/>
          <w:b/>
          <w:b/>
          <w:bCs/>
          <w:rtl w:val="true"/>
          <w:lang w:val="en-US" w:eastAsia="en-US"/>
        </w:rPr>
        <w:t>בעקבות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המסקנה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שהתקבלה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בשלב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הראשון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ימשיך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לשני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השלבים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הבאים</w:t>
      </w:r>
      <w:r>
        <w:rPr>
          <w:rFonts w:cs="Miriam"/>
          <w:b/>
          <w:bCs/>
          <w:rtl w:val="true"/>
          <w:lang w:val="en-US" w:eastAsia="en-US"/>
        </w:rPr>
        <w:t xml:space="preserve">: </w:t>
      </w:r>
      <w:r>
        <w:rPr>
          <w:rFonts w:cs="Miriam"/>
          <w:rtl w:val="true"/>
          <w:lang w:val="en-US" w:eastAsia="en-US"/>
        </w:rPr>
        <w:t>בשלב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Miriam"/>
          <w:rtl w:val="true"/>
          <w:lang w:val="en-US" w:eastAsia="en-US"/>
        </w:rPr>
        <w:t>השני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קובע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מתחם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ענישה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ראוי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בהתחשב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בעבירה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ובנסיבות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הקשורות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בביצועה</w:t>
      </w:r>
      <w:r>
        <w:rPr>
          <w:rFonts w:cs="Miriam"/>
          <w:b/>
          <w:bCs/>
          <w:rtl w:val="true"/>
          <w:lang w:val="en-US" w:eastAsia="en-US"/>
        </w:rPr>
        <w:t xml:space="preserve">; </w:t>
      </w:r>
      <w:r>
        <w:rPr>
          <w:rFonts w:cs="Miriam"/>
          <w:rtl w:val="true"/>
          <w:lang w:val="en-US" w:eastAsia="en-US"/>
        </w:rPr>
        <w:t>ובשלב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Fonts w:cs="Miriam"/>
          <w:rtl w:val="true"/>
          <w:lang w:val="en-US" w:eastAsia="en-US"/>
        </w:rPr>
        <w:t>השלישי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נבחנות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הנסיבות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שאינן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קשורות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לעבירה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ובהתחשב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בהן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גוזר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הנאשם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עונש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המצוי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במתחם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הענישה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שנקבע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בשלב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השני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אלא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מתקיים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אחד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משני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חריגים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שיפורטו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להלן</w:t>
      </w:r>
      <w:r>
        <w:rPr>
          <w:rFonts w:cs="Miriam"/>
          <w:b/>
          <w:bCs/>
          <w:rtl w:val="true"/>
          <w:lang w:val="en-US" w:eastAsia="en-US"/>
        </w:rPr>
        <w:t xml:space="preserve">). </w:t>
      </w:r>
      <w:r>
        <w:rPr>
          <w:rFonts w:cs="Miriam"/>
          <w:b/>
          <w:b/>
          <w:bCs/>
          <w:rtl w:val="true"/>
          <w:lang w:val="en-US" w:eastAsia="en-US"/>
        </w:rPr>
        <w:t>כאן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המקום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לציין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כי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הנסיבות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הקשורות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לביצוע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העבירה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הנבחנות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בעת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קביעת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מתחם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הענישה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כמפורט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בסעיף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lang w:val="en-US" w:eastAsia="en-US"/>
        </w:rPr>
        <w:t>40</w:t>
      </w:r>
      <w:r>
        <w:rPr>
          <w:rFonts w:cs="Miriam"/>
          <w:b/>
          <w:b/>
          <w:bCs/>
          <w:rtl w:val="true"/>
          <w:lang w:val="en-US" w:eastAsia="en-US"/>
        </w:rPr>
        <w:t>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</w:t>
      </w:r>
      <w:hyperlink r:id="rId32">
        <w:r>
          <w:rPr>
            <w:rStyle w:val="Hyperlink"/>
            <w:rFonts w:cs="Miriam"/>
            <w:b/>
            <w:b/>
            <w:bCs/>
            <w:color w:val="0000FF"/>
            <w:u w:val="single"/>
            <w:rtl w:val="true"/>
            <w:lang w:val="en-US" w:eastAsia="en-US"/>
          </w:rPr>
          <w:t>חוק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Miriam"/>
            <w:b/>
            <w:b/>
            <w:bCs/>
            <w:color w:val="0000FF"/>
            <w:u w:val="single"/>
            <w:rtl w:val="true"/>
            <w:lang w:val="en-US" w:eastAsia="en-US"/>
          </w:rPr>
          <w:t>העונשין</w:t>
        </w:r>
      </w:hyperlink>
      <w:r>
        <w:rPr>
          <w:rFonts w:cs="Miriam"/>
          <w:b/>
          <w:bCs/>
          <w:rtl w:val="true"/>
          <w:lang w:val="en-US" w:eastAsia="en-US"/>
        </w:rPr>
        <w:t xml:space="preserve">), </w:t>
      </w:r>
      <w:r>
        <w:rPr>
          <w:rFonts w:cs="Miriam"/>
          <w:b/>
          <w:b/>
          <w:bCs/>
          <w:rtl w:val="true"/>
          <w:lang w:val="en-US" w:eastAsia="en-US"/>
        </w:rPr>
        <w:t>והנסיבות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שאינן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קשורות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לביצוע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העבירה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הנבחנות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בגזירת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העונש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כמפורט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בסעיף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lang w:val="en-US" w:eastAsia="en-US"/>
        </w:rPr>
        <w:t>40</w:t>
      </w:r>
      <w:r>
        <w:rPr>
          <w:rFonts w:cs="Miriam"/>
          <w:b/>
          <w:b/>
          <w:bCs/>
          <w:rtl w:val="true"/>
          <w:lang w:val="en-US" w:eastAsia="en-US"/>
        </w:rPr>
        <w:t>יא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לחוק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העונשין</w:t>
      </w:r>
      <w:r>
        <w:rPr>
          <w:rFonts w:cs="Miriam"/>
          <w:b/>
          <w:bCs/>
          <w:rtl w:val="true"/>
          <w:lang w:val="en-US" w:eastAsia="en-US"/>
        </w:rPr>
        <w:t xml:space="preserve">) </w:t>
      </w:r>
      <w:r>
        <w:rPr>
          <w:rFonts w:cs="Miriam"/>
          <w:b/>
          <w:b/>
          <w:bCs/>
          <w:rtl w:val="true"/>
          <w:lang w:val="en-US" w:eastAsia="en-US"/>
        </w:rPr>
        <w:t>אינן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רשימה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סגורה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ואין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בנסיבות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שציין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המחוקק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ופֵרטן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במפורש</w:t>
      </w:r>
      <w:r>
        <w:rPr>
          <w:rFonts w:cs="Miriam"/>
          <w:b/>
          <w:bCs/>
          <w:rtl w:val="true"/>
          <w:lang w:val="en-US" w:eastAsia="en-US"/>
        </w:rPr>
        <w:t xml:space="preserve">, </w:t>
      </w:r>
      <w:r>
        <w:rPr>
          <w:rFonts w:cs="Miriam"/>
          <w:b/>
          <w:b/>
          <w:bCs/>
          <w:rtl w:val="true"/>
          <w:lang w:val="en-US" w:eastAsia="en-US"/>
        </w:rPr>
        <w:t>כדי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לגרוע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מסמכות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לשקול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נסיבות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נוספות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rtl w:val="true"/>
          <w:lang w:val="en-US" w:eastAsia="en-US"/>
        </w:rPr>
        <w:t>(</w:t>
      </w:r>
      <w:r>
        <w:rPr>
          <w:rFonts w:cs="Miriam"/>
          <w:b/>
          <w:b/>
          <w:bCs/>
          <w:rtl w:val="true"/>
          <w:lang w:val="en-US" w:eastAsia="en-US"/>
        </w:rPr>
        <w:t>סעיף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Cs/>
          <w:lang w:val="en-US" w:eastAsia="en-US"/>
        </w:rPr>
        <w:t>40</w:t>
      </w:r>
      <w:r>
        <w:rPr>
          <w:rFonts w:cs="Miriam"/>
          <w:b/>
          <w:b/>
          <w:bCs/>
          <w:rtl w:val="true"/>
          <w:lang w:val="en-US" w:eastAsia="en-US"/>
        </w:rPr>
        <w:t>יב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לחוק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Fonts w:cs="Miriam"/>
          <w:b/>
          <w:b/>
          <w:bCs/>
          <w:rtl w:val="true"/>
          <w:lang w:val="en-US" w:eastAsia="en-US"/>
        </w:rPr>
        <w:t>העונשין</w:t>
      </w:r>
      <w:r>
        <w:rPr>
          <w:rFonts w:cs="Miriam"/>
          <w:b/>
          <w:bCs/>
          <w:rtl w:val="true"/>
          <w:lang w:val="en-US" w:eastAsia="en-US"/>
        </w:rPr>
        <w:t>)".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eastAsia="Arial"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ab/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לא הייתה מחלוקת של ממש בין הצדדים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ש רשאי היה לראות בכל אישום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אירוע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נפרד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שניתן היה לקבוע לגביו מתחם ענישה ספציפי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הגם שנטען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ניתן היה לראות את כל העבירות כרצף אירועים אחד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כמכלול אחד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ובכל מקרה היה מקום להשית ענישה כוללת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בהתאם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ואכן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המונח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אירוע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 xml:space="preserve">לא הוגדר בתיקון </w:t>
      </w:r>
      <w:r>
        <w:rPr>
          <w:rFonts w:cs="Arial" w:ascii="Arial" w:hAnsi="Arial"/>
          <w:lang w:val="en-US" w:eastAsia="en-US"/>
        </w:rPr>
        <w:t>113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33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ואף אין בתיקון קריטריונים לאבחנה בין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אירוע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אחד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 xml:space="preserve">לבין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כמה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אירועים</w:t>
      </w:r>
      <w:r>
        <w:rPr>
          <w:rFonts w:cs="Arial" w:ascii="Arial" w:hAnsi="Arial"/>
          <w:rtl w:val="true"/>
          <w:lang w:val="en-US" w:eastAsia="en-US"/>
        </w:rPr>
        <w:t xml:space="preserve">". </w:t>
      </w:r>
      <w:r>
        <w:rPr>
          <w:rFonts w:ascii="Arial" w:hAnsi="Arial" w:cs="Arial"/>
          <w:rtl w:val="true"/>
          <w:lang w:val="en-US" w:eastAsia="en-US"/>
        </w:rPr>
        <w:t>יתרה מזאת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וכפי שציינו בעניין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אבו</w:t>
      </w:r>
      <w:r>
        <w:rPr>
          <w:rFonts w:cs="Arial" w:ascii="Arial" w:hAnsi="Arial"/>
          <w:b/>
          <w:bCs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רקייק </w:t>
      </w:r>
      <w:r>
        <w:rPr>
          <w:rFonts w:ascii="Arial" w:hAnsi="Arial" w:cs="Arial"/>
          <w:rtl w:val="true"/>
          <w:lang w:val="en-US" w:eastAsia="en-US"/>
        </w:rPr>
        <w:t>המוזכר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גם בחוקים אחרים אין שימוש במילה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אירוע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גם לא בחוקים העוסקים בנושאים דומים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hyperlink r:id="rId34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186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35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סדר הדין הפלילי</w:t>
        </w:r>
      </w:hyperlink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>[</w:t>
      </w:r>
      <w:r>
        <w:rPr>
          <w:rFonts w:ascii="Arial" w:hAnsi="Arial" w:cs="Arial"/>
          <w:rtl w:val="true"/>
          <w:lang w:val="en-US" w:eastAsia="en-US"/>
        </w:rPr>
        <w:t>נוסח משולב</w:t>
      </w:r>
      <w:r>
        <w:rPr>
          <w:rFonts w:cs="Arial" w:ascii="Arial" w:hAnsi="Arial"/>
          <w:rtl w:val="true"/>
          <w:lang w:val="en-US" w:eastAsia="en-US"/>
        </w:rPr>
        <w:t xml:space="preserve">], </w:t>
      </w:r>
      <w:r>
        <w:rPr>
          <w:rFonts w:ascii="Arial" w:hAnsi="Arial" w:cs="Arial"/>
          <w:rtl w:val="true"/>
          <w:lang w:val="en-US" w:eastAsia="en-US"/>
        </w:rPr>
        <w:t>תשמ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1982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למשל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נוקט במונחים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מעשה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עבירה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בעת שהוא קובע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במצב של ריבוי עבירות כתוצאה מרכיב התנהגותי משותף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היינו – מצב בו אדם מבצע מעשה אחד המצמיח כמה 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ניתן להרשיעו בכל אחת מהעבירות אך לא להענישו יותר מהעונש המרבי הקבוע לצד העבירה החמורה ביותר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ולשון הסעיף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: </w:t>
      </w:r>
      <w:r>
        <w:rPr>
          <w:rFonts w:cs="Miriam" w:ascii="Arial" w:hAnsi="Arial"/>
          <w:sz w:val="20"/>
          <w:szCs w:val="20"/>
          <w:rtl w:val="true"/>
          <w:lang w:val="en-US" w:eastAsia="he-IL"/>
        </w:rPr>
        <w:t>"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בית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המשפט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רשאי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להרשיע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נאשם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בשל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כל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אחת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מן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sz w:val="20"/>
          <w:sz w:val="20"/>
          <w:szCs w:val="20"/>
          <w:rtl w:val="true"/>
          <w:lang w:val="en-US" w:eastAsia="he-IL"/>
        </w:rPr>
        <w:t>העבירות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שאשמתו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בהן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נתגלתה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מן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העובדות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שהוכחו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לפניו</w:t>
      </w:r>
      <w:r>
        <w:rPr>
          <w:rFonts w:cs="Miriam" w:ascii="Arial" w:hAnsi="Arial"/>
          <w:b/>
          <w:bCs/>
          <w:sz w:val="20"/>
          <w:szCs w:val="20"/>
          <w:rtl w:val="true"/>
          <w:lang w:val="en-US" w:eastAsia="he-IL"/>
        </w:rPr>
        <w:t xml:space="preserve">,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אך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לא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יענישנו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יותר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מפעם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אחת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בשל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b/>
          <w:b/>
          <w:bCs/>
          <w:sz w:val="20"/>
          <w:sz w:val="20"/>
          <w:szCs w:val="20"/>
          <w:rtl w:val="true"/>
          <w:lang w:val="en-US" w:eastAsia="he-IL"/>
        </w:rPr>
        <w:t>אותו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  <w:lang w:val="en-US" w:eastAsia="he-IL"/>
        </w:rPr>
        <w:t xml:space="preserve"> </w:t>
      </w:r>
      <w:r>
        <w:rPr>
          <w:rFonts w:ascii="Arial" w:hAnsi="Arial" w:cs="Miriam"/>
          <w:sz w:val="20"/>
          <w:sz w:val="20"/>
          <w:szCs w:val="20"/>
          <w:rtl w:val="true"/>
          <w:lang w:val="en-US" w:eastAsia="he-IL"/>
        </w:rPr>
        <w:t>מעשה</w:t>
      </w:r>
      <w:r>
        <w:rPr>
          <w:rFonts w:cs="Miriam" w:ascii="Arial" w:hAnsi="Arial"/>
          <w:sz w:val="20"/>
          <w:szCs w:val="20"/>
          <w:rtl w:val="true"/>
          <w:lang w:val="en-US" w:eastAsia="he-IL"/>
        </w:rPr>
        <w:t>"</w:t>
      </w:r>
      <w:r>
        <w:rPr>
          <w:rFonts w:cs="Arial" w:ascii="Arial" w:hAnsi="Arial"/>
          <w:sz w:val="20"/>
          <w:szCs w:val="20"/>
          <w:rtl w:val="true"/>
          <w:lang w:val="en-US" w:eastAsia="he-IL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המונח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אירוע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לטעמי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רחב מהמונח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עבירה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 xml:space="preserve">וגם מהמונח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מעשה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אך ניתן ללמוד גזירה שווה בין כל המושגים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שכן ההיגיון העומד מאחורי ההבחנות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אותו היגיון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לפיכך</w:t>
      </w:r>
      <w:r>
        <w:rPr>
          <w:rFonts w:cs="Arial" w:ascii="Arial" w:hAnsi="Arial"/>
          <w:rtl w:val="true"/>
          <w:lang w:val="en-US" w:eastAsia="en-US"/>
        </w:rPr>
        <w:t>, 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אירוע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יכול לכלול בתוכו מספר עבירות אשר מאחוריהן עומדת תכנית עבריינית אחת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הן מבחינת המחשבה הפלילית והן מבחינת המכלול העובדתי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ר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'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גם במאמרם של ואקי ו</w:t>
      </w:r>
      <w:hyperlink r:id="rId36"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>רבין</w:t>
        </w:r>
        <w:r>
          <w:rPr>
            <w:rStyle w:val="Hyperlink"/>
            <w:rFonts w:cs="Arial" w:ascii="Arial" w:hAnsi="Arial"/>
            <w:color w:val="0000FF"/>
            <w:sz w:val="20"/>
            <w:szCs w:val="20"/>
            <w:u w:val="single"/>
            <w:rtl w:val="true"/>
            <w:lang w:val="en-US" w:eastAsia="en-US"/>
          </w:rPr>
          <w:t>, "</w:t>
        </w:r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 xml:space="preserve">הבניית שיקול הדעת השיפוטי </w:t>
        </w:r>
      </w:hyperlink>
      <w:r>
        <w:rPr>
          <w:rFonts w:ascii="Arial" w:hAnsi="Arial" w:cs="Arial"/>
          <w:b/>
          <w:b/>
          <w:bCs/>
          <w:sz w:val="20"/>
          <w:sz w:val="20"/>
          <w:szCs w:val="20"/>
          <w:rtl w:val="true"/>
          <w:lang w:val="en-US" w:eastAsia="en-US"/>
        </w:rPr>
        <w:t xml:space="preserve"> בענישה</w:t>
      </w:r>
      <w:r>
        <w:rPr>
          <w:rFonts w:cs="Arial" w:ascii="Arial" w:hAnsi="Arial"/>
          <w:b/>
          <w:bCs/>
          <w:sz w:val="20"/>
          <w:szCs w:val="20"/>
          <w:rtl w:val="true"/>
          <w:lang w:val="en-US" w:eastAsia="en-US"/>
        </w:rPr>
        <w:t xml:space="preserve">: </w:t>
      </w:r>
      <w:r>
        <w:rPr>
          <w:rFonts w:ascii="Arial" w:hAnsi="Arial" w:cs="Arial"/>
          <w:b/>
          <w:b/>
          <w:bCs/>
          <w:sz w:val="20"/>
          <w:sz w:val="20"/>
          <w:szCs w:val="20"/>
          <w:rtl w:val="true"/>
          <w:lang w:val="en-US" w:eastAsia="en-US"/>
        </w:rPr>
        <w:t>תמונת מצב והרהורים על העתיד לבוא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",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הפרקליט נב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תשע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"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ג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ובמקרה שבפנינו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לפי כל המבחנים הנהוגים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הרי שלא מדובר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מעשה אחד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קל וחומר לא מדובר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אירוע אחד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שכן לא מדובר במכלול אחד של מעשים המבוסס על פריטים אחדים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אין רצף זמנים ומעשים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אין סמיכות של זמן ומקום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האינטרס החברתי המוגן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בכל אחד מן האישומים בהם הודה המשיב – שונה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ועוד</w:t>
      </w:r>
      <w:r>
        <w:rPr>
          <w:rFonts w:cs="Arial" w:ascii="Arial" w:hAnsi="Arial"/>
          <w:rtl w:val="true"/>
          <w:lang w:val="en-US" w:eastAsia="en-US"/>
        </w:rPr>
        <w:t>.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לפיכך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ש </w:t>
      </w:r>
      <w:r>
        <w:rPr>
          <w:rFonts w:ascii="Arial" w:hAnsi="Arial" w:cs="Arial"/>
          <w:rtl w:val="true"/>
          <w:lang w:val="en-US" w:eastAsia="en-US"/>
        </w:rPr>
        <w:t>צדק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כאשר </w:t>
      </w:r>
      <w:r>
        <w:rPr>
          <w:rFonts w:ascii="Arial" w:hAnsi="Arial" w:cs="Arial"/>
          <w:rtl w:val="true"/>
          <w:lang w:val="en-US" w:eastAsia="en-US"/>
        </w:rPr>
        <w:t>בשלב הראשון של קביעת המתחם ההולם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ascii="Arial" w:hAnsi="Arial" w:cs="Arial"/>
          <w:rtl w:val="true"/>
          <w:lang w:val="en-US" w:eastAsia="en-US"/>
        </w:rPr>
        <w:t>לאחר שה</w:t>
      </w:r>
      <w:r>
        <w:rPr>
          <w:rFonts w:ascii="Arial" w:hAnsi="Arial" w:cs="Arial"/>
          <w:rtl w:val="true"/>
          <w:lang w:val="en-US" w:eastAsia="en-US"/>
        </w:rPr>
        <w:t>מערער</w:t>
      </w:r>
      <w:r>
        <w:rPr>
          <w:rFonts w:ascii="Arial" w:hAnsi="Arial" w:cs="Arial"/>
          <w:rtl w:val="true"/>
          <w:lang w:val="en-US" w:eastAsia="en-US"/>
        </w:rPr>
        <w:t xml:space="preserve"> הורשע במספר עבירות שעניינן מספר אירועים נפרדים ושונים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קבע </w:t>
      </w:r>
      <w:r>
        <w:rPr>
          <w:rFonts w:ascii="Arial" w:hAnsi="Arial" w:cs="Arial"/>
          <w:rtl w:val="true"/>
          <w:lang w:val="en-US" w:eastAsia="en-US"/>
        </w:rPr>
        <w:t>מתחם נפרד לכל אירוע ואירוע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hyperlink r:id="rId37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40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יג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ב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לחוק קובע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במפורש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במידה והנאשם מורשע בכמה עבירות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המהוות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כמה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אירועים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יקבע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מתחם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עונש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הולם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... </w:t>
      </w:r>
      <w:r>
        <w:rPr>
          <w:rFonts w:ascii="Arial" w:hAnsi="Arial" w:cs="Miriam"/>
          <w:b/>
          <w:b/>
          <w:bCs/>
          <w:u w:val="single"/>
          <w:rtl w:val="true"/>
          <w:lang w:val="en-US" w:eastAsia="en-US"/>
        </w:rPr>
        <w:t>לכל</w:t>
      </w:r>
      <w:r>
        <w:rPr>
          <w:rFonts w:ascii="Arial" w:hAnsi="Arial" w:eastAsia="Arial" w:cs="Arial"/>
          <w:b/>
          <w:b/>
          <w:bCs/>
          <w:u w:val="single"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u w:val="single"/>
          <w:rtl w:val="true"/>
          <w:lang w:val="en-US" w:eastAsia="en-US"/>
        </w:rPr>
        <w:t>אירוע</w:t>
      </w:r>
      <w:r>
        <w:rPr>
          <w:rFonts w:ascii="Arial" w:hAnsi="Arial" w:eastAsia="Arial" w:cs="Arial"/>
          <w:b/>
          <w:b/>
          <w:bCs/>
          <w:u w:val="single"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u w:val="single"/>
          <w:rtl w:val="true"/>
          <w:lang w:val="en-US" w:eastAsia="en-US"/>
        </w:rPr>
        <w:t>בנפרד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 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ההדגשה אינה במקור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כפי</w:t>
      </w:r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ascii="Arial" w:hAnsi="Arial" w:cs="Arial"/>
          <w:rtl w:val="true"/>
          <w:lang w:val="en-US" w:eastAsia="en-US"/>
        </w:rPr>
        <w:t>נעשה בענייננו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</w:rPr>
      </w:pPr>
      <w:r>
        <w:rPr>
          <w:rFonts w:ascii="Arial" w:hAnsi="Arial" w:cs="Arial"/>
          <w:rtl w:val="true"/>
          <w:lang w:val="en-US" w:eastAsia="en-US"/>
        </w:rPr>
        <w:t>אולם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נדמה כי בעת קביעת מתחמי הענישה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היה על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לבחון לא רק את העבירות בהן הורשע המערער ואת העונש שנקבע לצדן של עבירות אלה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אלא ליתן גם משקל לנסיבות של ביצוע העבירות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בבוא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לקבוע את מתחם הענישה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עליו לפעול בהתאם לאמור </w:t>
      </w:r>
      <w:hyperlink r:id="rId38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בסעיף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40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39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cs="Arial" w:ascii="Arial" w:hAnsi="Arial"/>
          <w:rtl w:val="true"/>
          <w:lang w:val="en-US" w:eastAsia="en-US"/>
        </w:rPr>
        <w:t xml:space="preserve">: </w:t>
      </w:r>
    </w:p>
    <w:p>
      <w:pPr>
        <w:pStyle w:val="Normal"/>
        <w:tabs>
          <w:tab w:val="clear" w:pos="720"/>
          <w:tab w:val="left" w:pos="7654" w:leader="none"/>
        </w:tabs>
        <w:overflowPunct w:val="false"/>
        <w:autoSpaceDE w:val="false"/>
        <w:ind w:start="1417" w:end="709"/>
        <w:jc w:val="both"/>
        <w:rPr>
          <w:rFonts w:ascii="Arial" w:hAnsi="Arial" w:cs="Miriam"/>
          <w:b/>
          <w:bCs/>
          <w:lang w:val="en-US" w:eastAsia="en-US"/>
        </w:rPr>
      </w:pPr>
      <w:r>
        <w:rPr>
          <w:rFonts w:cs="Miriam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בית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המשפט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יקבע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מתחם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עונש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הולם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למעשה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העבירה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שביצע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הנאשם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בהתאם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לעיקרון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המנחה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ולשם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כך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יתחשב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בערך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החברתי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שנפגע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מביצוע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העבירה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במידת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הפגיעה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בו</w:t>
      </w:r>
      <w:r>
        <w:rPr>
          <w:rFonts w:cs="Miriam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במדיניות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הענישה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הנהוגה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ובנסיבות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הקשורות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בביצוע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העבירה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כאמור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בסעיף</w:t>
      </w:r>
      <w:r>
        <w:rPr>
          <w:rFonts w:ascii="Arial" w:hAnsi="Arial" w:eastAsia="Arial" w:cs="Arial"/>
          <w:b/>
          <w:b/>
          <w:bCs/>
          <w:rtl w:val="true"/>
          <w:lang w:val="en-US" w:eastAsia="en-US"/>
        </w:rPr>
        <w:t xml:space="preserve"> </w:t>
      </w:r>
      <w:r>
        <w:rPr>
          <w:rFonts w:cs="Miriam" w:ascii="Arial" w:hAnsi="Arial"/>
          <w:b/>
          <w:bCs/>
          <w:lang w:val="en-US" w:eastAsia="en-US"/>
        </w:rPr>
        <w:t>40</w:t>
      </w:r>
      <w:r>
        <w:rPr>
          <w:rFonts w:ascii="Arial" w:hAnsi="Arial" w:cs="Miriam"/>
          <w:b/>
          <w:b/>
          <w:bCs/>
          <w:rtl w:val="true"/>
          <w:lang w:val="en-US" w:eastAsia="en-US"/>
        </w:rPr>
        <w:t>ט</w:t>
      </w:r>
      <w:r>
        <w:rPr>
          <w:rFonts w:cs="Miriam" w:ascii="Arial" w:hAnsi="Arial"/>
          <w:b/>
          <w:bCs/>
          <w:rtl w:val="true"/>
          <w:lang w:val="en-US" w:eastAsia="en-US"/>
        </w:rPr>
        <w:t>".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end="0"/>
        <w:jc w:val="both"/>
        <w:rPr>
          <w:rFonts w:ascii="Arial" w:hAnsi="Arial" w:cs="Arial"/>
          <w:b/>
          <w:bCs/>
          <w:spacing w:val="10"/>
          <w:lang w:val="en-US" w:eastAsia="en-US"/>
        </w:rPr>
      </w:pPr>
      <w:r>
        <w:rPr>
          <w:rFonts w:cs="Arial" w:ascii="Arial" w:hAnsi="Arial"/>
          <w:b/>
          <w:bCs/>
          <w:spacing w:val="10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מתחם הענישה ייקבע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אפוא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בהתאם לעיקרון ההלימות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תוך מתן משקל אך לשיקולים הקשורים בעבירה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ולצורך כך עליו </w:t>
      </w:r>
      <w:r>
        <w:rPr>
          <w:rFonts w:ascii="Arial" w:hAnsi="Arial" w:cs="Arial"/>
          <w:rtl w:val="true"/>
          <w:lang w:val="en-US" w:eastAsia="en-US"/>
        </w:rPr>
        <w:t>להתחשב בשלושה אלה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ראשית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בערך החברתי שנפגע מביצוע העבירה ובמידת הפגיעה בו</w:t>
      </w:r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וכאן הרחיב ביהמ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"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ש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ובצדק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על הערך החברתי שנפגע מעבירות הסמים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שנית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במדיניות הענישה הנהוגה</w:t>
      </w:r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גם כאן הרחיב ביהמ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"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ש תוך שציטט פסיקה עניפה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ושלישית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בנסיבות הקשורות בביצוע העבירה</w:t>
      </w:r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וכאן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נדמה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התייחסות ביהמ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"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ש הייתה לא נקודתית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בהתייחס לכל אישום ואישום ובהבחנה לעבירות סמים אחרות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ממילא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הנסיבות האישיות של הנאשם יובאו במניין השיקולים בקביעת העונש המתאים בתוך מתחם הענישה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או בחריגה ממנו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לא בקביעת המתחם עצמו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היות והצדדים לא טענו בפנינו כנגד עצם קביעת המתחם על ידי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מצאנו לנכון להתערב בקביעת המתחמים שנקבעו על ידי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די אם נעיר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בעבירות כגון אלה בהן הורשע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בעת שהוא קובע את מתחם העונש הראוי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לשקול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בין היתר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את הפסיקה והענישה שהונהגה בעבירות דומות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כאשר יש לזכור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כי העונש שנפסק בסופו של דבר במקרים אלה משקלל גם את נסיבותיו האישיות של הנאשם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אותן יש לנטרל משלב קביעת מחתם העונש הראוי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את </w:t>
      </w:r>
      <w:r>
        <w:rPr>
          <w:rFonts w:ascii="Arial" w:hAnsi="Arial" w:cs="Arial"/>
          <w:rtl w:val="true"/>
          <w:lang w:val="en-US" w:eastAsia="en-US"/>
        </w:rPr>
        <w:t xml:space="preserve">נסיבות ביצוע העבירות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למשל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במסגרת מבצע סמים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את </w:t>
      </w:r>
      <w:r>
        <w:rPr>
          <w:rFonts w:ascii="Arial" w:hAnsi="Arial" w:cs="Arial"/>
          <w:rtl w:val="true"/>
          <w:lang w:val="en-US" w:eastAsia="en-US"/>
        </w:rPr>
        <w:t xml:space="preserve">סוגי הסמים שנמכרו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סם מסוג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חשיש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משקל הסמים שנמכר בכל אירוע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ובעניינו מדובר בכמויות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שאינן גדולות במיוחד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את </w:t>
      </w:r>
      <w:r>
        <w:rPr>
          <w:rFonts w:ascii="Arial" w:hAnsi="Arial" w:cs="Arial"/>
          <w:rtl w:val="true"/>
          <w:lang w:val="en-US" w:eastAsia="en-US"/>
        </w:rPr>
        <w:t>התמורה ששולמה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את </w:t>
      </w:r>
      <w:r>
        <w:rPr>
          <w:rFonts w:ascii="Arial" w:hAnsi="Arial" w:cs="Arial"/>
          <w:rtl w:val="true"/>
          <w:lang w:val="en-US" w:eastAsia="en-US"/>
        </w:rPr>
        <w:t>אופן ההתקשרות והיוזמה לרכישה</w:t>
      </w:r>
      <w:r>
        <w:rPr>
          <w:rFonts w:cs="Arial" w:ascii="Arial" w:hAnsi="Arial"/>
          <w:rtl w:val="true"/>
          <w:lang w:val="en-US" w:eastAsia="en-US"/>
        </w:rPr>
        <w:t>/</w:t>
      </w:r>
      <w:r>
        <w:rPr>
          <w:rFonts w:ascii="Arial" w:hAnsi="Arial" w:cs="Arial"/>
          <w:rtl w:val="true"/>
          <w:lang w:val="en-US" w:eastAsia="en-US"/>
        </w:rPr>
        <w:t>מכירה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את </w:t>
      </w:r>
      <w:r>
        <w:rPr>
          <w:rFonts w:ascii="Arial" w:hAnsi="Arial" w:cs="Arial"/>
          <w:rtl w:val="true"/>
          <w:lang w:val="en-US" w:eastAsia="en-US"/>
        </w:rPr>
        <w:t>זמינות המ</w:t>
      </w:r>
      <w:r>
        <w:rPr>
          <w:rFonts w:ascii="Arial" w:hAnsi="Arial" w:cs="Arial"/>
          <w:rtl w:val="true"/>
          <w:lang w:val="en-US" w:eastAsia="en-US"/>
        </w:rPr>
        <w:t>ערער</w:t>
      </w:r>
      <w:r>
        <w:rPr>
          <w:rFonts w:ascii="Arial" w:hAnsi="Arial" w:cs="Arial"/>
          <w:rtl w:val="true"/>
          <w:lang w:val="en-US" w:eastAsia="en-US"/>
        </w:rPr>
        <w:t xml:space="preserve"> לפניית הסוכן–רוכש הסמים ונגישותו לכמויות הסמים שנקנו ועוד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9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ועוד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בטרם גזירת עונשו של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ערך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חישוב אריתמטי של העונשים שניתנו לאחרים בפרשייה בעקבות הסדרי הטיעון שנערכו עמם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ובהתאם פסק עונשו של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בגין כל אישום ואישום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עקרון האחידות בענישה אינו מכתיב פעולה חשבונאית מכנית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עקרון אחידות הענישה נגזר מעקרון השוויון בפני החוק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המורה על החלת שיקולי ענישה דומים על מי שביצעו עבירות דומות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ובאותן נסיבות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אין די בכך שמדובר בנאשמים שהופללו על ידי אותו סוכן סמוי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כדי להפוך את נסיבות ביצוע העבירות שלהם או את הענישה שנגזרה עליהם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לקנה מידה חשבונאי מחייב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לא ראוי להטיל גזרי דין לפי תעריפים 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(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ר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'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>לעניין זה למשל ב</w:t>
      </w:r>
      <w:hyperlink r:id="rId40"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color w:val="0000FF"/>
            <w:sz w:val="20"/>
            <w:szCs w:val="20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color w:val="0000FF"/>
            <w:sz w:val="20"/>
            <w:sz w:val="20"/>
            <w:szCs w:val="20"/>
            <w:u w:val="single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color w:val="0000FF"/>
            <w:sz w:val="20"/>
            <w:szCs w:val="20"/>
            <w:u w:val="single"/>
            <w:lang w:val="en-US" w:eastAsia="en-US"/>
          </w:rPr>
          <w:t>5106/99</w:t>
        </w:r>
      </w:hyperlink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sz w:val="20"/>
          <w:sz w:val="20"/>
          <w:szCs w:val="20"/>
          <w:rtl w:val="true"/>
          <w:lang w:val="en-US" w:eastAsia="en-US"/>
        </w:rPr>
        <w:t>אבו נג</w:t>
      </w:r>
      <w:r>
        <w:rPr>
          <w:rFonts w:cs="Arial" w:ascii="Arial" w:hAnsi="Arial"/>
          <w:b/>
          <w:bCs/>
          <w:sz w:val="20"/>
          <w:szCs w:val="20"/>
          <w:rtl w:val="true"/>
          <w:lang w:val="en-US" w:eastAsia="en-US"/>
        </w:rPr>
        <w:t>'</w:t>
      </w:r>
      <w:r>
        <w:rPr>
          <w:rFonts w:ascii="Arial" w:hAnsi="Arial" w:cs="Arial"/>
          <w:b/>
          <w:b/>
          <w:bCs/>
          <w:sz w:val="20"/>
          <w:sz w:val="20"/>
          <w:szCs w:val="20"/>
          <w:rtl w:val="true"/>
          <w:lang w:val="en-US" w:eastAsia="en-US"/>
        </w:rPr>
        <w:t>מה נ</w:t>
      </w:r>
      <w:r>
        <w:rPr>
          <w:rFonts w:cs="Arial" w:ascii="Arial" w:hAnsi="Arial"/>
          <w:b/>
          <w:bCs/>
          <w:sz w:val="20"/>
          <w:szCs w:val="20"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sz w:val="20"/>
          <w:sz w:val="20"/>
          <w:szCs w:val="20"/>
          <w:rtl w:val="true"/>
          <w:lang w:val="en-US" w:eastAsia="en-US"/>
        </w:rPr>
        <w:t>מדינת ישראל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 xml:space="preserve">, </w:t>
      </w:r>
      <w:r>
        <w:rPr>
          <w:sz w:val="20"/>
          <w:szCs w:val="20"/>
          <w:rtl w:val="true"/>
          <w:lang w:val="en-US" w:eastAsia="en-US"/>
        </w:rPr>
        <w:t>[</w:t>
      </w:r>
      <w:r>
        <w:rPr>
          <w:sz w:val="20"/>
          <w:sz w:val="20"/>
          <w:szCs w:val="20"/>
          <w:rtl w:val="true"/>
          <w:lang w:val="en-US" w:eastAsia="en-US"/>
        </w:rPr>
        <w:t>פורסם</w:t>
      </w:r>
      <w:r>
        <w:rPr>
          <w:rFonts w:cs="Times New Roman"/>
          <w:sz w:val="20"/>
          <w:sz w:val="20"/>
          <w:szCs w:val="20"/>
          <w:rtl w:val="true"/>
          <w:lang w:val="en-US" w:eastAsia="en-US"/>
        </w:rPr>
        <w:t xml:space="preserve"> </w:t>
      </w:r>
      <w:r>
        <w:rPr>
          <w:sz w:val="20"/>
          <w:sz w:val="20"/>
          <w:szCs w:val="20"/>
          <w:rtl w:val="true"/>
          <w:lang w:val="en-US" w:eastAsia="en-US"/>
        </w:rPr>
        <w:t>בנבו</w:t>
      </w:r>
      <w:r>
        <w:rPr>
          <w:sz w:val="20"/>
          <w:szCs w:val="20"/>
          <w:rtl w:val="true"/>
          <w:lang w:val="en-US" w:eastAsia="en-US"/>
        </w:rPr>
        <w:t xml:space="preserve">] </w:t>
      </w:r>
      <w:r>
        <w:rPr>
          <w:rFonts w:ascii="Arial" w:hAnsi="Arial" w:cs="Arial"/>
          <w:sz w:val="20"/>
          <w:sz w:val="20"/>
          <w:szCs w:val="20"/>
          <w:rtl w:val="true"/>
          <w:lang w:val="en-US" w:eastAsia="en-US"/>
        </w:rPr>
        <w:t xml:space="preserve">מיום </w:t>
      </w:r>
      <w:r>
        <w:rPr>
          <w:rFonts w:cs="Arial" w:ascii="Arial" w:hAnsi="Arial"/>
          <w:sz w:val="20"/>
          <w:szCs w:val="20"/>
          <w:lang w:val="en-US" w:eastAsia="en-US"/>
        </w:rPr>
        <w:t>02/02/2000</w:t>
      </w:r>
      <w:r>
        <w:rPr>
          <w:rFonts w:cs="Arial" w:ascii="Arial" w:hAnsi="Arial"/>
          <w:sz w:val="20"/>
          <w:szCs w:val="20"/>
          <w:rtl w:val="true"/>
          <w:lang w:val="en-US" w:eastAsia="en-US"/>
        </w:rPr>
        <w:t>)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ונדמה כי גם במקרה שבפנינו לא היה מקום לעשות כן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יתרה מכך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יש ממש בדברי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המערער לפיהם החישוב שנעשה על ידי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עת הכפיל את העונש שמצא לקבוע לצד כל אירוע בלא שנתן דעתו לתוצאה המחמירה לעונש הכולל שנפסק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לנוכח נסיבותיו של הנאשם ולנוכח נסיבות ביצוע העבירות על ידו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הביא לתוצאה חמורה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דברים אלה נכונים על רקע העונשים האחרים שנפסקו בפרשייה הרלבנטית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במיוחד נוכח עברו הלא מחמיר של המערער וכמויות הסמים בהן מדובר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10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אשר על 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ולאחר ששקלנו את הנסיבות הפרטניות של העבירות שביצע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כמו גם את קשת הענישה בעבירות דוגמת אלה שעבר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רקע עברו הפלילי שאינו מכביד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אנו סבורים כי ביהמ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ש החמיר עם המערער ועל כן אנו מעמידים את עונש המאסר בפועל הכולל שעל המערער לרצות על </w:t>
      </w:r>
      <w:r>
        <w:rPr>
          <w:rFonts w:cs="Arial" w:ascii="Arial" w:hAnsi="Arial"/>
          <w:lang w:val="en-US" w:eastAsia="en-US"/>
        </w:rPr>
        <w:t>22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במקום מה שנגזר עליו בבימ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 קמא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לא מצאנו כי יש מקום להתערב ברכיבי הענישה האחרים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והם יעמדו על כנם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ind w:end="0"/>
        <w:jc w:val="start"/>
        <w:rPr>
          <w:rFonts w:ascii="Arial" w:hAnsi="Arial" w:cs="Arial"/>
          <w:b/>
          <w:bCs/>
          <w:lang w:val="en-US" w:eastAsia="en-US"/>
        </w:rPr>
      </w:pPr>
      <w:r>
        <w:rPr>
          <w:rFonts w:ascii="Arial" w:hAnsi="Arial" w:cs="Arial"/>
          <w:b/>
          <w:b/>
          <w:bCs/>
          <w:rtl w:val="true"/>
          <w:lang w:val="en-US" w:eastAsia="en-US"/>
        </w:rPr>
        <w:t>ניתן היום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ז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בשבט תשע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ד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cs="Arial" w:ascii="Arial" w:hAnsi="Arial"/>
          <w:b/>
          <w:bCs/>
          <w:lang w:val="en-US" w:eastAsia="en-US"/>
        </w:rPr>
        <w:t>8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לינואר </w:t>
      </w:r>
      <w:r>
        <w:rPr>
          <w:rFonts w:cs="Arial" w:ascii="Arial" w:hAnsi="Arial"/>
          <w:b/>
          <w:bCs/>
          <w:lang w:val="en-US" w:eastAsia="en-US"/>
        </w:rPr>
        <w:t>2014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במעמד הצדדים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</w:p>
    <w:tbl>
      <w:tblPr>
        <w:bidiVisual w:val="true"/>
        <w:tblW w:w="769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4"/>
        <w:gridCol w:w="239"/>
        <w:gridCol w:w="2101"/>
        <w:gridCol w:w="239"/>
        <w:gridCol w:w="2461"/>
      </w:tblGrid>
      <w:tr>
        <w:trPr/>
        <w:tc>
          <w:tcPr>
            <w:tcW w:w="265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210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46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rtl w:val="true"/>
              </w:rPr>
            </w:r>
          </w:p>
        </w:tc>
      </w:tr>
      <w:tr>
        <w:trPr/>
        <w:tc>
          <w:tcPr>
            <w:tcW w:w="2654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ס</w:t>
            </w:r>
            <w:r>
              <w:rPr>
                <w:rFonts w:cs="Arial" w:ascii="Arial" w:hAnsi="Arial"/>
                <w:b/>
                <w:bCs/>
                <w:rtl w:val="true"/>
              </w:rPr>
              <w:t>.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הנשיא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רויטל יפה</w:t>
            </w:r>
            <w:r>
              <w:rPr>
                <w:rFonts w:cs="Arial" w:ascii="Arial" w:hAnsi="Arial"/>
                <w:b/>
                <w:bCs/>
                <w:rtl w:val="true"/>
              </w:rPr>
              <w:t>-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כ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ץ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אב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ד</w:t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2101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יורם צלקובניק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שופט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2461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יעל רז</w:t>
            </w:r>
            <w:r>
              <w:rPr>
                <w:rFonts w:cs="Arial" w:ascii="Arial" w:hAnsi="Arial"/>
                <w:b/>
                <w:bCs/>
                <w:rtl w:val="true"/>
              </w:rPr>
              <w:t>-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לוי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Arial" w:hAnsi="Arial" w:cs="Arial"/>
          <w:color w:val="FFFFFF"/>
          <w:sz w:val="2"/>
          <w:szCs w:val="2"/>
        </w:rPr>
      </w:pPr>
      <w:r>
        <w:rPr>
          <w:rFonts w:cs="Arial" w:ascii="Arial" w:hAnsi="Arial"/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54678313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lang w:val="en-US" w:eastAsia="en-US"/>
        </w:rPr>
      </w:pPr>
      <w:r>
        <w:rPr>
          <w:rFonts w:cs="David" w:ascii="David" w:hAnsi="David"/>
          <w:color w:val="000000"/>
          <w:sz w:val="22"/>
          <w:szCs w:val="22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>ר</w:t>
      </w:r>
      <w:r>
        <w:rPr>
          <w:rFonts w:cs="David" w:ascii="David" w:hAnsi="David"/>
          <w:color w:val="000000"/>
          <w:sz w:val="22"/>
          <w:szCs w:val="22"/>
          <w:rtl w:val="true"/>
        </w:rPr>
        <w:t xml:space="preserve">. </w:t>
      </w:r>
      <w:r>
        <w:rPr>
          <w:rFonts w:ascii="David" w:hAnsi="David"/>
          <w:color w:val="000000"/>
          <w:sz w:val="22"/>
          <w:sz w:val="22"/>
          <w:szCs w:val="22"/>
          <w:rtl w:val="true"/>
        </w:rPr>
        <w:t>יפה כ</w:t>
      </w:r>
      <w:r>
        <w:rPr>
          <w:rFonts w:cs="David" w:ascii="David" w:hAnsi="David"/>
          <w:color w:val="000000"/>
          <w:sz w:val="22"/>
          <w:szCs w:val="22"/>
          <w:rtl w:val="true"/>
        </w:rPr>
        <w:t>"</w:t>
      </w: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ץ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41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42"/>
      <w:footerReference w:type="default" r:id="rId43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11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ב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ש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31724-10-13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ליאור מלכם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WW8Num1z0">
    <w:name w:val="WW8Num1z0"/>
    <w:qFormat/>
    <w:rPr>
      <w:rFonts w:ascii="Calibri" w:hAnsi="Calibri" w:eastAsia="Calibri" w:cs="David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14">
    <w:name w:val="פיסקת רשימה"/>
    <w:basedOn w:val="Normal"/>
    <w:qFormat/>
    <w:pPr>
      <w:spacing w:lineRule="auto" w:line="257" w:before="0" w:after="160"/>
      <w:ind w:hanging="0" w:start="720" w:end="0"/>
      <w:contextualSpacing/>
      <w:jc w:val="start"/>
    </w:pPr>
    <w:rPr>
      <w:rFonts w:ascii="Calibri" w:hAnsi="Calibri" w:eastAsia="Calibri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inks/psika/?NEWPROC=&#1514;&#1508;&amp;NEWPARTA=3990&amp;NEWPARTB=12&amp;NEWPARTC=12" TargetMode="External"/><Relationship Id="rId3" Type="http://schemas.openxmlformats.org/officeDocument/2006/relationships/hyperlink" Target="http://www.nevo.co.il/safrut/book/15850" TargetMode="External"/><Relationship Id="rId4" Type="http://schemas.openxmlformats.org/officeDocument/2006/relationships/hyperlink" Target="http://www.nevo.co.il/safrut/book/15850" TargetMode="External"/><Relationship Id="rId5" Type="http://schemas.openxmlformats.org/officeDocument/2006/relationships/hyperlink" Target="http://www.nevo.co.il/law/4216" TargetMode="External"/><Relationship Id="rId6" Type="http://schemas.openxmlformats.org/officeDocument/2006/relationships/hyperlink" Target="http://www.nevo.co.il/law/4216/7.a.c" TargetMode="External"/><Relationship Id="rId7" Type="http://schemas.openxmlformats.org/officeDocument/2006/relationships/hyperlink" Target="http://www.nevo.co.il/law/4216/13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/25" TargetMode="External"/><Relationship Id="rId10" Type="http://schemas.openxmlformats.org/officeDocument/2006/relationships/hyperlink" Target="http://www.nevo.co.il/law/70301/40a" TargetMode="External"/><Relationship Id="rId11" Type="http://schemas.openxmlformats.org/officeDocument/2006/relationships/hyperlink" Target="http://www.nevo.co.il/law/70301/40c.a" TargetMode="External"/><Relationship Id="rId12" Type="http://schemas.openxmlformats.org/officeDocument/2006/relationships/hyperlink" Target="http://www.nevo.co.il/law/70301/113" TargetMode="External"/><Relationship Id="rId13" Type="http://schemas.openxmlformats.org/officeDocument/2006/relationships/hyperlink" Target="http://www.nevo.co.il/law/70301/40jc.b" TargetMode="External"/><Relationship Id="rId14" Type="http://schemas.openxmlformats.org/officeDocument/2006/relationships/hyperlink" Target="http://www.nevo.co.il/law/74903" TargetMode="External"/><Relationship Id="rId15" Type="http://schemas.openxmlformats.org/officeDocument/2006/relationships/hyperlink" Target="http://www.nevo.co.il/law/74903/186" TargetMode="External"/><Relationship Id="rId16" Type="http://schemas.openxmlformats.org/officeDocument/2006/relationships/hyperlink" Target="http://www.nevo.co.il/law/4216" TargetMode="External"/><Relationship Id="rId17" Type="http://schemas.openxmlformats.org/officeDocument/2006/relationships/hyperlink" Target="http://www.nevo.co.il/law/4216/7.a.c" TargetMode="External"/><Relationship Id="rId18" Type="http://schemas.openxmlformats.org/officeDocument/2006/relationships/hyperlink" Target="http://www.nevo.co.il/law/4216" TargetMode="External"/><Relationship Id="rId19" Type="http://schemas.openxmlformats.org/officeDocument/2006/relationships/hyperlink" Target="http://www.nevo.co.il/law/4216/13" TargetMode="External"/><Relationship Id="rId20" Type="http://schemas.openxmlformats.org/officeDocument/2006/relationships/hyperlink" Target="http://www.nevo.co.il/law/70301/25" TargetMode="External"/><Relationship Id="rId21" Type="http://schemas.openxmlformats.org/officeDocument/2006/relationships/hyperlink" Target="http://www.nevo.co.il/law/70301" TargetMode="External"/><Relationship Id="rId22" Type="http://schemas.openxmlformats.org/officeDocument/2006/relationships/hyperlink" Target="http://www.nevo.co.il/law/4216/7.a.c" TargetMode="External"/><Relationship Id="rId23" Type="http://schemas.openxmlformats.org/officeDocument/2006/relationships/hyperlink" Target="http://www.nevo.co.il/law/70301" TargetMode="External"/><Relationship Id="rId24" Type="http://schemas.openxmlformats.org/officeDocument/2006/relationships/hyperlink" Target="http://www.nevo.co.il/law/70301" TargetMode="External"/><Relationship Id="rId25" Type="http://schemas.openxmlformats.org/officeDocument/2006/relationships/hyperlink" Target="http://www.nevo.co.il/law/70301/113" TargetMode="External"/><Relationship Id="rId26" Type="http://schemas.openxmlformats.org/officeDocument/2006/relationships/hyperlink" Target="http://www.nevo.co.il/law/70301" TargetMode="External"/><Relationship Id="rId27" Type="http://schemas.openxmlformats.org/officeDocument/2006/relationships/hyperlink" Target="http://www.nevo.co.il/links/psika/?NEWPROC=&#1506;&#1508;&#1490;&amp;NEWPARTA=39844&amp;NEWPARTB=08&amp;NEWPARTC=13" TargetMode="External"/><Relationship Id="rId28" Type="http://schemas.openxmlformats.org/officeDocument/2006/relationships/hyperlink" Target="http://www.nevo.co.il/law/70301/40a" TargetMode="External"/><Relationship Id="rId29" Type="http://schemas.openxmlformats.org/officeDocument/2006/relationships/hyperlink" Target="http://www.nevo.co.il/links/psika/?link=&#1506;&#1508;%208641/12" TargetMode="External"/><Relationship Id="rId30" Type="http://schemas.openxmlformats.org/officeDocument/2006/relationships/hyperlink" Target="http://www.nevo.co.il/law/70301" TargetMode="External"/><Relationship Id="rId31" Type="http://schemas.openxmlformats.org/officeDocument/2006/relationships/hyperlink" Target="http://www.nevo.co.il/law/70301" TargetMode="External"/><Relationship Id="rId32" Type="http://schemas.openxmlformats.org/officeDocument/2006/relationships/hyperlink" Target="http://www.nevo.co.il/law/70301" TargetMode="External"/><Relationship Id="rId33" Type="http://schemas.openxmlformats.org/officeDocument/2006/relationships/hyperlink" Target="http://www.nevo.co.il/law/70301" TargetMode="External"/><Relationship Id="rId34" Type="http://schemas.openxmlformats.org/officeDocument/2006/relationships/hyperlink" Target="http://www.nevo.co.il/law/74903/186" TargetMode="External"/><Relationship Id="rId35" Type="http://schemas.openxmlformats.org/officeDocument/2006/relationships/hyperlink" Target="http://www.nevo.co.il/law/74903" TargetMode="External"/><Relationship Id="rId36" Type="http://schemas.openxmlformats.org/officeDocument/2006/relationships/hyperlink" Target="http://www.nevo.co.il/safrut/book/15850" TargetMode="External"/><Relationship Id="rId37" Type="http://schemas.openxmlformats.org/officeDocument/2006/relationships/hyperlink" Target="http://www.nevo.co.il/law/70301/40jc.b" TargetMode="External"/><Relationship Id="rId38" Type="http://schemas.openxmlformats.org/officeDocument/2006/relationships/hyperlink" Target="http://www.nevo.co.il/law/70301/40c.a" TargetMode="External"/><Relationship Id="rId39" Type="http://schemas.openxmlformats.org/officeDocument/2006/relationships/hyperlink" Target="http://www.nevo.co.il/law/70301" TargetMode="External"/><Relationship Id="rId40" Type="http://schemas.openxmlformats.org/officeDocument/2006/relationships/hyperlink" Target="http://www.nevo.co.il/links/psika/?link=&#1506;&#1508;%205106/99" TargetMode="External"/><Relationship Id="rId41" Type="http://schemas.openxmlformats.org/officeDocument/2006/relationships/hyperlink" Target="http://www.nevo.co.il/advertisements/nevo-100.doc" TargetMode="External"/><Relationship Id="rId42" Type="http://schemas.openxmlformats.org/officeDocument/2006/relationships/header" Target="header1.xml"/><Relationship Id="rId43" Type="http://schemas.openxmlformats.org/officeDocument/2006/relationships/footer" Target="footer1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9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2014-02-09T07:23:00Z</dcterms:created>
  <dc:creator> </dc:creator>
  <dc:description/>
  <cp:keywords/>
  <dc:language>en-IL</dc:language>
  <cp:lastModifiedBy>orly</cp:lastModifiedBy>
  <dcterms:modified xsi:type="dcterms:W3CDTF">2014-02-09T07:57:00Z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ליאור מלכם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>ב"ש</vt:lpwstr>
  </property>
  <property fmtid="{D5CDD505-2E9C-101B-9397-08002B2CF9AE}" pid="9" name="DATE">
    <vt:lpwstr>20140108</vt:lpwstr>
  </property>
  <property fmtid="{D5CDD505-2E9C-101B-9397-08002B2CF9AE}" pid="10" name="DELEMATA">
    <vt:lpwstr/>
  </property>
  <property fmtid="{D5CDD505-2E9C-101B-9397-08002B2CF9AE}" pid="11" name="ISABSTRACT">
    <vt:lpwstr>Y</vt:lpwstr>
  </property>
  <property fmtid="{D5CDD505-2E9C-101B-9397-08002B2CF9AE}" pid="12" name="JUDGE">
    <vt:lpwstr>ר. יפה כ#ץ</vt:lpwstr>
  </property>
  <property fmtid="{D5CDD505-2E9C-101B-9397-08002B2CF9AE}" pid="13" name="LAWLISTTMP1">
    <vt:lpwstr>4216/007.a.c;013</vt:lpwstr>
  </property>
  <property fmtid="{D5CDD505-2E9C-101B-9397-08002B2CF9AE}" pid="14" name="LAWLISTTMP2">
    <vt:lpwstr>70301/025;113;040a;40jc.b;040c.a</vt:lpwstr>
  </property>
  <property fmtid="{D5CDD505-2E9C-101B-9397-08002B2CF9AE}" pid="15" name="LAWLISTTMP3">
    <vt:lpwstr>74903/186</vt:lpwstr>
  </property>
  <property fmtid="{D5CDD505-2E9C-101B-9397-08002B2CF9AE}" pid="16" name="LAWYER">
    <vt:lpwstr>ר. לוין;נ. לגמי;ד. גרובס;טל אדיר כהן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METAKZER">
    <vt:lpwstr>מיכל</vt:lpwstr>
  </property>
  <property fmtid="{D5CDD505-2E9C-101B-9397-08002B2CF9AE}" pid="23" name="NEWPARTA">
    <vt:lpwstr>31724</vt:lpwstr>
  </property>
  <property fmtid="{D5CDD505-2E9C-101B-9397-08002B2CF9AE}" pid="24" name="NEWPARTB">
    <vt:lpwstr>10</vt:lpwstr>
  </property>
  <property fmtid="{D5CDD505-2E9C-101B-9397-08002B2CF9AE}" pid="25" name="NEWPARTC">
    <vt:lpwstr>13</vt:lpwstr>
  </property>
  <property fmtid="{D5CDD505-2E9C-101B-9397-08002B2CF9AE}" pid="26" name="NEWPROC">
    <vt:lpwstr>עפג</vt:lpwstr>
  </property>
  <property fmtid="{D5CDD505-2E9C-101B-9397-08002B2CF9AE}" pid="27" name="NOSE11">
    <vt:lpwstr>עונשין</vt:lpwstr>
  </property>
  <property fmtid="{D5CDD505-2E9C-101B-9397-08002B2CF9AE}" pid="28" name="NOSE110">
    <vt:lpwstr/>
  </property>
  <property fmtid="{D5CDD505-2E9C-101B-9397-08002B2CF9AE}" pid="29" name="NOSE12">
    <vt:lpwstr>עונשין</vt:lpwstr>
  </property>
  <property fmtid="{D5CDD505-2E9C-101B-9397-08002B2CF9AE}" pid="30" name="NOSE13">
    <vt:lpwstr>עונשין</vt:lpwstr>
  </property>
  <property fmtid="{D5CDD505-2E9C-101B-9397-08002B2CF9AE}" pid="31" name="NOSE14">
    <vt:lpwstr/>
  </property>
  <property fmtid="{D5CDD505-2E9C-101B-9397-08002B2CF9AE}" pid="32" name="NOSE15">
    <vt:lpwstr/>
  </property>
  <property fmtid="{D5CDD505-2E9C-101B-9397-08002B2CF9AE}" pid="33" name="NOSE16">
    <vt:lpwstr/>
  </property>
  <property fmtid="{D5CDD505-2E9C-101B-9397-08002B2CF9AE}" pid="34" name="NOSE17">
    <vt:lpwstr/>
  </property>
  <property fmtid="{D5CDD505-2E9C-101B-9397-08002B2CF9AE}" pid="35" name="NOSE18">
    <vt:lpwstr/>
  </property>
  <property fmtid="{D5CDD505-2E9C-101B-9397-08002B2CF9AE}" pid="36" name="NOSE19">
    <vt:lpwstr/>
  </property>
  <property fmtid="{D5CDD505-2E9C-101B-9397-08002B2CF9AE}" pid="37" name="NOSE1ID">
    <vt:lpwstr>77;77;77</vt:lpwstr>
  </property>
  <property fmtid="{D5CDD505-2E9C-101B-9397-08002B2CF9AE}" pid="38" name="NOSE21">
    <vt:lpwstr>ענישה</vt:lpwstr>
  </property>
  <property fmtid="{D5CDD505-2E9C-101B-9397-08002B2CF9AE}" pid="39" name="NOSE210">
    <vt:lpwstr/>
  </property>
  <property fmtid="{D5CDD505-2E9C-101B-9397-08002B2CF9AE}" pid="40" name="NOSE22">
    <vt:lpwstr>ענישה</vt:lpwstr>
  </property>
  <property fmtid="{D5CDD505-2E9C-101B-9397-08002B2CF9AE}" pid="41" name="NOSE23">
    <vt:lpwstr>ענישה</vt:lpwstr>
  </property>
  <property fmtid="{D5CDD505-2E9C-101B-9397-08002B2CF9AE}" pid="42" name="NOSE24">
    <vt:lpwstr/>
  </property>
  <property fmtid="{D5CDD505-2E9C-101B-9397-08002B2CF9AE}" pid="43" name="NOSE25">
    <vt:lpwstr/>
  </property>
  <property fmtid="{D5CDD505-2E9C-101B-9397-08002B2CF9AE}" pid="44" name="NOSE26">
    <vt:lpwstr/>
  </property>
  <property fmtid="{D5CDD505-2E9C-101B-9397-08002B2CF9AE}" pid="45" name="NOSE27">
    <vt:lpwstr/>
  </property>
  <property fmtid="{D5CDD505-2E9C-101B-9397-08002B2CF9AE}" pid="46" name="NOSE28">
    <vt:lpwstr/>
  </property>
  <property fmtid="{D5CDD505-2E9C-101B-9397-08002B2CF9AE}" pid="47" name="NOSE29">
    <vt:lpwstr/>
  </property>
  <property fmtid="{D5CDD505-2E9C-101B-9397-08002B2CF9AE}" pid="48" name="NOSE2ID">
    <vt:lpwstr>1446;1446;1446</vt:lpwstr>
  </property>
  <property fmtid="{D5CDD505-2E9C-101B-9397-08002B2CF9AE}" pid="49" name="NOSE31">
    <vt:lpwstr>עקרון ההלימה‏</vt:lpwstr>
  </property>
  <property fmtid="{D5CDD505-2E9C-101B-9397-08002B2CF9AE}" pid="50" name="NOSE310">
    <vt:lpwstr/>
  </property>
  <property fmtid="{D5CDD505-2E9C-101B-9397-08002B2CF9AE}" pid="51" name="NOSE32">
    <vt:lpwstr>אחדות הענישה</vt:lpwstr>
  </property>
  <property fmtid="{D5CDD505-2E9C-101B-9397-08002B2CF9AE}" pid="52" name="NOSE33">
    <vt:lpwstr>מתחם הענישה</vt:lpwstr>
  </property>
  <property fmtid="{D5CDD505-2E9C-101B-9397-08002B2CF9AE}" pid="53" name="NOSE34">
    <vt:lpwstr/>
  </property>
  <property fmtid="{D5CDD505-2E9C-101B-9397-08002B2CF9AE}" pid="54" name="NOSE35">
    <vt:lpwstr/>
  </property>
  <property fmtid="{D5CDD505-2E9C-101B-9397-08002B2CF9AE}" pid="55" name="NOSE36">
    <vt:lpwstr/>
  </property>
  <property fmtid="{D5CDD505-2E9C-101B-9397-08002B2CF9AE}" pid="56" name="NOSE37">
    <vt:lpwstr/>
  </property>
  <property fmtid="{D5CDD505-2E9C-101B-9397-08002B2CF9AE}" pid="57" name="NOSE38">
    <vt:lpwstr/>
  </property>
  <property fmtid="{D5CDD505-2E9C-101B-9397-08002B2CF9AE}" pid="58" name="NOSE39">
    <vt:lpwstr/>
  </property>
  <property fmtid="{D5CDD505-2E9C-101B-9397-08002B2CF9AE}" pid="59" name="NOSE3ID">
    <vt:lpwstr>14799;12547;14985</vt:lpwstr>
  </property>
  <property fmtid="{D5CDD505-2E9C-101B-9397-08002B2CF9AE}" pid="60" name="PADIDATE">
    <vt:lpwstr>20140209</vt:lpwstr>
  </property>
  <property fmtid="{D5CDD505-2E9C-101B-9397-08002B2CF9AE}" pid="61" name="PADIMAIL">
    <vt:lpwstr>YES</vt:lpwstr>
  </property>
  <property fmtid="{D5CDD505-2E9C-101B-9397-08002B2CF9AE}" pid="62" name="PAGE">
    <vt:lpwstr/>
  </property>
  <property fmtid="{D5CDD505-2E9C-101B-9397-08002B2CF9AE}" pid="63" name="PART">
    <vt:lpwstr/>
  </property>
  <property fmtid="{D5CDD505-2E9C-101B-9397-08002B2CF9AE}" pid="64" name="PROCESS">
    <vt:lpwstr/>
  </property>
  <property fmtid="{D5CDD505-2E9C-101B-9397-08002B2CF9AE}" pid="65" name="PROCNUM">
    <vt:lpwstr/>
  </property>
  <property fmtid="{D5CDD505-2E9C-101B-9397-08002B2CF9AE}" pid="66" name="PROCYEAR">
    <vt:lpwstr/>
  </property>
  <property fmtid="{D5CDD505-2E9C-101B-9397-08002B2CF9AE}" pid="67" name="PSAKDIN">
    <vt:lpwstr>פסק-דין</vt:lpwstr>
  </property>
  <property fmtid="{D5CDD505-2E9C-101B-9397-08002B2CF9AE}" pid="68" name="TYPE">
    <vt:lpwstr>2</vt:lpwstr>
  </property>
  <property fmtid="{D5CDD505-2E9C-101B-9397-08002B2CF9AE}" pid="69" name="TYPE_ABS_DATE">
    <vt:lpwstr>390120140108</vt:lpwstr>
  </property>
  <property fmtid="{D5CDD505-2E9C-101B-9397-08002B2CF9AE}" pid="70" name="TYPE_N_DATE">
    <vt:lpwstr>39020140108</vt:lpwstr>
  </property>
  <property fmtid="{D5CDD505-2E9C-101B-9397-08002B2CF9AE}" pid="71" name="VOLUME">
    <vt:lpwstr/>
  </property>
  <property fmtid="{D5CDD505-2E9C-101B-9397-08002B2CF9AE}" pid="72" name="WORDNUMPAGES">
    <vt:lpwstr>11</vt:lpwstr>
  </property>
</Properties>
</file>