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30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75"/>
        <w:gridCol w:w="3532"/>
      </w:tblGrid>
      <w:tr>
        <w:trPr>
          <w:trHeight w:val="704" w:hRule="exact"/>
        </w:trPr>
        <w:tc>
          <w:tcPr>
            <w:tcW w:w="8307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b/>
                <w:bCs/>
                <w:color w:val="000080"/>
                <w:lang w:val="en-US" w:eastAsia="en-US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</w:rPr>
              <w:t>בית המשפט המחוזי בבאר שבע</w:t>
            </w:r>
          </w:p>
        </w:tc>
      </w:tr>
      <w:tr>
        <w:trPr>
          <w:trHeight w:val="856" w:hRule="atLeast"/>
        </w:trPr>
        <w:tc>
          <w:tcPr>
            <w:tcW w:w="4775" w:type="dxa"/>
            <w:tcBorders/>
          </w:tcPr>
          <w:p>
            <w:pPr>
              <w:pStyle w:val="Normal"/>
              <w:suppressLineNumbers/>
              <w:spacing w:lineRule="exact" w:line="240" w:before="120" w:after="120"/>
              <w:ind w:end="0"/>
              <w:jc w:val="start"/>
              <w:rPr>
                <w:rFonts w:ascii="David" w:hAnsi="David" w:cs="David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</w:rPr>
              <w:t>בפני</w:t>
            </w: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rFonts w:cs="David" w:ascii="David" w:hAnsi="David"/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הנשיאה רויטל יפה </w:t>
            </w:r>
            <w:r>
              <w:rPr>
                <w:rFonts w:cs="David" w:ascii="David" w:hAnsi="David"/>
                <w:b/>
                <w:bCs/>
                <w:sz w:val="26"/>
                <w:szCs w:val="26"/>
                <w:rtl w:val="true"/>
              </w:rPr>
              <w:t>-</w:t>
            </w: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</w:rPr>
              <w:t>כ</w:t>
            </w:r>
            <w:r>
              <w:rPr>
                <w:rFonts w:cs="David" w:ascii="David" w:hAnsi="David"/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ץ </w:t>
            </w:r>
            <w:r>
              <w:rPr>
                <w:rFonts w:cs="David" w:ascii="David" w:hAnsi="David"/>
                <w:b/>
                <w:bCs/>
                <w:sz w:val="26"/>
                <w:szCs w:val="26"/>
                <w:rtl w:val="true"/>
              </w:rPr>
              <w:br/>
              <w:t xml:space="preserve">        </w:t>
            </w: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rFonts w:cs="David" w:ascii="David" w:hAnsi="David"/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</w:rPr>
              <w:t>השופט יואל עדן</w:t>
            </w:r>
            <w:r>
              <w:rPr>
                <w:rFonts w:cs="David" w:ascii="David" w:hAnsi="David"/>
                <w:b/>
                <w:bCs/>
                <w:sz w:val="26"/>
                <w:szCs w:val="26"/>
                <w:rtl w:val="true"/>
              </w:rPr>
              <w:br/>
              <w:t xml:space="preserve">        </w:t>
            </w: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rFonts w:cs="David" w:ascii="David" w:hAnsi="David"/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</w:rPr>
              <w:t>השופט גד גדעון</w:t>
            </w:r>
          </w:p>
        </w:tc>
        <w:tc>
          <w:tcPr>
            <w:tcW w:w="3532" w:type="dxa"/>
            <w:tcBorders/>
          </w:tcPr>
          <w:p>
            <w:pPr>
              <w:pStyle w:val="Header"/>
              <w:spacing w:lineRule="exact" w:line="240" w:before="120" w:after="120"/>
              <w:ind w:end="0"/>
              <w:jc w:val="end"/>
              <w:rPr>
                <w:rFonts w:ascii="David" w:hAnsi="David" w:cs="David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עפ</w:t>
            </w:r>
            <w:r>
              <w:rPr>
                <w:rFonts w:cs="David" w:ascii="David" w:hAnsi="David"/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ג </w:t>
            </w:r>
            <w:r>
              <w:rPr>
                <w:rFonts w:cs="David" w:ascii="David" w:hAnsi="David"/>
                <w:b/>
                <w:bCs/>
                <w:sz w:val="26"/>
                <w:szCs w:val="26"/>
                <w:lang w:val="en-US" w:eastAsia="en-US"/>
              </w:rPr>
              <w:t>36558-08-21</w:t>
            </w:r>
            <w:r>
              <w:rPr>
                <w:rFonts w:cs="David" w:ascii="David" w:hAnsi="David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</w:p>
        </w:tc>
      </w:tr>
    </w:tbl>
    <w:p>
      <w:pPr>
        <w:pStyle w:val="Header"/>
        <w:spacing w:lineRule="exact" w:line="240" w:before="120" w:after="120"/>
        <w:ind w:end="0"/>
        <w:jc w:val="start"/>
        <w:rPr>
          <w:rFonts w:eastAsia="David"/>
        </w:rPr>
      </w:pPr>
      <w:bookmarkStart w:id="0" w:name="LastJudge"/>
      <w:bookmarkEnd w:id="0"/>
      <w:r>
        <w:rPr>
          <w:rFonts w:eastAsia="David"/>
          <w:rtl w:val="true"/>
        </w:rPr>
        <w:t xml:space="preserve"> </w:t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49"/>
        <w:gridCol w:w="5571"/>
      </w:tblGrid>
      <w:tr>
        <w:trPr/>
        <w:tc>
          <w:tcPr>
            <w:tcW w:w="3249" w:type="dxa"/>
            <w:tcBorders/>
          </w:tcPr>
          <w:p>
            <w:pPr>
              <w:pStyle w:val="Normal"/>
              <w:suppressLineNumbers/>
              <w:spacing w:lineRule="exact" w:line="240" w:before="120" w:after="120"/>
              <w:ind w:end="0"/>
              <w:jc w:val="start"/>
              <w:rPr>
                <w:rFonts w:ascii="David" w:hAnsi="David" w:cs="David"/>
                <w:b/>
                <w:bCs/>
                <w:sz w:val="26"/>
                <w:szCs w:val="26"/>
                <w:lang w:val="en-US" w:eastAsia="en-US"/>
              </w:rPr>
            </w:pPr>
            <w:bookmarkStart w:id="1" w:name="FirstLawyer"/>
            <w:bookmarkStart w:id="2" w:name="FirstAppellant"/>
            <w:bookmarkEnd w:id="1"/>
            <w:bookmarkEnd w:id="2"/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המערער</w:t>
            </w:r>
            <w:r>
              <w:rPr>
                <w:rFonts w:cs="David" w:ascii="David" w:hAnsi="David"/>
                <w:b/>
                <w:bCs/>
                <w:sz w:val="26"/>
                <w:szCs w:val="26"/>
                <w:rtl w:val="true"/>
                <w:lang w:val="en-US" w:eastAsia="en-US"/>
              </w:rPr>
              <w:t>:</w:t>
            </w:r>
          </w:p>
        </w:tc>
        <w:tc>
          <w:tcPr>
            <w:tcW w:w="5571" w:type="dxa"/>
            <w:tcBorders/>
          </w:tcPr>
          <w:p>
            <w:pPr>
              <w:pStyle w:val="Normal"/>
              <w:suppressLineNumbers/>
              <w:spacing w:lineRule="exact" w:line="240" w:before="120" w:after="120"/>
              <w:ind w:end="0"/>
              <w:jc w:val="start"/>
              <w:rPr/>
            </w:pP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טולר גוסיינוב</w:t>
            </w: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</w:p>
          <w:p>
            <w:pPr>
              <w:pStyle w:val="Normal"/>
              <w:suppressLineNumbers/>
              <w:spacing w:lineRule="exact" w:line="240" w:before="120" w:after="120"/>
              <w:ind w:end="0"/>
              <w:jc w:val="start"/>
              <w:rPr>
                <w:rFonts w:ascii="David" w:hAnsi="David" w:cs="David"/>
                <w:b/>
                <w:bCs/>
                <w:sz w:val="26"/>
                <w:szCs w:val="26"/>
              </w:rPr>
            </w:pP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</w:rPr>
              <w:t>ע</w:t>
            </w:r>
            <w:r>
              <w:rPr>
                <w:rFonts w:cs="David" w:ascii="David" w:hAnsi="David"/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</w:rPr>
              <w:t>י ב</w:t>
            </w:r>
            <w:r>
              <w:rPr>
                <w:rFonts w:cs="David" w:ascii="David" w:hAnsi="David"/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</w:rPr>
              <w:t>כ עו</w:t>
            </w:r>
            <w:r>
              <w:rPr>
                <w:rFonts w:cs="David" w:ascii="David" w:hAnsi="David"/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ד אלעד אלקיס </w:t>
            </w:r>
          </w:p>
        </w:tc>
      </w:tr>
      <w:tr>
        <w:trPr/>
        <w:tc>
          <w:tcPr>
            <w:tcW w:w="8820" w:type="dxa"/>
            <w:gridSpan w:val="2"/>
            <w:tcBorders/>
          </w:tcPr>
          <w:p>
            <w:pPr>
              <w:pStyle w:val="Normal"/>
              <w:suppressLineNumbers/>
              <w:spacing w:lineRule="exact" w:line="240" w:before="120" w:after="120"/>
              <w:ind w:end="0"/>
              <w:jc w:val="center"/>
              <w:rPr>
                <w:rFonts w:ascii="David" w:hAnsi="David" w:cs="David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נגד</w:t>
            </w:r>
          </w:p>
        </w:tc>
      </w:tr>
      <w:tr>
        <w:trPr>
          <w:trHeight w:val="1103" w:hRule="atLeast"/>
        </w:trPr>
        <w:tc>
          <w:tcPr>
            <w:tcW w:w="3249" w:type="dxa"/>
            <w:tcBorders/>
          </w:tcPr>
          <w:p>
            <w:pPr>
              <w:pStyle w:val="Normal"/>
              <w:spacing w:lineRule="exact" w:line="240" w:before="120" w:after="120"/>
              <w:ind w:end="0"/>
              <w:jc w:val="start"/>
              <w:rPr>
                <w:rFonts w:ascii="David" w:hAnsi="David" w:cs="David"/>
                <w:sz w:val="26"/>
                <w:szCs w:val="26"/>
              </w:rPr>
            </w:pP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המשיבה</w:t>
            </w:r>
            <w:r>
              <w:rPr>
                <w:rFonts w:cs="David" w:ascii="David" w:hAnsi="David"/>
                <w:b/>
                <w:bCs/>
                <w:sz w:val="26"/>
                <w:szCs w:val="26"/>
                <w:rtl w:val="true"/>
                <w:lang w:val="en-US" w:eastAsia="en-US"/>
              </w:rPr>
              <w:t>:</w:t>
            </w:r>
          </w:p>
        </w:tc>
        <w:tc>
          <w:tcPr>
            <w:tcW w:w="5571" w:type="dxa"/>
            <w:tcBorders/>
          </w:tcPr>
          <w:p>
            <w:pPr>
              <w:pStyle w:val="Normal"/>
              <w:suppressLineNumbers/>
              <w:spacing w:lineRule="exact" w:line="240" w:before="120" w:after="120"/>
              <w:ind w:end="0"/>
              <w:jc w:val="start"/>
              <w:rPr>
                <w:rFonts w:ascii="David" w:hAnsi="David" w:cs="David"/>
                <w:b/>
                <w:bCs/>
                <w:sz w:val="26"/>
                <w:szCs w:val="26"/>
              </w:rPr>
            </w:pPr>
            <w:r>
              <w:rPr>
                <w:rFonts w:eastAsia="David" w:cs="David" w:ascii="David" w:hAnsi="David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מדינת ישראל</w:t>
            </w:r>
          </w:p>
          <w:p>
            <w:pPr>
              <w:pStyle w:val="Normal"/>
              <w:suppressLineNumbers/>
              <w:spacing w:lineRule="exact" w:line="240" w:before="120" w:after="120"/>
              <w:ind w:end="0"/>
              <w:jc w:val="start"/>
              <w:rPr>
                <w:rFonts w:ascii="David" w:hAnsi="David" w:cs="David"/>
                <w:b/>
                <w:bCs/>
                <w:sz w:val="26"/>
                <w:szCs w:val="26"/>
              </w:rPr>
            </w:pPr>
            <w:r>
              <w:rPr>
                <w:rFonts w:eastAsia="David" w:cs="David" w:ascii="David" w:hAnsi="David"/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</w:rPr>
              <w:t>ע</w:t>
            </w:r>
            <w:r>
              <w:rPr>
                <w:rFonts w:cs="David" w:ascii="David" w:hAnsi="David"/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</w:rPr>
              <w:t>י ב</w:t>
            </w:r>
            <w:r>
              <w:rPr>
                <w:rFonts w:cs="David" w:ascii="David" w:hAnsi="David"/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</w:rPr>
              <w:t>כ עו</w:t>
            </w:r>
            <w:r>
              <w:rPr>
                <w:rFonts w:cs="David" w:ascii="David" w:hAnsi="David"/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rFonts w:ascii="David" w:hAnsi="David"/>
                <w:b/>
                <w:b/>
                <w:bCs/>
                <w:sz w:val="26"/>
                <w:sz w:val="26"/>
                <w:szCs w:val="26"/>
                <w:rtl w:val="true"/>
              </w:rPr>
              <w:t>ד ציון קינן</w:t>
            </w:r>
          </w:p>
        </w:tc>
      </w:tr>
    </w:tbl>
    <w:p>
      <w:pPr>
        <w:pStyle w:val="Normal"/>
        <w:suppressLineNumbers/>
        <w:ind w:end="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  <w:rtl w:val="true"/>
        </w:rPr>
      </w:r>
    </w:p>
    <w:p>
      <w:pPr>
        <w:pStyle w:val="Normal"/>
        <w:suppressLineNumbers/>
        <w:ind w:end="0"/>
        <w:jc w:val="center"/>
        <w:rPr/>
      </w:pPr>
      <w:r>
        <w:rPr>
          <w:rFonts w:ascii="Arial" w:hAnsi="Arial" w:cs="Arial"/>
          <w:b/>
          <w:b/>
          <w:bCs/>
          <w:rtl w:val="true"/>
        </w:rPr>
        <w:t>ערעור על גזר דינו של בימ</w:t>
      </w:r>
      <w:r>
        <w:rPr>
          <w:rFonts w:cs="Arial" w:ascii="Arial" w:hAnsi="Arial"/>
          <w:b/>
          <w:bCs/>
          <w:rtl w:val="true"/>
        </w:rPr>
        <w:t>"</w:t>
      </w:r>
      <w:r>
        <w:rPr>
          <w:rFonts w:ascii="Arial" w:hAnsi="Arial" w:cs="Arial"/>
          <w:b/>
          <w:b/>
          <w:bCs/>
          <w:rtl w:val="true"/>
        </w:rPr>
        <w:t xml:space="preserve">ש </w:t>
      </w:r>
      <w:r>
        <w:rPr>
          <w:rFonts w:ascii="Arial" w:hAnsi="Arial" w:cs="Arial"/>
          <w:b/>
          <w:b/>
          <w:bCs/>
          <w:rtl w:val="true"/>
        </w:rPr>
        <w:t>ה</w:t>
      </w:r>
      <w:r>
        <w:rPr>
          <w:rFonts w:ascii="Arial" w:hAnsi="Arial" w:cs="Arial"/>
          <w:b/>
          <w:b/>
          <w:bCs/>
          <w:rtl w:val="true"/>
        </w:rPr>
        <w:t xml:space="preserve">שלום באילת </w:t>
      </w:r>
      <w:r>
        <w:rPr>
          <w:rFonts w:cs="Arial" w:ascii="Arial" w:hAnsi="Arial"/>
          <w:b/>
          <w:bCs/>
          <w:rtl w:val="true"/>
        </w:rPr>
        <w:t>(</w:t>
      </w:r>
      <w:r>
        <w:rPr>
          <w:rFonts w:ascii="Arial" w:hAnsi="Arial" w:cs="Arial"/>
          <w:b/>
          <w:b/>
          <w:bCs/>
          <w:rtl w:val="true"/>
        </w:rPr>
        <w:t>כב</w:t>
      </w:r>
      <w:r>
        <w:rPr>
          <w:rFonts w:cs="Arial" w:ascii="Arial" w:hAnsi="Arial"/>
          <w:b/>
          <w:bCs/>
          <w:rtl w:val="true"/>
        </w:rPr>
        <w:t xml:space="preserve">' </w:t>
      </w:r>
      <w:r>
        <w:rPr>
          <w:rFonts w:ascii="Arial" w:hAnsi="Arial" w:cs="Arial"/>
          <w:b/>
          <w:b/>
          <w:bCs/>
          <w:rtl w:val="true"/>
        </w:rPr>
        <w:t>השופט ש</w:t>
      </w:r>
      <w:r>
        <w:rPr>
          <w:rFonts w:cs="Arial" w:ascii="Arial" w:hAnsi="Arial"/>
          <w:b/>
          <w:bCs/>
          <w:rtl w:val="true"/>
        </w:rPr>
        <w:t xml:space="preserve">. </w:t>
      </w:r>
      <w:r>
        <w:rPr>
          <w:rFonts w:ascii="Arial" w:hAnsi="Arial" w:cs="Arial"/>
          <w:b/>
          <w:b/>
          <w:bCs/>
          <w:rtl w:val="true"/>
        </w:rPr>
        <w:t>ברגר</w:t>
      </w:r>
      <w:r>
        <w:rPr>
          <w:rFonts w:cs="Arial" w:ascii="Arial" w:hAnsi="Arial"/>
          <w:b/>
          <w:bCs/>
          <w:rtl w:val="true"/>
        </w:rPr>
        <w:t>)</w:t>
      </w:r>
      <w:r>
        <w:rPr>
          <w:rFonts w:cs="Arial" w:ascii="Arial" w:hAnsi="Arial"/>
          <w:b/>
          <w:bCs/>
          <w:rtl w:val="true"/>
        </w:rPr>
        <w:t xml:space="preserve"> </w:t>
      </w:r>
      <w:r>
        <w:rPr>
          <w:rFonts w:ascii="Arial" w:hAnsi="Arial" w:cs="Arial"/>
          <w:b/>
          <w:b/>
          <w:bCs/>
          <w:rtl w:val="true"/>
        </w:rPr>
        <w:t xml:space="preserve">מיום </w:t>
      </w:r>
      <w:r>
        <w:rPr>
          <w:rFonts w:cs="Arial" w:ascii="Arial" w:hAnsi="Arial"/>
          <w:b/>
          <w:bCs/>
        </w:rPr>
        <w:t>05.07.21</w:t>
      </w:r>
    </w:p>
    <w:p>
      <w:pPr>
        <w:pStyle w:val="Normal"/>
        <w:suppressLineNumbers/>
        <w:ind w:end="0"/>
        <w:jc w:val="center"/>
        <w:rPr/>
      </w:pPr>
      <w:r>
        <w:rPr>
          <w:rFonts w:eastAsia="Arial" w:cs="Arial" w:ascii="Arial" w:hAnsi="Arial"/>
          <w:b/>
          <w:bCs/>
          <w:rtl w:val="true"/>
        </w:rPr>
        <w:t xml:space="preserve"> </w:t>
      </w:r>
      <w:r>
        <w:rPr>
          <w:rFonts w:ascii="Arial" w:hAnsi="Arial" w:cs="Arial"/>
          <w:b/>
          <w:b/>
          <w:bCs/>
          <w:rtl w:val="true"/>
        </w:rPr>
        <w:t>ב</w:t>
      </w:r>
      <w:hyperlink r:id="rId2">
        <w:r>
          <w:rPr>
            <w:rStyle w:val="Hyperlink"/>
            <w:rFonts w:ascii="Arial" w:hAnsi="Arial" w:cs="Arial"/>
            <w:b/>
            <w:b/>
            <w:bCs/>
            <w:color w:val="0000FF"/>
            <w:u w:val="single"/>
            <w:rtl w:val="true"/>
          </w:rPr>
          <w:t>ת</w:t>
        </w:r>
        <w:r>
          <w:rPr>
            <w:rStyle w:val="Hyperlink"/>
            <w:rFonts w:cs="Arial" w:ascii="Arial" w:hAnsi="Arial"/>
            <w:b/>
            <w:bCs/>
            <w:color w:val="0000FF"/>
            <w:u w:val="single"/>
            <w:rtl w:val="true"/>
          </w:rPr>
          <w:t>"</w:t>
        </w:r>
        <w:r>
          <w:rPr>
            <w:rStyle w:val="Hyperlink"/>
            <w:rFonts w:ascii="Arial" w:hAnsi="Arial" w:cs="Arial"/>
            <w:b/>
            <w:b/>
            <w:bCs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Arial" w:ascii="Arial" w:hAnsi="Arial"/>
            <w:b/>
            <w:bCs/>
            <w:color w:val="0000FF"/>
            <w:u w:val="single"/>
          </w:rPr>
          <w:t>72395-01-20</w:t>
        </w:r>
      </w:hyperlink>
      <w:r>
        <w:rPr>
          <w:rFonts w:cs="Arial" w:ascii="Arial" w:hAnsi="Arial"/>
          <w:b/>
          <w:bCs/>
          <w:rtl w:val="true"/>
        </w:rPr>
        <w:t xml:space="preserve"> </w:t>
      </w:r>
    </w:p>
    <w:p>
      <w:pPr>
        <w:pStyle w:val="Normal"/>
        <w:suppressLineNumbers/>
        <w:ind w:end="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  <w:rtl w:val="true"/>
        </w:rPr>
      </w:r>
    </w:p>
    <w:p>
      <w:pPr>
        <w:pStyle w:val="Normal"/>
        <w:spacing w:lineRule="exact" w:line="240" w:before="120" w:after="120"/>
        <w:ind w:hanging="283" w:start="283" w:end="0"/>
        <w:jc w:val="both"/>
        <w:rPr/>
      </w:pPr>
      <w:bookmarkStart w:id="3" w:name="LawTable"/>
      <w:bookmarkStart w:id="4" w:name="NGCSBookmark"/>
      <w:bookmarkEnd w:id="3"/>
      <w:bookmarkEnd w:id="4"/>
      <w:r>
        <w:rPr>
          <w:rFonts w:ascii="FrankRuehl" w:hAnsi="FrankRuehl" w:cs="FrankRuehl"/>
          <w:rtl w:val="true"/>
          <w:lang w:val="en-US" w:eastAsia="en-US"/>
        </w:rPr>
        <w:t>חקיקה שאוזכרה</w:t>
      </w:r>
      <w:r>
        <w:rPr>
          <w:rFonts w:cs="FrankRuehl" w:ascii="FrankRuehl" w:hAnsi="FrankRuehl"/>
          <w:rtl w:val="true"/>
          <w:lang w:val="en-US" w:eastAsia="en-US"/>
        </w:rPr>
        <w:t>:</w:t>
      </w:r>
      <w:r>
        <w:rPr>
          <w:rFonts w:cs="FrankRuehl" w:ascii="FrankRuehl" w:hAnsi="FrankRuehl"/>
          <w:color w:val="0000FF"/>
          <w:rtl w:val="true"/>
          <w:lang w:val="en-US" w:eastAsia="en-US"/>
        </w:rPr>
        <w:t xml:space="preserve"> </w:t>
      </w:r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color w:val="0000FF"/>
          <w:lang w:val="en-US" w:eastAsia="en-US"/>
        </w:rPr>
      </w:pPr>
      <w:hyperlink r:id="rId3">
        <w:r>
          <w:rPr>
            <w:rStyle w:val="Hyperlink"/>
            <w:rFonts w:ascii="FrankRuehl" w:hAnsi="FrankRuehl" w:cs="FrankRuehl"/>
            <w:u w:val="none"/>
            <w:rtl w:val="true"/>
          </w:rPr>
          <w:t xml:space="preserve">פקודת הסמים המסוכנים </w:t>
        </w:r>
        <w:r>
          <w:rPr>
            <w:rStyle w:val="Hyperlink"/>
            <w:rFonts w:cs="FrankRuehl" w:ascii="FrankRuehl" w:hAnsi="FrankRuehl"/>
            <w:u w:val="none"/>
            <w:rtl w:val="true"/>
          </w:rPr>
          <w:t>[</w:t>
        </w:r>
        <w:r>
          <w:rPr>
            <w:rStyle w:val="Hyperlink"/>
            <w:rFonts w:ascii="FrankRuehl" w:hAnsi="FrankRuehl" w:cs="FrankRuehl"/>
            <w:u w:val="none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u w:val="none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u w:val="none"/>
            <w:rtl w:val="true"/>
          </w:rPr>
          <w:t>תשל</w:t>
        </w:r>
        <w:r>
          <w:rPr>
            <w:rStyle w:val="Hyperlink"/>
            <w:rFonts w:cs="FrankRuehl" w:ascii="FrankRuehl" w:hAnsi="FrankRuehl"/>
            <w:u w:val="none"/>
            <w:rtl w:val="true"/>
          </w:rPr>
          <w:t>"</w:t>
        </w:r>
        <w:r>
          <w:rPr>
            <w:rStyle w:val="Hyperlink"/>
            <w:rFonts w:ascii="FrankRuehl" w:hAnsi="FrankRuehl" w:cs="FrankRuehl"/>
            <w:u w:val="none"/>
            <w:rtl w:val="true"/>
          </w:rPr>
          <w:t>ג</w:t>
        </w:r>
        <w:r>
          <w:rPr>
            <w:rStyle w:val="Hyperlink"/>
            <w:rFonts w:cs="FrankRuehl" w:ascii="FrankRuehl" w:hAnsi="FrankRuehl"/>
            <w:u w:val="none"/>
            <w:rtl w:val="true"/>
          </w:rPr>
          <w:t>-</w:t>
        </w:r>
        <w:r>
          <w:rPr>
            <w:rStyle w:val="Hyperlink"/>
            <w:rFonts w:cs="FrankRuehl" w:ascii="FrankRuehl" w:hAnsi="FrankRuehl"/>
            <w:u w:val="none"/>
          </w:rPr>
          <w:t>1973</w:t>
        </w:r>
      </w:hyperlink>
      <w:r>
        <w:rPr>
          <w:rFonts w:cs="FrankRuehl" w:ascii="FrankRuehl" w:hAnsi="FrankRuehl"/>
          <w:color w:val="0000FF"/>
          <w:rtl w:val="true"/>
          <w:lang w:val="en-US" w:eastAsia="en-US"/>
        </w:rPr>
        <w:t xml:space="preserve">: </w:t>
      </w:r>
      <w:r>
        <w:rPr>
          <w:rFonts w:ascii="FrankRuehl" w:hAnsi="FrankRuehl" w:cs="FrankRuehl"/>
          <w:color w:val="0000FF"/>
          <w:rtl w:val="true"/>
          <w:lang w:val="en-US" w:eastAsia="en-US"/>
        </w:rPr>
        <w:t>סע</w:t>
      </w:r>
      <w:r>
        <w:rPr>
          <w:rFonts w:cs="FrankRuehl" w:ascii="FrankRuehl" w:hAnsi="FrankRuehl"/>
          <w:color w:val="0000FF"/>
          <w:rtl w:val="true"/>
          <w:lang w:val="en-US" w:eastAsia="en-US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u w:val="none"/>
          </w:rPr>
          <w:t>7</w:t>
        </w:r>
      </w:hyperlink>
      <w:r>
        <w:rPr>
          <w:rFonts w:cs="FrankRuehl" w:ascii="FrankRuehl" w:hAnsi="FrankRuehl"/>
          <w:color w:val="0000FF"/>
          <w:rtl w:val="true"/>
          <w:lang w:val="en-US" w:eastAsia="en-US"/>
        </w:rPr>
        <w:t>(</w:t>
      </w:r>
      <w:r>
        <w:rPr>
          <w:rFonts w:ascii="FrankRuehl" w:hAnsi="FrankRuehl" w:cs="FrankRuehl"/>
          <w:color w:val="0000FF"/>
          <w:rtl w:val="true"/>
          <w:lang w:val="en-US" w:eastAsia="en-US"/>
        </w:rPr>
        <w:t>א</w:t>
      </w:r>
      <w:r>
        <w:rPr>
          <w:rFonts w:cs="FrankRuehl" w:ascii="FrankRuehl" w:hAnsi="FrankRuehl"/>
          <w:color w:val="0000FF"/>
          <w:rtl w:val="true"/>
          <w:lang w:val="en-US" w:eastAsia="en-US"/>
        </w:rPr>
        <w:t xml:space="preserve">), </w:t>
      </w:r>
      <w:hyperlink r:id="rId5">
        <w:r>
          <w:rPr>
            <w:rStyle w:val="Hyperlink"/>
            <w:rFonts w:cs="FrankRuehl" w:ascii="FrankRuehl" w:hAnsi="FrankRuehl"/>
            <w:u w:val="none"/>
          </w:rPr>
          <w:t>7</w:t>
        </w:r>
      </w:hyperlink>
      <w:r>
        <w:rPr>
          <w:rFonts w:cs="FrankRuehl" w:ascii="FrankRuehl" w:hAnsi="FrankRuehl"/>
          <w:color w:val="0000FF"/>
          <w:rtl w:val="true"/>
          <w:lang w:val="en-US" w:eastAsia="en-US"/>
        </w:rPr>
        <w:t>(</w:t>
      </w:r>
      <w:r>
        <w:rPr>
          <w:rFonts w:ascii="FrankRuehl" w:hAnsi="FrankRuehl" w:cs="FrankRuehl"/>
          <w:color w:val="0000FF"/>
          <w:rtl w:val="true"/>
          <w:lang w:val="en-US" w:eastAsia="en-US"/>
        </w:rPr>
        <w:t>ב</w:t>
      </w:r>
      <w:r>
        <w:rPr>
          <w:rFonts w:cs="FrankRuehl" w:ascii="FrankRuehl" w:hAnsi="FrankRuehl"/>
          <w:color w:val="0000FF"/>
          <w:rtl w:val="true"/>
          <w:lang w:val="en-US" w:eastAsia="en-US"/>
        </w:rPr>
        <w:t xml:space="preserve">), </w:t>
      </w:r>
      <w:hyperlink r:id="rId6">
        <w:r>
          <w:rPr>
            <w:rStyle w:val="Hyperlink"/>
            <w:rFonts w:cs="FrankRuehl" w:ascii="FrankRuehl" w:hAnsi="FrankRuehl"/>
            <w:u w:val="none"/>
          </w:rPr>
          <w:t>13</w:t>
        </w:r>
      </w:hyperlink>
      <w:r>
        <w:rPr>
          <w:rFonts w:cs="FrankRuehl" w:ascii="FrankRuehl" w:hAnsi="FrankRuehl"/>
          <w:color w:val="0000FF"/>
          <w:rtl w:val="true"/>
          <w:lang w:val="en-US" w:eastAsia="en-US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u w:val="none"/>
          </w:rPr>
          <w:t>19</w:t>
        </w:r>
        <w:r>
          <w:rPr>
            <w:rStyle w:val="Hyperlink"/>
            <w:rFonts w:ascii="FrankRuehl" w:hAnsi="FrankRuehl" w:cs="FrankRuehl"/>
            <w:u w:val="none"/>
            <w:rtl w:val="true"/>
          </w:rPr>
          <w:t>א</w:t>
        </w:r>
      </w:hyperlink>
    </w:p>
    <w:p>
      <w:pPr>
        <w:pStyle w:val="Normal"/>
        <w:spacing w:lineRule="exact" w:line="240" w:before="120" w:after="120"/>
        <w:ind w:hanging="283" w:start="283" w:end="0"/>
        <w:jc w:val="both"/>
        <w:rPr/>
      </w:pPr>
      <w:hyperlink r:id="rId8">
        <w:r>
          <w:rPr>
            <w:rStyle w:val="Hyperlink"/>
            <w:rFonts w:ascii="FrankRuehl" w:hAnsi="FrankRuehl" w:cs="FrankRuehl"/>
            <w:u w:val="none"/>
            <w:rtl w:val="true"/>
          </w:rPr>
          <w:t xml:space="preserve">פקודת התעבורה </w:t>
        </w:r>
        <w:r>
          <w:rPr>
            <w:rStyle w:val="Hyperlink"/>
            <w:rFonts w:cs="FrankRuehl" w:ascii="FrankRuehl" w:hAnsi="FrankRuehl"/>
            <w:u w:val="none"/>
            <w:rtl w:val="true"/>
          </w:rPr>
          <w:t>[</w:t>
        </w:r>
        <w:r>
          <w:rPr>
            <w:rStyle w:val="Hyperlink"/>
            <w:rFonts w:ascii="FrankRuehl" w:hAnsi="FrankRuehl" w:cs="FrankRuehl"/>
            <w:u w:val="none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u w:val="none"/>
            <w:rtl w:val="true"/>
          </w:rPr>
          <w:t>]</w:t>
        </w:r>
      </w:hyperlink>
      <w:r>
        <w:rPr>
          <w:rFonts w:cs="FrankRuehl" w:ascii="FrankRuehl" w:hAnsi="FrankRuehl"/>
          <w:color w:val="0000FF"/>
          <w:rtl w:val="true"/>
          <w:lang w:val="en-US" w:eastAsia="en-US"/>
        </w:rPr>
        <w:t xml:space="preserve">: </w:t>
      </w:r>
      <w:r>
        <w:rPr>
          <w:rFonts w:ascii="FrankRuehl" w:hAnsi="FrankRuehl" w:cs="FrankRuehl"/>
          <w:color w:val="0000FF"/>
          <w:rtl w:val="true"/>
          <w:lang w:val="en-US" w:eastAsia="en-US"/>
        </w:rPr>
        <w:t>סע</w:t>
      </w:r>
      <w:r>
        <w:rPr>
          <w:rFonts w:cs="FrankRuehl" w:ascii="FrankRuehl" w:hAnsi="FrankRuehl"/>
          <w:color w:val="0000FF"/>
          <w:rtl w:val="true"/>
          <w:lang w:val="en-US" w:eastAsia="en-US"/>
        </w:rPr>
        <w:t xml:space="preserve">'  </w:t>
      </w:r>
      <w:hyperlink r:id="rId9">
        <w:r>
          <w:rPr>
            <w:rStyle w:val="Hyperlink"/>
            <w:rFonts w:cs="FrankRuehl" w:ascii="FrankRuehl" w:hAnsi="FrankRuehl"/>
            <w:u w:val="none"/>
          </w:rPr>
          <w:t>36</w:t>
        </w:r>
      </w:hyperlink>
      <w:r>
        <w:rPr>
          <w:rFonts w:cs="FrankRuehl" w:ascii="FrankRuehl" w:hAnsi="FrankRuehl"/>
          <w:color w:val="0000FF"/>
          <w:rtl w:val="true"/>
          <w:lang w:val="en-US" w:eastAsia="en-US"/>
        </w:rPr>
        <w:t>(</w:t>
      </w:r>
      <w:r>
        <w:rPr>
          <w:rFonts w:ascii="FrankRuehl" w:hAnsi="FrankRuehl" w:cs="FrankRuehl"/>
          <w:color w:val="0000FF"/>
          <w:rtl w:val="true"/>
          <w:lang w:val="en-US" w:eastAsia="en-US"/>
        </w:rPr>
        <w:t>ג</w:t>
      </w:r>
      <w:r>
        <w:rPr>
          <w:rFonts w:cs="FrankRuehl" w:ascii="FrankRuehl" w:hAnsi="FrankRuehl"/>
          <w:color w:val="0000FF"/>
          <w:rtl w:val="true"/>
          <w:lang w:val="en-US" w:eastAsia="en-US"/>
        </w:rPr>
        <w:t xml:space="preserve">), </w:t>
      </w:r>
      <w:hyperlink r:id="rId10">
        <w:r>
          <w:rPr>
            <w:rStyle w:val="Hyperlink"/>
            <w:rFonts w:cs="FrankRuehl" w:ascii="FrankRuehl" w:hAnsi="FrankRuehl"/>
            <w:u w:val="none"/>
          </w:rPr>
          <w:t>36</w:t>
        </w:r>
        <w:r>
          <w:rPr>
            <w:rStyle w:val="Hyperlink"/>
            <w:rFonts w:cs="FrankRuehl" w:ascii="FrankRuehl" w:hAnsi="FrankRuehl"/>
            <w:u w:val="none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u w:val="none"/>
            <w:rtl w:val="true"/>
          </w:rPr>
          <w:t>א</w:t>
        </w:r>
      </w:hyperlink>
      <w:r>
        <w:rPr>
          <w:rFonts w:cs="FrankRuehl" w:ascii="FrankRuehl" w:hAnsi="FrankRuehl"/>
          <w:color w:val="0000FF"/>
          <w:rtl w:val="true"/>
          <w:lang w:val="en-US" w:eastAsia="en-US"/>
        </w:rPr>
        <w:t>(</w:t>
      </w:r>
      <w:r>
        <w:rPr>
          <w:rFonts w:ascii="FrankRuehl" w:hAnsi="FrankRuehl" w:cs="FrankRuehl"/>
          <w:color w:val="0000FF"/>
          <w:rtl w:val="true"/>
          <w:lang w:val="en-US" w:eastAsia="en-US"/>
        </w:rPr>
        <w:t>ב</w:t>
      </w:r>
      <w:r>
        <w:rPr>
          <w:rFonts w:cs="FrankRuehl" w:ascii="FrankRuehl" w:hAnsi="FrankRuehl"/>
          <w:color w:val="0000FF"/>
          <w:rtl w:val="true"/>
          <w:lang w:val="en-US" w:eastAsia="en-US"/>
        </w:rPr>
        <w:t>)</w:t>
      </w:r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color w:val="0000FF"/>
          <w:lang w:val="en-US" w:eastAsia="en-US"/>
        </w:rPr>
      </w:pPr>
      <w:hyperlink r:id="rId11">
        <w:r>
          <w:rPr>
            <w:rStyle w:val="Hyperlink"/>
            <w:rFonts w:ascii="FrankRuehl" w:hAnsi="FrankRuehl" w:cs="FrankRuehl"/>
            <w:u w:val="non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u w:val="non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u w:val="none"/>
            <w:rtl w:val="true"/>
          </w:rPr>
          <w:t>תשל</w:t>
        </w:r>
        <w:r>
          <w:rPr>
            <w:rStyle w:val="Hyperlink"/>
            <w:rFonts w:cs="FrankRuehl" w:ascii="FrankRuehl" w:hAnsi="FrankRuehl"/>
            <w:u w:val="none"/>
            <w:rtl w:val="true"/>
          </w:rPr>
          <w:t>"</w:t>
        </w:r>
        <w:r>
          <w:rPr>
            <w:rStyle w:val="Hyperlink"/>
            <w:rFonts w:ascii="FrankRuehl" w:hAnsi="FrankRuehl" w:cs="FrankRuehl"/>
            <w:u w:val="none"/>
            <w:rtl w:val="true"/>
          </w:rPr>
          <w:t>ז</w:t>
        </w:r>
        <w:r>
          <w:rPr>
            <w:rStyle w:val="Hyperlink"/>
            <w:rFonts w:cs="FrankRuehl" w:ascii="FrankRuehl" w:hAnsi="FrankRuehl"/>
            <w:u w:val="none"/>
            <w:rtl w:val="true"/>
          </w:rPr>
          <w:t>-</w:t>
        </w:r>
        <w:r>
          <w:rPr>
            <w:rStyle w:val="Hyperlink"/>
            <w:rFonts w:cs="FrankRuehl" w:ascii="FrankRuehl" w:hAnsi="FrankRuehl"/>
            <w:u w:val="none"/>
          </w:rPr>
          <w:t>1977</w:t>
        </w:r>
      </w:hyperlink>
      <w:r>
        <w:rPr>
          <w:rFonts w:cs="FrankRuehl" w:ascii="FrankRuehl" w:hAnsi="FrankRuehl"/>
          <w:color w:val="0000FF"/>
          <w:rtl w:val="true"/>
          <w:lang w:val="en-US" w:eastAsia="en-US"/>
        </w:rPr>
        <w:t xml:space="preserve">: </w:t>
      </w:r>
      <w:r>
        <w:rPr>
          <w:rFonts w:ascii="FrankRuehl" w:hAnsi="FrankRuehl" w:cs="FrankRuehl"/>
          <w:color w:val="0000FF"/>
          <w:rtl w:val="true"/>
          <w:lang w:val="en-US" w:eastAsia="en-US"/>
        </w:rPr>
        <w:t>סע</w:t>
      </w:r>
      <w:r>
        <w:rPr>
          <w:rFonts w:cs="FrankRuehl" w:ascii="FrankRuehl" w:hAnsi="FrankRuehl"/>
          <w:color w:val="0000FF"/>
          <w:rtl w:val="true"/>
          <w:lang w:val="en-US" w:eastAsia="en-US"/>
        </w:rPr>
        <w:t xml:space="preserve">'  </w:t>
      </w:r>
      <w:hyperlink r:id="rId12">
        <w:r>
          <w:rPr>
            <w:rStyle w:val="Hyperlink"/>
            <w:rFonts w:cs="FrankRuehl" w:ascii="FrankRuehl" w:hAnsi="FrankRuehl"/>
            <w:u w:val="none"/>
          </w:rPr>
          <w:t>40</w:t>
        </w:r>
        <w:r>
          <w:rPr>
            <w:rStyle w:val="Hyperlink"/>
            <w:rFonts w:ascii="FrankRuehl" w:hAnsi="FrankRuehl" w:cs="FrankRuehl"/>
            <w:u w:val="none"/>
            <w:rtl w:val="true"/>
          </w:rPr>
          <w:t>ב</w:t>
        </w:r>
      </w:hyperlink>
      <w:r>
        <w:rPr>
          <w:rFonts w:cs="FrankRuehl" w:ascii="FrankRuehl" w:hAnsi="FrankRuehl"/>
          <w:color w:val="0000FF"/>
          <w:rtl w:val="true"/>
          <w:lang w:val="en-US" w:eastAsia="en-US"/>
        </w:rPr>
        <w:t xml:space="preserve">, </w:t>
      </w:r>
      <w:hyperlink r:id="rId13">
        <w:r>
          <w:rPr>
            <w:rStyle w:val="Hyperlink"/>
            <w:rFonts w:cs="FrankRuehl" w:ascii="FrankRuehl" w:hAnsi="FrankRuehl"/>
            <w:u w:val="none"/>
          </w:rPr>
          <w:t>40</w:t>
        </w:r>
        <w:r>
          <w:rPr>
            <w:rStyle w:val="Hyperlink"/>
            <w:rFonts w:ascii="FrankRuehl" w:hAnsi="FrankRuehl" w:cs="FrankRuehl"/>
            <w:u w:val="none"/>
            <w:rtl w:val="true"/>
          </w:rPr>
          <w:t>ג</w:t>
        </w:r>
      </w:hyperlink>
      <w:r>
        <w:rPr>
          <w:rFonts w:cs="FrankRuehl" w:ascii="FrankRuehl" w:hAnsi="FrankRuehl"/>
          <w:color w:val="0000FF"/>
          <w:rtl w:val="true"/>
          <w:lang w:val="en-US" w:eastAsia="en-US"/>
        </w:rPr>
        <w:t>(</w:t>
      </w:r>
      <w:r>
        <w:rPr>
          <w:rFonts w:ascii="FrankRuehl" w:hAnsi="FrankRuehl" w:cs="FrankRuehl"/>
          <w:color w:val="0000FF"/>
          <w:rtl w:val="true"/>
          <w:lang w:val="en-US" w:eastAsia="en-US"/>
        </w:rPr>
        <w:t>א</w:t>
      </w:r>
      <w:r>
        <w:rPr>
          <w:rFonts w:cs="FrankRuehl" w:ascii="FrankRuehl" w:hAnsi="FrankRuehl"/>
          <w:color w:val="0000FF"/>
          <w:rtl w:val="true"/>
          <w:lang w:val="en-US" w:eastAsia="en-US"/>
        </w:rPr>
        <w:t xml:space="preserve">), </w:t>
      </w:r>
      <w:hyperlink r:id="rId14">
        <w:r>
          <w:rPr>
            <w:rStyle w:val="Hyperlink"/>
            <w:rFonts w:cs="FrankRuehl" w:ascii="FrankRuehl" w:hAnsi="FrankRuehl"/>
            <w:u w:val="none"/>
          </w:rPr>
          <w:t>40</w:t>
        </w:r>
        <w:r>
          <w:rPr>
            <w:rStyle w:val="Hyperlink"/>
            <w:rFonts w:ascii="FrankRuehl" w:hAnsi="FrankRuehl" w:cs="FrankRuehl"/>
            <w:u w:val="none"/>
            <w:rtl w:val="true"/>
          </w:rPr>
          <w:t>יג</w:t>
        </w:r>
      </w:hyperlink>
      <w:r>
        <w:rPr>
          <w:rFonts w:cs="FrankRuehl" w:ascii="FrankRuehl" w:hAnsi="FrankRuehl"/>
          <w:color w:val="0000FF"/>
          <w:rtl w:val="true"/>
          <w:lang w:val="en-US" w:eastAsia="en-US"/>
        </w:rPr>
        <w:t>(</w:t>
      </w:r>
      <w:r>
        <w:rPr>
          <w:rFonts w:ascii="FrankRuehl" w:hAnsi="FrankRuehl" w:cs="FrankRuehl"/>
          <w:color w:val="0000FF"/>
          <w:rtl w:val="true"/>
          <w:lang w:val="en-US" w:eastAsia="en-US"/>
        </w:rPr>
        <w:t>א</w:t>
      </w:r>
      <w:r>
        <w:rPr>
          <w:rFonts w:cs="FrankRuehl" w:ascii="FrankRuehl" w:hAnsi="FrankRuehl"/>
          <w:color w:val="0000FF"/>
          <w:rtl w:val="true"/>
          <w:lang w:val="en-US" w:eastAsia="en-US"/>
        </w:rPr>
        <w:t xml:space="preserve">), </w:t>
      </w:r>
      <w:hyperlink r:id="rId15">
        <w:r>
          <w:rPr>
            <w:rStyle w:val="Hyperlink"/>
            <w:rFonts w:cs="FrankRuehl" w:ascii="FrankRuehl" w:hAnsi="FrankRuehl"/>
            <w:u w:val="none"/>
            <w:rtl w:val="true"/>
          </w:rPr>
          <w:t>(</w:t>
        </w:r>
        <w:r>
          <w:rPr>
            <w:rStyle w:val="Hyperlink"/>
            <w:rFonts w:ascii="FrankRuehl" w:hAnsi="FrankRuehl" w:cs="FrankRuehl"/>
            <w:u w:val="none"/>
            <w:rtl w:val="true"/>
          </w:rPr>
          <w:t>ב</w:t>
        </w:r>
        <w:r>
          <w:rPr>
            <w:rStyle w:val="Hyperlink"/>
            <w:rFonts w:cs="FrankRuehl" w:ascii="FrankRuehl" w:hAnsi="FrankRuehl"/>
            <w:u w:val="none"/>
            <w:rtl w:val="true"/>
          </w:rPr>
          <w:t>)</w:t>
        </w:r>
      </w:hyperlink>
    </w:p>
    <w:p>
      <w:pPr>
        <w:pStyle w:val="Normal"/>
        <w:suppressLineNumbers/>
        <w:ind w:end="0"/>
        <w:jc w:val="center"/>
        <w:rPr>
          <w:rFonts w:ascii="Arial" w:hAnsi="Arial" w:cs="Arial"/>
          <w:b/>
          <w:bCs/>
          <w:color w:val="0000FF"/>
          <w:sz w:val="28"/>
          <w:szCs w:val="28"/>
          <w:lang w:val="en-US" w:eastAsia="en-US"/>
        </w:rPr>
      </w:pPr>
      <w:r>
        <w:rPr>
          <w:rFonts w:cs="Arial" w:ascii="Arial" w:hAnsi="Arial"/>
          <w:b/>
          <w:bCs/>
          <w:color w:val="0000FF"/>
          <w:sz w:val="28"/>
          <w:szCs w:val="28"/>
          <w:rtl w:val="true"/>
          <w:lang w:val="en-US" w:eastAsia="en-US"/>
        </w:rPr>
      </w:r>
      <w:bookmarkStart w:id="5" w:name="PsakDin"/>
      <w:bookmarkStart w:id="6" w:name="LawTable_End"/>
      <w:bookmarkStart w:id="7" w:name="PsakDin"/>
      <w:bookmarkStart w:id="8" w:name="LawTable_End"/>
      <w:bookmarkEnd w:id="7"/>
      <w:bookmarkEnd w:id="8"/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bookmarkStart w:id="9" w:name="ABSTRACT_START"/>
      <w:bookmarkEnd w:id="9"/>
      <w:r>
        <w:rPr>
          <w:rFonts w:cs="FrankRuehl"/>
          <w:szCs w:val="26"/>
          <w:rtl w:val="true"/>
        </w:rPr>
        <w:t>מיני</w:t>
      </w:r>
      <w:r>
        <w:rPr>
          <w:rFonts w:cs="FrankRuehl"/>
          <w:szCs w:val="26"/>
          <w:rtl w:val="true"/>
        </w:rPr>
        <w:t>-</w:t>
      </w:r>
      <w:r>
        <w:rPr>
          <w:rFonts w:cs="FrankRuehl"/>
          <w:szCs w:val="26"/>
          <w:rtl w:val="true"/>
        </w:rPr>
        <w:t>רציו</w:t>
      </w:r>
      <w:r>
        <w:rPr>
          <w:rFonts w:cs="FrankRuehl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 xml:space="preserve">* </w:t>
      </w:r>
      <w:r>
        <w:rPr>
          <w:rFonts w:cs="FrankRuehl"/>
          <w:szCs w:val="26"/>
          <w:rtl w:val="true"/>
        </w:rPr>
        <w:t>נדחה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ערעור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עונשו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המערער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בגין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הרשעתו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בעבירות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סמים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נפסק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בין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היתר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כי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משנקבע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מתחם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נפרד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לכל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אירוע</w:t>
      </w:r>
      <w:r>
        <w:rPr>
          <w:rFonts w:eastAsia="Calibri" w:cs="FrankRuehl"/>
          <w:szCs w:val="26"/>
          <w:rtl w:val="true"/>
        </w:rPr>
        <w:t>,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ניתן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לקבוע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נפרד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לכל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מתחם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או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לקבוע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עונש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כולל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לכל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האירועים</w:t>
      </w:r>
      <w:r>
        <w:rPr>
          <w:rFonts w:eastAsia="Calibri"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אך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אין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אפשרות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לקבוע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"</w:t>
      </w:r>
      <w:r>
        <w:rPr>
          <w:rFonts w:eastAsia="Calibri" w:cs="FrankRuehl"/>
          <w:szCs w:val="26"/>
          <w:rtl w:val="true"/>
        </w:rPr>
        <w:t>מתחם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עונש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כולל</w:t>
      </w:r>
      <w:r>
        <w:rPr>
          <w:rFonts w:eastAsia="Calibri" w:cs="FrankRuehl"/>
          <w:szCs w:val="26"/>
          <w:rtl w:val="true"/>
        </w:rPr>
        <w:t xml:space="preserve">" </w:t>
      </w:r>
      <w:r>
        <w:rPr>
          <w:rFonts w:eastAsia="Calibri" w:cs="FrankRuehl"/>
          <w:szCs w:val="26"/>
          <w:rtl w:val="true"/>
        </w:rPr>
        <w:t>כהאחדה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מתחמי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העונש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הנפרדים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שנקבעו</w:t>
      </w:r>
      <w:r>
        <w:rPr>
          <w:rFonts w:eastAsia="Calibri"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Cs w:val="26"/>
        </w:rPr>
      </w:pPr>
      <w:r>
        <w:rPr>
          <w:rFonts w:cs="FrankRuehl"/>
          <w:szCs w:val="26"/>
          <w:rtl w:val="true"/>
        </w:rPr>
        <w:t xml:space="preserve">* </w:t>
      </w:r>
      <w:r>
        <w:rPr>
          <w:rFonts w:cs="FrankRuehl"/>
          <w:szCs w:val="26"/>
          <w:rtl w:val="true"/>
        </w:rPr>
        <w:t>דיון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פלילי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ערעור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עונש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 xml:space="preserve">* </w:t>
      </w:r>
      <w:r>
        <w:rPr>
          <w:rFonts w:cs="FrankRuehl"/>
          <w:szCs w:val="26"/>
          <w:rtl w:val="true"/>
        </w:rPr>
        <w:t>עונשין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מתחם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הענישה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Cs w:val="26"/>
        </w:rPr>
      </w:pPr>
      <w:r>
        <w:rPr>
          <w:rFonts w:eastAsia="Calibri" w:cs="FrankRuehl"/>
          <w:szCs w:val="26"/>
          <w:rtl w:val="true"/>
        </w:rPr>
        <w:t>המערער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הורשע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על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פי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הודאתו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בביצוע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עבירה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סחר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בסם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מסוכן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ובשתי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עבירות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החזקת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סמים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שלא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לצריכה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עצמית</w:t>
      </w:r>
      <w:r>
        <w:rPr>
          <w:rFonts w:eastAsia="Calibri" w:cs="FrankRuehl"/>
          <w:szCs w:val="26"/>
          <w:rtl w:val="true"/>
        </w:rPr>
        <w:t xml:space="preserve">, </w:t>
      </w:r>
      <w:r>
        <w:rPr>
          <w:rFonts w:eastAsia="Calibri" w:cs="FrankRuehl"/>
          <w:szCs w:val="26"/>
          <w:rtl w:val="true"/>
        </w:rPr>
        <w:t>ונדון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</w:t>
      </w:r>
      <w:r>
        <w:rPr>
          <w:rFonts w:eastAsia="Calibri" w:cs="FrankRuehl"/>
          <w:szCs w:val="26"/>
          <w:rtl w:val="true"/>
        </w:rPr>
        <w:t xml:space="preserve">- </w:t>
      </w:r>
      <w:r>
        <w:rPr>
          <w:rFonts w:eastAsia="Calibri" w:cs="FrankRuehl"/>
          <w:szCs w:val="26"/>
        </w:rPr>
        <w:t>12</w:t>
      </w:r>
      <w:r>
        <w:rPr>
          <w:rFonts w:eastAsia="Calibri" w:cs="FrankRuehl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חודשי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מאסר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לריצוי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בפועל</w:t>
      </w:r>
      <w:r>
        <w:rPr>
          <w:rFonts w:eastAsia="Calibri" w:cs="FrankRuehl"/>
          <w:szCs w:val="26"/>
          <w:rtl w:val="true"/>
        </w:rPr>
        <w:t xml:space="preserve">, </w:t>
      </w:r>
      <w:r>
        <w:rPr>
          <w:rFonts w:eastAsia="Calibri" w:cs="FrankRuehl"/>
          <w:szCs w:val="26"/>
          <w:rtl w:val="true"/>
        </w:rPr>
        <w:t>עונשי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מאסר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מותנים</w:t>
      </w:r>
      <w:r>
        <w:rPr>
          <w:rFonts w:eastAsia="Calibri" w:cs="FrankRuehl"/>
          <w:szCs w:val="26"/>
          <w:rtl w:val="true"/>
        </w:rPr>
        <w:t xml:space="preserve">, </w:t>
      </w:r>
      <w:r>
        <w:rPr>
          <w:rFonts w:eastAsia="Calibri" w:cs="FrankRuehl"/>
          <w:szCs w:val="26"/>
          <w:rtl w:val="true"/>
        </w:rPr>
        <w:t>פסילה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על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תנאי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וקנס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בסך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</w:rPr>
        <w:t>3,000</w:t>
      </w:r>
      <w:r>
        <w:rPr>
          <w:rFonts w:eastAsia="Calibri" w:cs="FrankRuehl"/>
          <w:szCs w:val="26"/>
          <w:rtl w:val="true"/>
        </w:rPr>
        <w:t xml:space="preserve"> ₪. </w:t>
      </w:r>
      <w:r>
        <w:rPr>
          <w:rFonts w:eastAsia="Calibri" w:cs="FrankRuehl"/>
          <w:szCs w:val="26"/>
          <w:rtl w:val="true"/>
        </w:rPr>
        <w:t>הערעור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מופנה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כנגד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חומרת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עונש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המאסר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בפועל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וכנגד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רכיב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הפסילה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על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תנאי</w:t>
      </w:r>
      <w:r>
        <w:rPr>
          <w:rFonts w:eastAsia="Calibri"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Cs w:val="26"/>
        </w:rPr>
      </w:pPr>
      <w:r>
        <w:rPr>
          <w:rFonts w:cs="FrankRuehl"/>
          <w:szCs w:val="26"/>
          <w:rtl w:val="true"/>
        </w:rPr>
        <w:t>בית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המשפט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המחוזי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דחה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הערעור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ופסק</w:t>
      </w:r>
      <w:r>
        <w:rPr>
          <w:rFonts w:cs="FrankRuehl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Cs w:val="26"/>
        </w:rPr>
      </w:pPr>
      <w:r>
        <w:rPr>
          <w:rFonts w:eastAsia="Calibri" w:cs="FrankRuehl"/>
          <w:szCs w:val="26"/>
          <w:rtl w:val="true"/>
        </w:rPr>
        <w:t>עונש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</w:rPr>
        <w:t>12</w:t>
      </w:r>
      <w:r>
        <w:rPr>
          <w:rFonts w:eastAsia="Calibri" w:cs="FrankRuehl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חודשי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מאסר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בפועל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בגין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העבירות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החמורות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אותן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ביצע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המערער</w:t>
      </w:r>
      <w:r>
        <w:rPr>
          <w:rFonts w:eastAsia="Calibri" w:cs="FrankRuehl"/>
          <w:szCs w:val="26"/>
          <w:rtl w:val="true"/>
        </w:rPr>
        <w:t xml:space="preserve">, </w:t>
      </w:r>
      <w:r>
        <w:rPr>
          <w:rFonts w:eastAsia="Calibri" w:cs="FrankRuehl"/>
          <w:szCs w:val="26"/>
          <w:rtl w:val="true"/>
        </w:rPr>
        <w:t>לא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רק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שאיננו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מחמיר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עם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המערער</w:t>
      </w:r>
      <w:r>
        <w:rPr>
          <w:rFonts w:eastAsia="Calibri" w:cs="FrankRuehl"/>
          <w:szCs w:val="26"/>
          <w:rtl w:val="true"/>
        </w:rPr>
        <w:t xml:space="preserve">; </w:t>
      </w:r>
      <w:r>
        <w:rPr>
          <w:rFonts w:eastAsia="Calibri" w:cs="FrankRuehl"/>
          <w:szCs w:val="26"/>
          <w:rtl w:val="true"/>
        </w:rPr>
        <w:t>לא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רק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שאינו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מצדיק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את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התערבות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ערכאת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הערעור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בניגוד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להלכה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לפיה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ערכאת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הערעור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ממעטת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להתערב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בענישה</w:t>
      </w:r>
      <w:r>
        <w:rPr>
          <w:rFonts w:eastAsia="Calibri" w:cs="FrankRuehl"/>
          <w:szCs w:val="26"/>
          <w:rtl w:val="true"/>
        </w:rPr>
        <w:t xml:space="preserve">, </w:t>
      </w:r>
      <w:r>
        <w:rPr>
          <w:rFonts w:eastAsia="Calibri" w:cs="FrankRuehl"/>
          <w:szCs w:val="26"/>
          <w:rtl w:val="true"/>
        </w:rPr>
        <w:t>אלא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במקרים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חריגים</w:t>
      </w:r>
      <w:r>
        <w:rPr>
          <w:rFonts w:eastAsia="Calibri" w:cs="FrankRuehl"/>
          <w:szCs w:val="26"/>
          <w:rtl w:val="true"/>
        </w:rPr>
        <w:t xml:space="preserve">; </w:t>
      </w:r>
      <w:r>
        <w:rPr>
          <w:rFonts w:eastAsia="Calibri" w:cs="FrankRuehl"/>
          <w:szCs w:val="26"/>
          <w:rtl w:val="true"/>
        </w:rPr>
        <w:t>אלא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שאפילו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ניתן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לומר</w:t>
      </w:r>
      <w:r>
        <w:rPr>
          <w:rFonts w:eastAsia="Calibri" w:cs="FrankRuehl"/>
          <w:szCs w:val="26"/>
          <w:rtl w:val="true"/>
        </w:rPr>
        <w:t xml:space="preserve">, </w:t>
      </w:r>
      <w:r>
        <w:rPr>
          <w:rFonts w:eastAsia="Calibri" w:cs="FrankRuehl"/>
          <w:szCs w:val="26"/>
          <w:rtl w:val="true"/>
        </w:rPr>
        <w:t>כי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מדובר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בעונש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מקל</w:t>
      </w:r>
      <w:r>
        <w:rPr>
          <w:rFonts w:eastAsia="Calibri" w:cs="FrankRuehl"/>
          <w:szCs w:val="26"/>
          <w:rtl w:val="true"/>
        </w:rPr>
        <w:t xml:space="preserve">, </w:t>
      </w:r>
      <w:r>
        <w:rPr>
          <w:rFonts w:eastAsia="Calibri" w:cs="FrankRuehl"/>
          <w:szCs w:val="26"/>
          <w:rtl w:val="true"/>
        </w:rPr>
        <w:t>שנותן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ביטוי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רב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מידי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לנסיבות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חייו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המערער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ואינו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נותן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את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מלוא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הביטוי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לחומרת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המעשים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הכוללים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עבירה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סחר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בסמים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מסוכנים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ושתי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עבירות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החזקת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סמים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מסוגים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שונים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ושלא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לצריכה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עצמית</w:t>
      </w:r>
      <w:r>
        <w:rPr>
          <w:rFonts w:eastAsia="Calibri" w:cs="FrankRuehl"/>
          <w:szCs w:val="26"/>
          <w:rtl w:val="true"/>
        </w:rPr>
        <w:t xml:space="preserve">; </w:t>
      </w:r>
      <w:r>
        <w:rPr>
          <w:rFonts w:eastAsia="Calibri" w:cs="FrankRuehl"/>
          <w:szCs w:val="26"/>
          <w:rtl w:val="true"/>
        </w:rPr>
        <w:t>אינו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נותן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את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מלוא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הביטוי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לריבוי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סוגי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הסמים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ולכמותם</w:t>
      </w:r>
      <w:r>
        <w:rPr>
          <w:rFonts w:eastAsia="Calibri" w:cs="FrankRuehl"/>
          <w:szCs w:val="26"/>
          <w:rtl w:val="true"/>
        </w:rPr>
        <w:t xml:space="preserve">; </w:t>
      </w:r>
      <w:r>
        <w:rPr>
          <w:rFonts w:eastAsia="Calibri" w:cs="FrankRuehl"/>
          <w:szCs w:val="26"/>
          <w:rtl w:val="true"/>
        </w:rPr>
        <w:t>ולא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נתן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את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מלוא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הביטוי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להיעדר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לקיחת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האחריות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מצד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המערער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ולחוסר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התובנה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שלו</w:t>
      </w:r>
      <w:r>
        <w:rPr>
          <w:rFonts w:eastAsia="Calibri" w:cs="FrankRuehl"/>
          <w:szCs w:val="26"/>
          <w:rtl w:val="true"/>
        </w:rPr>
        <w:t xml:space="preserve">, </w:t>
      </w:r>
      <w:r>
        <w:rPr>
          <w:rFonts w:eastAsia="Calibri" w:cs="FrankRuehl"/>
          <w:szCs w:val="26"/>
          <w:rtl w:val="true"/>
        </w:rPr>
        <w:t>כי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במעשיו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פגע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באופן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חמור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לא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רק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בעצמו</w:t>
      </w:r>
      <w:r>
        <w:rPr>
          <w:rFonts w:eastAsia="Calibri" w:cs="FrankRuehl"/>
          <w:szCs w:val="26"/>
          <w:rtl w:val="true"/>
        </w:rPr>
        <w:t xml:space="preserve">, </w:t>
      </w:r>
      <w:r>
        <w:rPr>
          <w:rFonts w:eastAsia="Calibri" w:cs="FrankRuehl"/>
          <w:szCs w:val="26"/>
          <w:rtl w:val="true"/>
        </w:rPr>
        <w:t>לא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רק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בצרכנית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הסמים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לה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מכר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את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הסם</w:t>
      </w:r>
      <w:r>
        <w:rPr>
          <w:rFonts w:eastAsia="Calibri" w:cs="FrankRuehl"/>
          <w:szCs w:val="26"/>
          <w:rtl w:val="true"/>
        </w:rPr>
        <w:t xml:space="preserve">, </w:t>
      </w:r>
      <w:r>
        <w:rPr>
          <w:rFonts w:eastAsia="Calibri" w:cs="FrankRuehl"/>
          <w:szCs w:val="26"/>
          <w:rtl w:val="true"/>
        </w:rPr>
        <w:t>אלא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בחברה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כולה</w:t>
      </w:r>
      <w:r>
        <w:rPr>
          <w:rFonts w:eastAsia="Calibri" w:cs="FrankRuehl"/>
          <w:szCs w:val="26"/>
          <w:rtl w:val="true"/>
        </w:rPr>
        <w:t xml:space="preserve">. </w:t>
      </w:r>
      <w:r>
        <w:rPr>
          <w:rFonts w:eastAsia="Calibri" w:cs="FrankRuehl"/>
          <w:szCs w:val="26"/>
          <w:rtl w:val="true"/>
        </w:rPr>
        <w:t>לא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רק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שביהמ</w:t>
      </w:r>
      <w:r>
        <w:rPr>
          <w:rFonts w:eastAsia="Calibri" w:cs="FrankRuehl"/>
          <w:szCs w:val="26"/>
          <w:rtl w:val="true"/>
        </w:rPr>
        <w:t>"</w:t>
      </w:r>
      <w:r>
        <w:rPr>
          <w:rFonts w:eastAsia="Calibri" w:cs="FrankRuehl"/>
          <w:szCs w:val="26"/>
          <w:rtl w:val="true"/>
        </w:rPr>
        <w:t>ש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לא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טעה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עת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בחר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להעדיף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את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האינטרס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הציבורי</w:t>
      </w:r>
      <w:r>
        <w:rPr>
          <w:rFonts w:eastAsia="Calibri" w:cs="FrankRuehl"/>
          <w:szCs w:val="26"/>
          <w:rtl w:val="true"/>
        </w:rPr>
        <w:t xml:space="preserve">, </w:t>
      </w:r>
      <w:r>
        <w:rPr>
          <w:rFonts w:eastAsia="Calibri" w:cs="FrankRuehl"/>
          <w:szCs w:val="26"/>
          <w:rtl w:val="true"/>
        </w:rPr>
        <w:t>אלא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שגם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במסגרת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הערעור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אין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כל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הצדקה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להעדיף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את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ההליך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הטיפולי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שהמערער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החל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בו</w:t>
      </w:r>
      <w:r>
        <w:rPr>
          <w:rFonts w:eastAsia="Calibri" w:cs="FrankRuehl"/>
          <w:szCs w:val="26"/>
          <w:rtl w:val="true"/>
        </w:rPr>
        <w:t xml:space="preserve">, </w:t>
      </w:r>
      <w:r>
        <w:rPr>
          <w:rFonts w:eastAsia="Calibri" w:cs="FrankRuehl"/>
          <w:szCs w:val="26"/>
          <w:rtl w:val="true"/>
        </w:rPr>
        <w:t>על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פני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ההליך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ששירות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המבחן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סבר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שהוא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זקוק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לו</w:t>
      </w:r>
      <w:r>
        <w:rPr>
          <w:rFonts w:eastAsia="Calibri" w:cs="FrankRuehl"/>
          <w:szCs w:val="26"/>
          <w:rtl w:val="true"/>
        </w:rPr>
        <w:t xml:space="preserve">. </w:t>
      </w:r>
      <w:r>
        <w:rPr>
          <w:rFonts w:eastAsia="Calibri" w:cs="FrankRuehl"/>
          <w:szCs w:val="26"/>
          <w:rtl w:val="true"/>
        </w:rPr>
        <w:t>כך</w:t>
      </w:r>
      <w:r>
        <w:rPr>
          <w:rFonts w:eastAsia="Calibri" w:cs="FrankRuehl"/>
          <w:szCs w:val="26"/>
          <w:rtl w:val="true"/>
        </w:rPr>
        <w:t xml:space="preserve">, </w:t>
      </w:r>
      <w:r>
        <w:rPr>
          <w:rFonts w:eastAsia="Calibri" w:cs="FrankRuehl"/>
          <w:szCs w:val="26"/>
          <w:rtl w:val="true"/>
        </w:rPr>
        <w:t>גם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אין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הצדקה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לקבל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תסקיר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משלים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אודות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המערער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מעבר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למסמכים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שנמצאים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כבר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בפנינו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מרשויות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הרווחה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בירוחם</w:t>
      </w:r>
      <w:r>
        <w:rPr>
          <w:rFonts w:eastAsia="Calibri" w:cs="FrankRuehl"/>
          <w:szCs w:val="26"/>
          <w:rtl w:val="true"/>
        </w:rPr>
        <w:t xml:space="preserve">, </w:t>
      </w:r>
      <w:r>
        <w:rPr>
          <w:rFonts w:eastAsia="Calibri" w:cs="FrankRuehl"/>
          <w:szCs w:val="26"/>
          <w:rtl w:val="true"/>
        </w:rPr>
        <w:t>ואנו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מקווים</w:t>
      </w:r>
      <w:r>
        <w:rPr>
          <w:rFonts w:eastAsia="Calibri" w:cs="FrankRuehl"/>
          <w:szCs w:val="26"/>
          <w:rtl w:val="true"/>
        </w:rPr>
        <w:t xml:space="preserve">, </w:t>
      </w:r>
      <w:r>
        <w:rPr>
          <w:rFonts w:eastAsia="Calibri" w:cs="FrankRuehl"/>
          <w:szCs w:val="26"/>
          <w:rtl w:val="true"/>
        </w:rPr>
        <w:t>שהמערער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ישכיל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להמשיך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בהליך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הטיפולי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גם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בין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כותלי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בית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הסוהר</w:t>
      </w:r>
      <w:r>
        <w:rPr>
          <w:rFonts w:eastAsia="Calibri"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eastAsia="Calibri" w:cs="FrankRuehl"/>
          <w:szCs w:val="26"/>
          <w:rtl w:val="true"/>
        </w:rPr>
        <w:t>משנקבע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מתחם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נפרד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לכל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אירוע</w:t>
      </w:r>
      <w:r>
        <w:rPr>
          <w:rFonts w:eastAsia="Calibri" w:cs="FrankRuehl"/>
          <w:szCs w:val="26"/>
          <w:rtl w:val="true"/>
        </w:rPr>
        <w:t xml:space="preserve">, </w:t>
      </w:r>
      <w:r>
        <w:rPr>
          <w:rFonts w:eastAsia="Calibri" w:cs="FrankRuehl"/>
          <w:szCs w:val="26"/>
          <w:rtl w:val="true"/>
        </w:rPr>
        <w:t>ניתן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לקבוע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עונש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נפרד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לכל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מתחם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(</w:t>
      </w:r>
      <w:r>
        <w:rPr>
          <w:rFonts w:eastAsia="Calibri" w:cs="FrankRuehl"/>
          <w:szCs w:val="26"/>
          <w:rtl w:val="true"/>
        </w:rPr>
        <w:t>ואז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לקבוע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את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מידת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החפיפה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בין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העונשים</w:t>
      </w:r>
      <w:r>
        <w:rPr>
          <w:rFonts w:eastAsia="Calibri" w:cs="FrankRuehl"/>
          <w:szCs w:val="26"/>
          <w:rtl w:val="true"/>
        </w:rPr>
        <w:t xml:space="preserve">) </w:t>
      </w:r>
      <w:r>
        <w:rPr>
          <w:rFonts w:eastAsia="Calibri" w:cs="FrankRuehl"/>
          <w:szCs w:val="26"/>
          <w:rtl w:val="true"/>
        </w:rPr>
        <w:t>או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שניתן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לקבוע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עונש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כולל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לכל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האירועים</w:t>
      </w:r>
      <w:r>
        <w:rPr>
          <w:rFonts w:eastAsia="Calibri" w:cs="FrankRuehl"/>
          <w:szCs w:val="26"/>
          <w:rtl w:val="true"/>
        </w:rPr>
        <w:t xml:space="preserve">, </w:t>
      </w:r>
      <w:r>
        <w:rPr>
          <w:rFonts w:eastAsia="Calibri" w:cs="FrankRuehl"/>
          <w:szCs w:val="26"/>
          <w:rtl w:val="true"/>
        </w:rPr>
        <w:t>ואין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אפשרות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לקבוע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"</w:t>
      </w:r>
      <w:r>
        <w:rPr>
          <w:rFonts w:eastAsia="Calibri" w:cs="FrankRuehl"/>
          <w:szCs w:val="26"/>
          <w:rtl w:val="true"/>
        </w:rPr>
        <w:t>מתחם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עונש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כולל</w:t>
      </w:r>
      <w:r>
        <w:rPr>
          <w:rFonts w:eastAsia="Calibri" w:cs="FrankRuehl"/>
          <w:szCs w:val="26"/>
          <w:rtl w:val="true"/>
        </w:rPr>
        <w:t xml:space="preserve">" </w:t>
      </w:r>
      <w:r>
        <w:rPr>
          <w:rFonts w:eastAsia="Calibri" w:cs="FrankRuehl"/>
          <w:szCs w:val="26"/>
          <w:rtl w:val="true"/>
        </w:rPr>
        <w:t>כהאחדה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של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מתחמי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העונש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הנפרדים</w:t>
      </w:r>
      <w:r>
        <w:rPr>
          <w:rFonts w:eastAsia="Times New Roman" w:cs="Times New Roman"/>
          <w:szCs w:val="26"/>
          <w:rtl w:val="true"/>
        </w:rPr>
        <w:t xml:space="preserve"> </w:t>
      </w:r>
      <w:r>
        <w:rPr>
          <w:rFonts w:eastAsia="Calibri" w:cs="FrankRuehl"/>
          <w:szCs w:val="26"/>
          <w:rtl w:val="true"/>
        </w:rPr>
        <w:t>שנקבעו</w:t>
      </w:r>
      <w:r>
        <w:rPr>
          <w:rFonts w:eastAsia="Calibri" w:cs="FrankRuehl"/>
          <w:szCs w:val="26"/>
          <w:rtl w:val="true"/>
        </w:rPr>
        <w:t>.</w:t>
      </w:r>
    </w:p>
    <w:p>
      <w:pPr>
        <w:pStyle w:val="Normal"/>
        <w:suppressLineNumbers/>
        <w:ind w:end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rtl w:val="true"/>
        </w:rPr>
      </w:r>
      <w:bookmarkStart w:id="10" w:name="ABSTRACT_END"/>
      <w:bookmarkStart w:id="11" w:name="ABSTRACT_END"/>
      <w:bookmarkEnd w:id="11"/>
    </w:p>
    <w:p>
      <w:pPr>
        <w:pStyle w:val="Normal"/>
        <w:suppressLineNumbers/>
        <w:ind w:end="0"/>
        <w:jc w:val="center"/>
        <w:rPr>
          <w:rFonts w:ascii="Arial" w:hAnsi="Arial" w:cs="Arial"/>
          <w:b/>
          <w:bCs/>
          <w:sz w:val="28"/>
          <w:szCs w:val="28"/>
          <w:lang w:val="en-US" w:eastAsia="en-US"/>
        </w:rPr>
      </w:pPr>
      <w:r>
        <w:rPr>
          <w:rFonts w:ascii="Arial" w:hAnsi="Arial" w:cs="Arial"/>
          <w:b/>
          <w:b/>
          <w:bCs/>
          <w:sz w:val="28"/>
          <w:sz w:val="28"/>
          <w:szCs w:val="28"/>
          <w:rtl w:val="true"/>
        </w:rPr>
        <w:t>פ ס ק – ד י ן</w:t>
      </w:r>
      <w:r>
        <w:rPr>
          <w:rFonts w:ascii="Arial" w:hAnsi="Arial" w:cs="Arial"/>
          <w:b/>
          <w:b/>
          <w:bCs/>
          <w:sz w:val="28"/>
          <w:sz w:val="28"/>
          <w:szCs w:val="28"/>
          <w:rtl w:val="true"/>
          <w:lang w:val="en-US" w:eastAsia="en-US"/>
        </w:rPr>
        <w:t xml:space="preserve"> </w:t>
      </w:r>
    </w:p>
    <w:p>
      <w:pPr>
        <w:pStyle w:val="Normal"/>
        <w:ind w:end="0"/>
        <w:jc w:val="both"/>
        <w:rPr>
          <w:rFonts w:ascii="Arial" w:hAnsi="Arial" w:cs="Arial"/>
          <w:b/>
          <w:bCs/>
          <w:sz w:val="28"/>
          <w:szCs w:val="28"/>
          <w:lang w:val="en-US" w:eastAsia="en-US"/>
        </w:rPr>
      </w:pPr>
      <w:r>
        <w:rPr>
          <w:rFonts w:cs="Arial" w:ascii="Arial" w:hAnsi="Arial"/>
          <w:b/>
          <w:bCs/>
          <w:sz w:val="28"/>
          <w:szCs w:val="28"/>
          <w:rtl w:val="true"/>
          <w:lang w:val="en-US" w:eastAsia="en-US"/>
        </w:rPr>
      </w:r>
      <w:bookmarkStart w:id="12" w:name="PsakDin"/>
      <w:bookmarkStart w:id="13" w:name="PsakDin"/>
      <w:bookmarkEnd w:id="13"/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" w:hAnsi="FrankRuehl" w:cs="FrankRuehl"/>
          <w:lang w:val="en-US" w:eastAsia="en-US"/>
        </w:rPr>
      </w:pPr>
      <w:r>
        <w:rPr>
          <w:rFonts w:ascii="Arial" w:hAnsi="Arial" w:cs="Arial"/>
          <w:b/>
          <w:b/>
          <w:bCs/>
          <w:rtl w:val="true"/>
          <w:lang w:val="en-US" w:eastAsia="en-US"/>
        </w:rPr>
        <w:t>הנשיאה רויטל יפה</w:t>
      </w:r>
      <w:r>
        <w:rPr>
          <w:rFonts w:cs="Arial" w:ascii="Arial" w:hAnsi="Arial"/>
          <w:b/>
          <w:bCs/>
          <w:rtl w:val="true"/>
          <w:lang w:val="en-US" w:eastAsia="en-US"/>
        </w:rPr>
        <w:t>-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כ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ץ</w:t>
      </w:r>
      <w:r>
        <w:rPr>
          <w:rFonts w:cs="Arial" w:ascii="Arial" w:hAnsi="Arial"/>
          <w:b/>
          <w:bCs/>
          <w:rtl w:val="true"/>
          <w:lang w:val="en-US" w:eastAsia="en-US"/>
        </w:rPr>
        <w:t>: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הורשע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פי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הודאתו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בביצוע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עבירה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סחר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בסם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מסוכן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לפי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hyperlink r:id="rId16">
        <w:r>
          <w:rPr>
            <w:rStyle w:val="Hyperlink"/>
            <w:rFonts w:ascii="Calibri" w:hAnsi="Calibri" w:eastAsia="Calibri" w:cs="Arial"/>
            <w:rtl w:val="true"/>
            <w:lang w:val="en-US" w:eastAsia="en-US"/>
          </w:rPr>
          <w:t>סעיפים</w:t>
        </w:r>
        <w:r>
          <w:rPr>
            <w:rStyle w:val="Hyperlink"/>
            <w:rFonts w:ascii="Calibri" w:hAnsi="Calibri" w:eastAsia="Calibri" w:cs="Calibri"/>
            <w:rtl w:val="true"/>
            <w:lang w:val="en-US" w:eastAsia="en-US"/>
          </w:rPr>
          <w:t xml:space="preserve"> </w:t>
        </w:r>
        <w:r>
          <w:rPr>
            <w:rStyle w:val="Hyperlink"/>
            <w:rFonts w:eastAsia="Calibri" w:cs="Arial" w:ascii="Calibri" w:hAnsi="Calibri"/>
            <w:lang w:val="en-US" w:eastAsia="en-US"/>
          </w:rPr>
          <w:t>13</w:t>
        </w:r>
      </w:hyperlink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</w:t>
      </w:r>
      <w:r>
        <w:rPr>
          <w:rFonts w:eastAsia="Calibri" w:cs="Arial" w:ascii="Calibri" w:hAnsi="Calibri"/>
          <w:rtl w:val="true"/>
          <w:lang w:val="en-US" w:eastAsia="en-US"/>
        </w:rPr>
        <w:t>-</w:t>
      </w:r>
      <w:hyperlink r:id="rId17">
        <w:r>
          <w:rPr>
            <w:rStyle w:val="Hyperlink"/>
            <w:rFonts w:eastAsia="Calibri" w:cs="Arial" w:ascii="Calibri" w:hAnsi="Calibri"/>
            <w:lang w:val="en-US" w:eastAsia="en-US"/>
          </w:rPr>
          <w:t>19</w:t>
        </w:r>
        <w:r>
          <w:rPr>
            <w:rStyle w:val="Hyperlink"/>
            <w:rFonts w:ascii="Calibri" w:hAnsi="Calibri" w:eastAsia="Calibri" w:cs="Arial"/>
            <w:rtl w:val="true"/>
            <w:lang w:val="en-US" w:eastAsia="en-US"/>
          </w:rPr>
          <w:t>א</w:t>
        </w:r>
      </w:hyperlink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</w:t>
      </w:r>
      <w:hyperlink r:id="rId18">
        <w:r>
          <w:rPr>
            <w:rStyle w:val="Hyperlink"/>
            <w:rFonts w:ascii="Calibri" w:hAnsi="Calibri" w:eastAsia="Calibri" w:cs="Arial"/>
            <w:color w:val="0000FF"/>
            <w:u w:val="single"/>
            <w:rtl w:val="true"/>
            <w:lang w:val="en-US" w:eastAsia="en-US"/>
          </w:rPr>
          <w:t>פקודת</w:t>
        </w:r>
        <w:r>
          <w:rPr>
            <w:rStyle w:val="Hyperlink"/>
            <w:rFonts w:ascii="Calibri" w:hAnsi="Calibri" w:eastAsia="Calibri" w:cs="Calibri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ascii="Calibri" w:hAnsi="Calibri" w:eastAsia="Calibri" w:cs="Arial"/>
            <w:color w:val="0000FF"/>
            <w:u w:val="single"/>
            <w:rtl w:val="true"/>
            <w:lang w:val="en-US" w:eastAsia="en-US"/>
          </w:rPr>
          <w:t>הסמים</w:t>
        </w:r>
        <w:r>
          <w:rPr>
            <w:rStyle w:val="Hyperlink"/>
            <w:rFonts w:ascii="Calibri" w:hAnsi="Calibri" w:eastAsia="Calibri" w:cs="Calibri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ascii="Calibri" w:hAnsi="Calibri" w:eastAsia="Calibri" w:cs="Arial"/>
            <w:color w:val="0000FF"/>
            <w:u w:val="single"/>
            <w:rtl w:val="true"/>
            <w:lang w:val="en-US" w:eastAsia="en-US"/>
          </w:rPr>
          <w:t>המסוכנים</w:t>
        </w:r>
      </w:hyperlink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rtl w:val="true"/>
          <w:lang w:val="en-US" w:eastAsia="en-US"/>
        </w:rPr>
        <w:t>[</w:t>
      </w:r>
      <w:r>
        <w:rPr>
          <w:rFonts w:ascii="Calibri" w:hAnsi="Calibri" w:eastAsia="Calibri" w:cs="Arial"/>
          <w:rtl w:val="true"/>
          <w:lang w:val="en-US" w:eastAsia="en-US"/>
        </w:rPr>
        <w:t>נוסח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חדש</w:t>
      </w:r>
      <w:r>
        <w:rPr>
          <w:rFonts w:eastAsia="Calibri" w:cs="Arial" w:ascii="Calibri" w:hAnsi="Calibri"/>
          <w:rtl w:val="true"/>
          <w:lang w:val="en-US" w:eastAsia="en-US"/>
        </w:rPr>
        <w:t xml:space="preserve">], </w:t>
      </w:r>
      <w:r>
        <w:rPr>
          <w:rFonts w:ascii="Calibri" w:hAnsi="Calibri" w:eastAsia="Calibri" w:cs="Arial"/>
          <w:rtl w:val="true"/>
          <w:lang w:val="en-US" w:eastAsia="en-US"/>
        </w:rPr>
        <w:t>תשל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ג</w:t>
      </w:r>
      <w:r>
        <w:rPr>
          <w:rFonts w:eastAsia="Calibri" w:cs="Arial" w:ascii="Calibri" w:hAnsi="Calibri"/>
          <w:rtl w:val="true"/>
          <w:lang w:val="en-US" w:eastAsia="en-US"/>
        </w:rPr>
        <w:t>-</w:t>
      </w:r>
      <w:r>
        <w:rPr>
          <w:rFonts w:eastAsia="Calibri" w:cs="Arial" w:ascii="Calibri" w:hAnsi="Calibri"/>
          <w:lang w:val="en-US" w:eastAsia="en-US"/>
        </w:rPr>
        <w:t>1973</w:t>
      </w:r>
      <w:r>
        <w:rPr>
          <w:rFonts w:eastAsia="Calibri" w:cs="Arial" w:ascii="Calibri" w:hAnsi="Calibri"/>
          <w:rtl w:val="true"/>
          <w:lang w:val="en-US" w:eastAsia="en-US"/>
        </w:rPr>
        <w:t xml:space="preserve"> (</w:t>
      </w:r>
      <w:r>
        <w:rPr>
          <w:rFonts w:ascii="Calibri" w:hAnsi="Calibri" w:eastAsia="Calibri" w:cs="Arial"/>
          <w:rtl w:val="true"/>
          <w:lang w:val="en-US" w:eastAsia="en-US"/>
        </w:rPr>
        <w:t>להלן</w:t>
      </w:r>
      <w:r>
        <w:rPr>
          <w:rFonts w:eastAsia="Calibri" w:cs="Arial" w:ascii="Calibri" w:hAnsi="Calibri"/>
          <w:rtl w:val="true"/>
          <w:lang w:val="en-US" w:eastAsia="en-US"/>
        </w:rPr>
        <w:t>: "</w:t>
      </w:r>
      <w:r>
        <w:rPr>
          <w:rFonts w:ascii="Calibri" w:hAnsi="Calibri" w:eastAsia="Calibri" w:cs="Arial"/>
          <w:rtl w:val="true"/>
          <w:lang w:val="en-US" w:eastAsia="en-US"/>
        </w:rPr>
        <w:t>הפקודה</w:t>
      </w:r>
      <w:r>
        <w:rPr>
          <w:rFonts w:eastAsia="Calibri" w:cs="Arial" w:ascii="Calibri" w:hAnsi="Calibri"/>
          <w:rtl w:val="true"/>
          <w:lang w:val="en-US" w:eastAsia="en-US"/>
        </w:rPr>
        <w:t xml:space="preserve">") </w:t>
      </w:r>
      <w:r>
        <w:rPr>
          <w:rFonts w:ascii="Calibri" w:hAnsi="Calibri" w:eastAsia="Calibri" w:cs="Arial"/>
          <w:rtl w:val="true"/>
          <w:lang w:val="en-US" w:eastAsia="en-US"/>
        </w:rPr>
        <w:t>ובשתי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עבירות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החזקת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סמים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לצריכה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עצמית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לפי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hyperlink r:id="rId19">
        <w:r>
          <w:rPr>
            <w:rStyle w:val="Hyperlink"/>
            <w:rFonts w:ascii="Calibri" w:hAnsi="Calibri" w:eastAsia="Calibri" w:cs="Arial"/>
            <w:rtl w:val="true"/>
            <w:lang w:val="en-US" w:eastAsia="en-US"/>
          </w:rPr>
          <w:t>סעיפים</w:t>
        </w:r>
        <w:r>
          <w:rPr>
            <w:rStyle w:val="Hyperlink"/>
            <w:rFonts w:ascii="Calibri" w:hAnsi="Calibri" w:eastAsia="Calibri" w:cs="Calibri"/>
            <w:rtl w:val="true"/>
            <w:lang w:val="en-US" w:eastAsia="en-US"/>
          </w:rPr>
          <w:t xml:space="preserve"> </w:t>
        </w:r>
        <w:r>
          <w:rPr>
            <w:rStyle w:val="Hyperlink"/>
            <w:rFonts w:eastAsia="Calibri" w:cs="Arial" w:ascii="Calibri" w:hAnsi="Calibri"/>
            <w:lang w:val="en-US" w:eastAsia="en-US"/>
          </w:rPr>
          <w:t>7</w:t>
        </w:r>
        <w:r>
          <w:rPr>
            <w:rStyle w:val="Hyperlink"/>
            <w:rFonts w:eastAsia="Calibri" w:cs="Arial" w:ascii="Calibri" w:hAnsi="Calibri"/>
            <w:rtl w:val="true"/>
            <w:lang w:val="en-US" w:eastAsia="en-US"/>
          </w:rPr>
          <w:t>(</w:t>
        </w:r>
        <w:r>
          <w:rPr>
            <w:rStyle w:val="Hyperlink"/>
            <w:rFonts w:ascii="Calibri" w:hAnsi="Calibri" w:eastAsia="Calibri" w:cs="Arial"/>
            <w:rtl w:val="true"/>
            <w:lang w:val="en-US" w:eastAsia="en-US"/>
          </w:rPr>
          <w:t>א</w:t>
        </w:r>
        <w:r>
          <w:rPr>
            <w:rStyle w:val="Hyperlink"/>
            <w:rFonts w:eastAsia="Calibri" w:cs="Arial" w:ascii="Calibri" w:hAnsi="Calibri"/>
            <w:rtl w:val="true"/>
            <w:lang w:val="en-US" w:eastAsia="en-US"/>
          </w:rPr>
          <w:t>)</w:t>
        </w:r>
      </w:hyperlink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</w:t>
      </w:r>
      <w:r>
        <w:rPr>
          <w:rFonts w:eastAsia="Calibri" w:cs="Arial" w:ascii="Calibri" w:hAnsi="Calibri"/>
          <w:rtl w:val="true"/>
          <w:lang w:val="en-US" w:eastAsia="en-US"/>
        </w:rPr>
        <w:t>-</w:t>
      </w:r>
      <w:hyperlink r:id="rId20">
        <w:r>
          <w:rPr>
            <w:rStyle w:val="Hyperlink"/>
            <w:rFonts w:eastAsia="Calibri" w:cs="Arial" w:ascii="Calibri" w:hAnsi="Calibri"/>
            <w:lang w:val="en-US" w:eastAsia="en-US"/>
          </w:rPr>
          <w:t>7</w:t>
        </w:r>
        <w:r>
          <w:rPr>
            <w:rStyle w:val="Hyperlink"/>
            <w:rFonts w:eastAsia="Calibri" w:cs="Arial" w:ascii="Calibri" w:hAnsi="Calibri"/>
            <w:rtl w:val="true"/>
            <w:lang w:val="en-US" w:eastAsia="en-US"/>
          </w:rPr>
          <w:t>(</w:t>
        </w:r>
        <w:r>
          <w:rPr>
            <w:rStyle w:val="Hyperlink"/>
            <w:rFonts w:ascii="Calibri" w:hAnsi="Calibri" w:eastAsia="Calibri" w:cs="Arial"/>
            <w:rtl w:val="true"/>
            <w:lang w:val="en-US" w:eastAsia="en-US"/>
          </w:rPr>
          <w:t>ב</w:t>
        </w:r>
        <w:r>
          <w:rPr>
            <w:rStyle w:val="Hyperlink"/>
            <w:rFonts w:eastAsia="Calibri" w:cs="Arial" w:ascii="Calibri" w:hAnsi="Calibri"/>
            <w:rtl w:val="true"/>
            <w:lang w:val="en-US" w:eastAsia="en-US"/>
          </w:rPr>
          <w:t>)</w:t>
        </w:r>
      </w:hyperlink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רישא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לפקודה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ונדון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</w:t>
      </w:r>
      <w:r>
        <w:rPr>
          <w:rFonts w:eastAsia="Calibri" w:cs="Arial" w:ascii="Calibri" w:hAnsi="Calibri"/>
          <w:rtl w:val="true"/>
          <w:lang w:val="en-US" w:eastAsia="en-US"/>
        </w:rPr>
        <w:t xml:space="preserve">- </w:t>
      </w:r>
      <w:r>
        <w:rPr>
          <w:rFonts w:eastAsia="Calibri" w:cs="Arial" w:ascii="Calibri" w:hAnsi="Calibri"/>
          <w:lang w:val="en-US" w:eastAsia="en-US"/>
        </w:rPr>
        <w:t>12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חודשי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מאסר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לריצוי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בפועל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עונשי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מאסר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מותנים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פסילה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תנאי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וקנס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בסך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lang w:val="en-US" w:eastAsia="en-US"/>
        </w:rPr>
        <w:t>3,000</w:t>
      </w:r>
      <w:r>
        <w:rPr>
          <w:rFonts w:eastAsia="Calibri" w:cs="Arial" w:ascii="Calibri" w:hAnsi="Calibri"/>
          <w:rtl w:val="true"/>
          <w:lang w:val="en-US" w:eastAsia="en-US"/>
        </w:rPr>
        <w:t xml:space="preserve"> ₪. </w:t>
      </w:r>
      <w:r>
        <w:rPr>
          <w:rFonts w:ascii="Calibri" w:hAnsi="Calibri" w:eastAsia="Calibri" w:cs="Arial"/>
          <w:rtl w:val="true"/>
          <w:lang w:val="en-US" w:eastAsia="en-US"/>
        </w:rPr>
        <w:t>הערעור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שבפנינו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מופנה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כנגד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חומרת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עונש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המאסר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בפועל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וכנגד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רכיב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הפסילה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תנאי</w:t>
      </w:r>
      <w:r>
        <w:rPr>
          <w:rFonts w:eastAsia="Calibri" w:cs="Arial" w:ascii="Calibri" w:hAnsi="Calibri"/>
          <w:rtl w:val="true"/>
          <w:lang w:val="en-US" w:eastAsia="en-US"/>
        </w:rPr>
        <w:t>.</w:t>
      </w:r>
    </w:p>
    <w:p>
      <w:pPr>
        <w:pStyle w:val="Normal"/>
        <w:ind w:end="0"/>
        <w:jc w:val="both"/>
        <w:rPr>
          <w:rFonts w:ascii="Calibri" w:hAnsi="Calibri" w:eastAsia="Calibri" w:cs="Arial"/>
          <w:lang w:val="en-US" w:eastAsia="en-US"/>
        </w:rPr>
      </w:pPr>
      <w:r>
        <w:rPr>
          <w:rFonts w:eastAsia="Calibri" w:cs="Arial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eastAsia="Calibri"/>
          <w:b/>
          <w:bCs/>
          <w:lang w:val="en-US" w:eastAsia="en-US"/>
        </w:rPr>
      </w:pPr>
      <w:r>
        <w:rPr>
          <w:rFonts w:ascii="Calibri" w:hAnsi="Calibri" w:eastAsia="Calibri" w:cs="Arial"/>
          <w:b/>
          <w:b/>
          <w:bCs/>
          <w:rtl w:val="true"/>
          <w:lang w:val="en-US" w:eastAsia="en-US"/>
        </w:rPr>
        <w:t>ההליך</w:t>
      </w:r>
      <w:r>
        <w:rPr>
          <w:rFonts w:ascii="Calibri" w:hAnsi="Calibri" w:eastAsia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b/>
          <w:b/>
          <w:bCs/>
          <w:rtl w:val="true"/>
          <w:lang w:val="en-US" w:eastAsia="en-US"/>
        </w:rPr>
        <w:t>בבית</w:t>
      </w:r>
      <w:r>
        <w:rPr>
          <w:rFonts w:ascii="Calibri" w:hAnsi="Calibri" w:eastAsia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b/>
          <w:b/>
          <w:bCs/>
          <w:rtl w:val="true"/>
          <w:lang w:val="en-US" w:eastAsia="en-US"/>
        </w:rPr>
        <w:t>המשפט</w:t>
      </w:r>
      <w:r>
        <w:rPr>
          <w:rFonts w:ascii="Calibri" w:hAnsi="Calibri" w:eastAsia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b/>
          <w:b/>
          <w:bCs/>
          <w:rtl w:val="true"/>
          <w:lang w:val="en-US" w:eastAsia="en-US"/>
        </w:rPr>
        <w:t>קמא</w:t>
      </w:r>
    </w:p>
    <w:p>
      <w:pPr>
        <w:pStyle w:val="Normal"/>
        <w:spacing w:lineRule="auto" w:line="360"/>
        <w:ind w:end="0"/>
        <w:jc w:val="both"/>
        <w:rPr>
          <w:rFonts w:ascii="Calibri" w:hAnsi="Calibri" w:eastAsia="Calibri"/>
          <w:lang w:val="en-US" w:eastAsia="en-US"/>
        </w:rPr>
      </w:pPr>
      <w:r>
        <w:rPr>
          <w:rFonts w:ascii="Calibri" w:hAnsi="Calibri" w:eastAsia="Calibri" w:cs="Arial"/>
          <w:rtl w:val="true"/>
          <w:lang w:val="en-US" w:eastAsia="en-US"/>
        </w:rPr>
        <w:t>כתב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האישום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כנגד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הוגש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lang w:val="en-US" w:eastAsia="en-US"/>
        </w:rPr>
        <w:t>30.01.21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ומאז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נדחו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הדיונים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מעת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לעת</w:t>
      </w:r>
      <w:r>
        <w:rPr>
          <w:rFonts w:eastAsia="Calibri" w:cs="Arial" w:ascii="Calibri" w:hAnsi="Calibri"/>
          <w:rtl w:val="true"/>
          <w:lang w:val="en-US" w:eastAsia="en-US"/>
        </w:rPr>
        <w:t xml:space="preserve">; </w:t>
      </w:r>
      <w:r>
        <w:rPr>
          <w:rFonts w:ascii="Calibri" w:hAnsi="Calibri" w:eastAsia="Calibri" w:cs="Arial"/>
          <w:rtl w:val="true"/>
          <w:lang w:val="en-US" w:eastAsia="en-US"/>
        </w:rPr>
        <w:t>הנאשם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כפר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בעובדות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והתיק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נקבע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לשמיעת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ההוכחות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אולם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טרם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החלה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המאשימה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בהבאת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ראיותיה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הודיעו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הצדדים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הגיעו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להסדר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טיעון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לפיו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כתב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האישום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יתוקן</w:t>
      </w:r>
      <w:r>
        <w:rPr>
          <w:rFonts w:eastAsia="Calibri" w:cs="Arial" w:ascii="Calibri" w:hAnsi="Calibri"/>
          <w:rtl w:val="true"/>
          <w:lang w:val="en-US" w:eastAsia="en-US"/>
        </w:rPr>
        <w:t xml:space="preserve">; </w:t>
      </w:r>
      <w:r>
        <w:rPr>
          <w:rFonts w:ascii="Calibri" w:hAnsi="Calibri" w:eastAsia="Calibri" w:cs="Arial"/>
          <w:rtl w:val="true"/>
          <w:lang w:val="en-US" w:eastAsia="en-US"/>
        </w:rPr>
        <w:t>יוגש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תסקיר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מטעם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המבחן</w:t>
      </w:r>
      <w:r>
        <w:rPr>
          <w:rFonts w:eastAsia="Calibri" w:cs="Arial" w:ascii="Calibri" w:hAnsi="Calibri"/>
          <w:rtl w:val="true"/>
          <w:lang w:val="en-US" w:eastAsia="en-US"/>
        </w:rPr>
        <w:t xml:space="preserve">; </w:t>
      </w:r>
      <w:r>
        <w:rPr>
          <w:rFonts w:ascii="Calibri" w:hAnsi="Calibri" w:eastAsia="Calibri" w:cs="Arial"/>
          <w:rtl w:val="true"/>
          <w:lang w:val="en-US" w:eastAsia="en-US"/>
        </w:rPr>
        <w:t>והצדדים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יטענו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באופן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חופשי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כן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הוסכם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יוכרז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כסוחר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סמים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והמוצגים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שנתפסו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rtl w:val="true"/>
          <w:lang w:val="en-US" w:eastAsia="en-US"/>
        </w:rPr>
        <w:t>(</w:t>
      </w:r>
      <w:r>
        <w:rPr>
          <w:rFonts w:eastAsia="Calibri" w:cs="Arial" w:ascii="Calibri" w:hAnsi="Calibri"/>
          <w:lang w:val="en-US" w:eastAsia="en-US"/>
        </w:rPr>
        <w:t>1,000</w:t>
      </w:r>
      <w:r>
        <w:rPr>
          <w:rFonts w:eastAsia="Calibri" w:cs="Arial" w:ascii="Calibri" w:hAnsi="Calibri"/>
          <w:rtl w:val="true"/>
          <w:lang w:val="en-US" w:eastAsia="en-US"/>
        </w:rPr>
        <w:t xml:space="preserve"> ₪ </w:t>
      </w:r>
      <w:r>
        <w:rPr>
          <w:rFonts w:ascii="Calibri" w:hAnsi="Calibri" w:eastAsia="Calibri" w:cs="Arial"/>
          <w:rtl w:val="true"/>
          <w:lang w:val="en-US" w:eastAsia="en-US"/>
        </w:rPr>
        <w:t>ומכשיר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טלפון</w:t>
      </w:r>
      <w:r>
        <w:rPr>
          <w:rFonts w:eastAsia="Calibri" w:cs="Arial" w:ascii="Calibri" w:hAnsi="Calibri"/>
          <w:rtl w:val="true"/>
          <w:lang w:val="en-US" w:eastAsia="en-US"/>
        </w:rPr>
        <w:t xml:space="preserve">) – </w:t>
      </w:r>
      <w:r>
        <w:rPr>
          <w:rFonts w:ascii="Calibri" w:hAnsi="Calibri" w:eastAsia="Calibri" w:cs="Arial"/>
          <w:rtl w:val="true"/>
          <w:lang w:val="en-US" w:eastAsia="en-US"/>
        </w:rPr>
        <w:t>יחולטו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</w:p>
    <w:p>
      <w:pPr>
        <w:pStyle w:val="Normal"/>
        <w:ind w:end="0"/>
        <w:jc w:val="both"/>
        <w:rPr>
          <w:rFonts w:ascii="Calibri" w:hAnsi="Calibri" w:eastAsia="Calibri" w:cs="Arial"/>
          <w:lang w:val="en-US" w:eastAsia="en-US"/>
        </w:rPr>
      </w:pPr>
      <w:r>
        <w:rPr>
          <w:rFonts w:eastAsia="Calibri" w:cs="Arial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eastAsia="Calibri"/>
          <w:b/>
          <w:bCs/>
          <w:lang w:val="en-US" w:eastAsia="en-US"/>
        </w:rPr>
      </w:pPr>
      <w:r>
        <w:rPr>
          <w:rFonts w:ascii="Calibri" w:hAnsi="Calibri" w:eastAsia="Calibri" w:cs="Arial"/>
          <w:b/>
          <w:b/>
          <w:bCs/>
          <w:rtl w:val="true"/>
          <w:lang w:val="en-US" w:eastAsia="en-US"/>
        </w:rPr>
        <w:t>כתב</w:t>
      </w:r>
      <w:r>
        <w:rPr>
          <w:rFonts w:ascii="Calibri" w:hAnsi="Calibri" w:eastAsia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b/>
          <w:b/>
          <w:bCs/>
          <w:rtl w:val="true"/>
          <w:lang w:val="en-US" w:eastAsia="en-US"/>
        </w:rPr>
        <w:t>האישום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ascii="Calibri" w:hAnsi="Calibri" w:eastAsia="Calibri" w:cs="Arial"/>
          <w:rtl w:val="true"/>
          <w:lang w:val="en-US" w:eastAsia="en-US"/>
        </w:rPr>
        <w:t>בכתב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האישום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המתוקן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אשר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בעובדותיו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הודה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שלושה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אישומים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במסגרת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b/>
          <w:b/>
          <w:bCs/>
          <w:rtl w:val="true"/>
          <w:lang w:val="en-US" w:eastAsia="en-US"/>
        </w:rPr>
        <w:t>האישום</w:t>
      </w:r>
      <w:r>
        <w:rPr>
          <w:rFonts w:ascii="Calibri" w:hAnsi="Calibri" w:eastAsia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b/>
          <w:b/>
          <w:bCs/>
          <w:rtl w:val="true"/>
          <w:lang w:val="en-US" w:eastAsia="en-US"/>
        </w:rPr>
        <w:t>הראשון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הודה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כי בחיפוש שנערך ביום </w:t>
      </w:r>
      <w:r>
        <w:rPr>
          <w:rFonts w:eastAsia="Calibri" w:cs="Arial" w:ascii="Arial" w:hAnsi="Arial"/>
          <w:lang w:val="en-US" w:eastAsia="en-US"/>
        </w:rPr>
        <w:t>21.01.20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החזיק בדירתו השכורה באילת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שלא לצריכתו העצמית וללא רישיון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סם מסוכן מסוג קנבוס במשקל כולל של </w:t>
      </w:r>
      <w:r>
        <w:rPr>
          <w:rFonts w:eastAsia="Calibri" w:cs="Arial" w:ascii="Arial" w:hAnsi="Arial"/>
          <w:lang w:val="en-US" w:eastAsia="en-US"/>
        </w:rPr>
        <w:t>12.9815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גרם נטו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 xml:space="preserve">סם מסוכן מסוג חשיש במשקל כולל </w:t>
      </w:r>
      <w:r>
        <w:rPr>
          <w:rFonts w:eastAsia="Calibri" w:cs="Arial" w:ascii="Arial" w:hAnsi="Arial"/>
          <w:lang w:val="en-US" w:eastAsia="en-US"/>
        </w:rPr>
        <w:t>89.68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גרם נטו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 xml:space="preserve">וסם מסוכן מסוג </w:t>
      </w:r>
      <w:r>
        <w:rPr>
          <w:rFonts w:eastAsia="Calibri" w:cs="Arial" w:ascii="Arial" w:hAnsi="Arial"/>
          <w:lang w:val="en-US" w:eastAsia="en-US"/>
        </w:rPr>
        <w:t>MDMA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 xml:space="preserve">במשקל של </w:t>
      </w:r>
      <w:r>
        <w:rPr>
          <w:rFonts w:eastAsia="Calibri" w:cs="Arial" w:ascii="Arial" w:hAnsi="Arial"/>
          <w:lang w:val="en-US" w:eastAsia="en-US"/>
        </w:rPr>
        <w:t>12.1563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גרם</w:t>
      </w:r>
      <w:r>
        <w:rPr>
          <w:rFonts w:eastAsia="Calibri" w:cs="Arial" w:ascii="Arial" w:hAnsi="Arial"/>
          <w:rtl w:val="true"/>
          <w:lang w:val="en-US" w:eastAsia="en-US"/>
        </w:rPr>
        <w:t>;</w:t>
      </w:r>
      <w:r>
        <w:rPr>
          <w:rFonts w:eastAsia="Calibri" w:cs="Arial" w:ascii="Arial" w:hAnsi="Arial"/>
          <w:b/>
          <w:bCs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 xml:space="preserve">במסגרת </w:t>
      </w:r>
      <w:r>
        <w:rPr>
          <w:rFonts w:ascii="Arial" w:hAnsi="Arial" w:eastAsia="Calibri" w:cs="Arial"/>
          <w:b/>
          <w:b/>
          <w:bCs/>
          <w:rtl w:val="true"/>
          <w:lang w:val="en-US" w:eastAsia="en-US"/>
        </w:rPr>
        <w:t>האישום השני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הודה המערער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כי ביום </w:t>
      </w:r>
      <w:r>
        <w:rPr>
          <w:rFonts w:eastAsia="Calibri" w:cs="Arial" w:ascii="Arial" w:hAnsi="Arial"/>
          <w:lang w:val="en-US" w:eastAsia="en-US"/>
        </w:rPr>
        <w:t>15.01.20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 xml:space="preserve">בשעה </w:t>
      </w:r>
      <w:r>
        <w:rPr>
          <w:rFonts w:eastAsia="Calibri" w:cs="Arial" w:ascii="Arial" w:hAnsi="Arial"/>
          <w:lang w:val="en-US" w:eastAsia="en-US"/>
        </w:rPr>
        <w:t>21:14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סמוך למתנ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ס קולייר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מכר לגב</w:t>
      </w:r>
      <w:r>
        <w:rPr>
          <w:rFonts w:eastAsia="Calibri" w:cs="Arial" w:ascii="Arial" w:hAnsi="Arial"/>
          <w:rtl w:val="true"/>
          <w:lang w:val="en-US" w:eastAsia="en-US"/>
        </w:rPr>
        <w:t xml:space="preserve">' </w:t>
      </w:r>
      <w:r>
        <w:rPr>
          <w:rFonts w:ascii="Arial" w:hAnsi="Arial" w:eastAsia="Calibri" w:cs="Arial"/>
          <w:rtl w:val="true"/>
          <w:lang w:val="en-US" w:eastAsia="en-US"/>
        </w:rPr>
        <w:t>לוד</w:t>
      </w:r>
      <w:r>
        <w:rPr>
          <w:rFonts w:ascii="Arial" w:hAnsi="Arial" w:eastAsia="Calibri" w:cs="Arial"/>
          <w:rtl w:val="true"/>
          <w:lang w:val="en-US" w:eastAsia="en-US"/>
        </w:rPr>
        <w:t>ו</w:t>
      </w:r>
      <w:r>
        <w:rPr>
          <w:rFonts w:ascii="Arial" w:hAnsi="Arial" w:eastAsia="Calibri" w:cs="Arial"/>
          <w:rtl w:val="true"/>
          <w:lang w:val="en-US" w:eastAsia="en-US"/>
        </w:rPr>
        <w:t>ביקה די ורולי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eastAsia="Calibri" w:cs="Arial" w:ascii="Arial" w:hAnsi="Arial"/>
          <w:lang w:val="en-US" w:eastAsia="en-US"/>
        </w:rPr>
        <w:t>3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 xml:space="preserve">גרם של סם מסוכן מסוג קנבוס בסכום של </w:t>
      </w:r>
      <w:r>
        <w:rPr>
          <w:rFonts w:eastAsia="Calibri" w:cs="Arial" w:ascii="Arial" w:hAnsi="Arial"/>
          <w:lang w:val="en-US" w:eastAsia="en-US"/>
        </w:rPr>
        <w:t>300</w:t>
      </w:r>
      <w:r>
        <w:rPr>
          <w:rFonts w:eastAsia="Calibri" w:cs="Arial" w:ascii="Arial" w:hAnsi="Arial"/>
          <w:rtl w:val="true"/>
          <w:lang w:val="en-US" w:eastAsia="en-US"/>
        </w:rPr>
        <w:t xml:space="preserve"> ₪; </w:t>
      </w:r>
      <w:r>
        <w:rPr>
          <w:rFonts w:ascii="Arial" w:hAnsi="Arial" w:eastAsia="Calibri" w:cs="Arial"/>
          <w:rtl w:val="true"/>
          <w:lang w:val="en-US" w:eastAsia="en-US"/>
        </w:rPr>
        <w:t xml:space="preserve">ובמסגרת </w:t>
      </w:r>
      <w:r>
        <w:rPr>
          <w:rFonts w:ascii="Arial" w:hAnsi="Arial" w:eastAsia="Calibri" w:cs="Arial"/>
          <w:b/>
          <w:b/>
          <w:bCs/>
          <w:rtl w:val="true"/>
          <w:lang w:val="en-US" w:eastAsia="en-US"/>
        </w:rPr>
        <w:t>האישום השלישי</w:t>
      </w:r>
      <w:r>
        <w:rPr>
          <w:rFonts w:ascii="Arial" w:hAnsi="Arial" w:eastAsia="Calibri" w:cs="Arial"/>
          <w:rtl w:val="true"/>
          <w:lang w:val="en-US" w:eastAsia="en-US"/>
        </w:rPr>
        <w:t xml:space="preserve"> הודה המערער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כי כ</w:t>
      </w:r>
      <w:r>
        <w:rPr>
          <w:rFonts w:eastAsia="Calibri" w:cs="Arial" w:ascii="Arial" w:hAnsi="Arial"/>
          <w:rtl w:val="true"/>
          <w:lang w:val="en-US" w:eastAsia="en-US"/>
        </w:rPr>
        <w:t>-</w:t>
      </w:r>
      <w:r>
        <w:rPr>
          <w:rFonts w:eastAsia="Calibri" w:cs="Arial" w:ascii="Arial" w:hAnsi="Arial"/>
          <w:lang w:val="en-US" w:eastAsia="en-US"/>
        </w:rPr>
        <w:t>3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 xml:space="preserve">חודשים עובר ליום </w:t>
      </w:r>
      <w:r>
        <w:rPr>
          <w:rFonts w:eastAsia="Calibri" w:cs="Arial" w:ascii="Arial" w:hAnsi="Arial"/>
          <w:lang w:val="en-US" w:eastAsia="en-US"/>
        </w:rPr>
        <w:t>26.02.20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החזיק בסם מסוכן מסוג קנבוס במשקל של גרמים בודדים שאינם עולים על </w:t>
      </w:r>
      <w:r>
        <w:rPr>
          <w:rFonts w:eastAsia="Calibri" w:cs="Arial" w:ascii="Arial" w:hAnsi="Arial"/>
          <w:lang w:val="en-US" w:eastAsia="en-US"/>
        </w:rPr>
        <w:t>15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גרם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שלא לצריכתו העצמית ומבלי שהדבר הותר לו על פי דין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ind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eastAsia="Calibri"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eastAsia="Calibri" w:cs="Arial"/>
          <w:b/>
          <w:bCs/>
          <w:lang w:val="en-US" w:eastAsia="en-US"/>
        </w:rPr>
      </w:pPr>
      <w:r>
        <w:rPr>
          <w:rFonts w:ascii="Arial" w:hAnsi="Arial" w:eastAsia="Calibri" w:cs="Arial"/>
          <w:b/>
          <w:b/>
          <w:bCs/>
          <w:rtl w:val="true"/>
          <w:lang w:val="en-US" w:eastAsia="en-US"/>
        </w:rPr>
        <w:t>תסקירי שירות המבחן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ascii="Arial" w:hAnsi="Arial" w:eastAsia="Calibri" w:cs="Arial"/>
          <w:rtl w:val="true"/>
          <w:lang w:val="en-US" w:eastAsia="en-US"/>
        </w:rPr>
        <w:t xml:space="preserve">שירות המבחן הגיש על המערער שני תסקירים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 xml:space="preserve">הראשון מיום </w:t>
      </w:r>
      <w:r>
        <w:rPr>
          <w:rFonts w:eastAsia="Calibri" w:cs="Arial" w:ascii="Arial" w:hAnsi="Arial"/>
          <w:lang w:val="en-US" w:eastAsia="en-US"/>
        </w:rPr>
        <w:t>18.01.2</w:t>
      </w:r>
      <w:r>
        <w:rPr>
          <w:rFonts w:eastAsia="Calibri" w:cs="Arial" w:ascii="Arial" w:hAnsi="Arial"/>
          <w:lang w:val="en-US" w:eastAsia="en-US"/>
        </w:rPr>
        <w:t>1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 xml:space="preserve">והשני מיום </w:t>
      </w:r>
      <w:r>
        <w:rPr>
          <w:rFonts w:eastAsia="Calibri" w:cs="Arial" w:ascii="Arial" w:hAnsi="Arial"/>
          <w:lang w:val="en-US" w:eastAsia="en-US"/>
        </w:rPr>
        <w:t>24.02.21</w:t>
      </w:r>
      <w:r>
        <w:rPr>
          <w:rFonts w:eastAsia="Calibri"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eastAsia="Calibri" w:cs="Arial"/>
          <w:rtl w:val="true"/>
          <w:lang w:val="en-US" w:eastAsia="en-US"/>
        </w:rPr>
        <w:t>מהם ניתן ללמוד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כי המערער רווק כבן </w:t>
      </w:r>
      <w:r>
        <w:rPr>
          <w:rFonts w:eastAsia="Calibri" w:cs="Arial" w:ascii="Arial" w:hAnsi="Arial"/>
          <w:lang w:val="en-US" w:eastAsia="en-US"/>
        </w:rPr>
        <w:t>24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עלה עם משפחתו לארץ מאזרבייג</w:t>
      </w:r>
      <w:r>
        <w:rPr>
          <w:rFonts w:eastAsia="Calibri" w:cs="Arial" w:ascii="Arial" w:hAnsi="Arial"/>
          <w:rtl w:val="true"/>
          <w:lang w:val="en-US" w:eastAsia="en-US"/>
        </w:rPr>
        <w:t>'</w:t>
      </w:r>
      <w:r>
        <w:rPr>
          <w:rFonts w:ascii="Arial" w:hAnsi="Arial" w:eastAsia="Calibri" w:cs="Arial"/>
          <w:rtl w:val="true"/>
          <w:lang w:val="en-US" w:eastAsia="en-US"/>
        </w:rPr>
        <w:t>ן בגיל שנתיים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כשהוא הבכור מבין שלושה ילדים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>משפחת המערער חוותה קשיי התאקלמות וקשיים תעסוקתיים</w:t>
      </w:r>
      <w:r>
        <w:rPr>
          <w:rFonts w:eastAsia="Calibri" w:cs="Arial" w:ascii="Arial" w:hAnsi="Arial"/>
          <w:rtl w:val="true"/>
          <w:lang w:val="en-US" w:eastAsia="en-US"/>
        </w:rPr>
        <w:t>-</w:t>
      </w:r>
      <w:r>
        <w:rPr>
          <w:rFonts w:ascii="Arial" w:hAnsi="Arial" w:eastAsia="Calibri" w:cs="Arial"/>
          <w:rtl w:val="true"/>
          <w:lang w:val="en-US" w:eastAsia="en-US"/>
        </w:rPr>
        <w:t>כלכליים בעיקר לאור פערי השפה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וכיום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האם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 xml:space="preserve">כבת </w:t>
      </w:r>
      <w:r>
        <w:rPr>
          <w:rFonts w:eastAsia="Calibri" w:cs="Arial" w:ascii="Arial" w:hAnsi="Arial"/>
          <w:lang w:val="en-US" w:eastAsia="en-US"/>
        </w:rPr>
        <w:t>44</w:t>
      </w:r>
      <w:r>
        <w:rPr>
          <w:rFonts w:eastAsia="Calibri"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eastAsia="Calibri" w:cs="Arial"/>
          <w:rtl w:val="true"/>
          <w:lang w:val="en-US" w:eastAsia="en-US"/>
        </w:rPr>
        <w:t xml:space="preserve">עובדת במפעל תרופות ומוכרת למוסד לביטוח לאומי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>המערער מתלווה אליה לבדיקות ופרוצדורות רפואיות</w:t>
      </w:r>
      <w:r>
        <w:rPr>
          <w:rFonts w:eastAsia="Calibri"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eastAsia="Calibri" w:cs="Arial"/>
          <w:rtl w:val="true"/>
          <w:lang w:val="en-US" w:eastAsia="en-US"/>
        </w:rPr>
        <w:t xml:space="preserve">והאב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 xml:space="preserve">כבן </w:t>
      </w:r>
      <w:r>
        <w:rPr>
          <w:rFonts w:eastAsia="Calibri" w:cs="Arial" w:ascii="Arial" w:hAnsi="Arial"/>
          <w:lang w:val="en-US" w:eastAsia="en-US"/>
        </w:rPr>
        <w:t>54</w:t>
      </w:r>
      <w:r>
        <w:rPr>
          <w:rFonts w:eastAsia="Calibri"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eastAsia="Calibri" w:cs="Arial"/>
          <w:rtl w:val="true"/>
          <w:lang w:val="en-US" w:eastAsia="en-US"/>
        </w:rPr>
        <w:t xml:space="preserve">עובד כחשמלאי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>המערער שיתף כי אביו ואחיו היו מעורבים בפלילים אך הוא אינו יודע באיזו עבירה</w:t>
      </w:r>
      <w:r>
        <w:rPr>
          <w:rFonts w:eastAsia="Calibri" w:cs="Arial" w:ascii="Arial" w:hAnsi="Arial"/>
          <w:rtl w:val="true"/>
          <w:lang w:val="en-US" w:eastAsia="en-US"/>
        </w:rPr>
        <w:t xml:space="preserve">). </w:t>
      </w:r>
      <w:r>
        <w:rPr>
          <w:rFonts w:ascii="Arial" w:hAnsi="Arial" w:eastAsia="Calibri" w:cs="Arial"/>
          <w:rtl w:val="true"/>
          <w:lang w:val="en-US" w:eastAsia="en-US"/>
        </w:rPr>
        <w:t xml:space="preserve">הורי המערער התגרשו בהיותו כבן </w:t>
      </w:r>
      <w:r>
        <w:rPr>
          <w:rFonts w:eastAsia="Calibri" w:cs="Arial" w:ascii="Arial" w:hAnsi="Arial"/>
          <w:lang w:val="en-US" w:eastAsia="en-US"/>
        </w:rPr>
        <w:t>12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הוא עבר לפנימייה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ולאחר שנה החליט לעבור ולהתגורר עם אביו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>בהמשך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ובשל נישואי האב בשנית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שב להתגורר עם אמו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ascii="Arial" w:hAnsi="Arial" w:eastAsia="Calibri" w:cs="Arial"/>
          <w:rtl w:val="true"/>
          <w:lang w:val="en-US" w:eastAsia="en-US"/>
        </w:rPr>
        <w:t>כבר מגיל צעיר נאלץ המערער לסייע בפרנסת המשפחה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אך הדבר לא מנע ממנו לסיים את לימודיו ואף לקבל בגרות חלקית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>במהלך לימודיו השתלב בקורס הצלה וחובשים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התגייס לצה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ל ושירת בחיל האוויר ביחידת כיפת ברזל בתפקיד נהג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>השירות הצבאי נתפס בעיניו כחיובי ומשמעותי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שביגר אותו ושיפר את מיומנויותיו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>אולם למרות דברים אלה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במהלך השירות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נדון המערער בבית הדין הצבאי וריצה תקופת מאסר של כחודש ימים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בגין עבירת סמים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>לאחר שחרורו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העתיק המערער את מגוריו לאילת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בין היתר בשל רצונו להתרחק ממשפחתו המעורבת בפלילים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ועבד כמציל בבריכה במלון עד למעצרו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ascii="Arial" w:hAnsi="Arial" w:eastAsia="Calibri" w:cs="Arial"/>
          <w:rtl w:val="true"/>
          <w:lang w:val="en-US" w:eastAsia="en-US"/>
        </w:rPr>
        <w:t>שירות המבחן פירט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כי למערער שלוש הרשעות קודמות בתחום הסמים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>ואכן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על פי הרישום הפלילי שהוגש לביהמ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ש קמא עולה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כי ההרשעה הראשונה של המערער היא מיום </w:t>
      </w:r>
      <w:r>
        <w:rPr>
          <w:rFonts w:eastAsia="Calibri" w:cs="Arial" w:ascii="Arial" w:hAnsi="Arial"/>
          <w:lang w:val="en-US" w:eastAsia="en-US"/>
        </w:rPr>
        <w:t>20.01.2014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מביהמ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ש לנוער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בגין שתי עבירות של חבלה חמורה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שתי עבירות של נהיגת רכב ללא רישיון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שתי עבירות של הפרעה לשוטר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שתי עבירות של הסגת גבול ועבירה של חבלה על ידי שניים או יותר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ונדון לשל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צ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חתימה על התחייבות ופיצוי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>לאחר מכן נדון המערער בבי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ד צבאי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ביום </w:t>
      </w:r>
      <w:r>
        <w:rPr>
          <w:rFonts w:eastAsia="Calibri" w:cs="Arial" w:ascii="Arial" w:hAnsi="Arial"/>
          <w:lang w:val="en-US" w:eastAsia="en-US"/>
        </w:rPr>
        <w:t>30.08.2016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בגין עבירה של החזקת סמים לצריכה עצמית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ונדון ל</w:t>
      </w:r>
      <w:r>
        <w:rPr>
          <w:rFonts w:eastAsia="Calibri" w:cs="Arial" w:ascii="Arial" w:hAnsi="Arial"/>
          <w:rtl w:val="true"/>
          <w:lang w:val="en-US" w:eastAsia="en-US"/>
        </w:rPr>
        <w:t>-</w:t>
      </w:r>
      <w:r>
        <w:rPr>
          <w:rFonts w:eastAsia="Calibri" w:cs="Arial" w:ascii="Arial" w:hAnsi="Arial"/>
          <w:lang w:val="en-US" w:eastAsia="en-US"/>
        </w:rPr>
        <w:t>9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ימי מאסר בפועל ומאסרים מותנים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>והרשעתו האחרונה אף היא מבי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ד צבאי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מיום </w:t>
      </w:r>
      <w:r>
        <w:rPr>
          <w:rFonts w:eastAsia="Calibri" w:cs="Arial" w:ascii="Arial" w:hAnsi="Arial"/>
          <w:lang w:val="en-US" w:eastAsia="en-US"/>
        </w:rPr>
        <w:t>09.07.2017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בגין עבירות שעניינן סירוב להיבדק בבדיקה לגילוי סמים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ונדון להארכת מע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ת</w:t>
      </w:r>
      <w:r>
        <w:rPr>
          <w:rFonts w:eastAsia="Calibri" w:cs="Arial" w:ascii="Arial" w:hAnsi="Arial"/>
          <w:rtl w:val="true"/>
          <w:lang w:val="en-US" w:eastAsia="en-US"/>
        </w:rPr>
        <w:t>).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eastAsia="Arial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במסגרת התסקיר הראשון ציין שירות המבחן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כי לאור המידע הקיים אצלו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>מהתסקירים שהוגשו אודות המערער בביהמ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ש לנוער ובהליך המעצר</w:t>
      </w:r>
      <w:r>
        <w:rPr>
          <w:rFonts w:eastAsia="Calibri"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eastAsia="Calibri" w:cs="Arial"/>
          <w:rtl w:val="true"/>
          <w:lang w:val="en-US" w:eastAsia="en-US"/>
        </w:rPr>
        <w:t>וגם מדברי המערער עצמו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עולה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כי החל להשתמש בחשיש בגיל </w:t>
      </w:r>
      <w:r>
        <w:rPr>
          <w:rFonts w:eastAsia="Calibri" w:cs="Arial" w:ascii="Arial" w:hAnsi="Arial"/>
          <w:lang w:val="en-US" w:eastAsia="en-US"/>
        </w:rPr>
        <w:t>15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בנסיבות חברתיות ולעיתים רחוקות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ואף התנסה בצעירותו בסמים מסוגים נוספים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>וכי למרות רצונו לנהל חיים נורמטיביים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ניכרה אצלו במרוצת השנים עלייה בתדירות השימוש בסמים ובכמותם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>המערער ציין עוד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כי הוא צורך אלכוהול בעיקר באירועים חברתיים ואינו מגיע למצבי שכרות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eastAsia="Calibri"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start"/>
        <w:rPr/>
      </w:pPr>
      <w:r>
        <w:rPr>
          <w:rFonts w:ascii="Arial" w:hAnsi="Arial" w:eastAsia="Calibri" w:cs="Arial"/>
          <w:bCs/>
          <w:rtl w:val="true"/>
          <w:lang w:val="en-US" w:eastAsia="en-US"/>
        </w:rPr>
        <w:t>באשר לאירועי כתב האישום המערער הודה באופן חלקי בביצועם</w:t>
      </w:r>
      <w:r>
        <w:rPr>
          <w:rFonts w:eastAsia="Calibri" w:cs="Arial" w:ascii="Arial" w:hAnsi="Arial"/>
          <w:bCs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bCs/>
          <w:rtl w:val="true"/>
          <w:lang w:val="en-US" w:eastAsia="en-US"/>
        </w:rPr>
        <w:t>וטען</w:t>
      </w:r>
      <w:r>
        <w:rPr>
          <w:rFonts w:eastAsia="Calibri" w:cs="Arial" w:ascii="Arial" w:hAnsi="Arial"/>
          <w:bCs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bCs/>
          <w:rtl w:val="true"/>
          <w:lang w:val="en-US" w:eastAsia="en-US"/>
        </w:rPr>
        <w:t>כי רכש את הסמים</w:t>
      </w:r>
      <w:r>
        <w:rPr>
          <w:rFonts w:ascii="Arial" w:hAnsi="Arial" w:eastAsia="Calibri" w:cs="Arial"/>
          <w:bCs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 xml:space="preserve">בעיקר לשימוש עצמי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>בהם הרבה להשתמש באירועים חברתיים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בערבים ובסופי שבוע</w:t>
      </w:r>
      <w:r>
        <w:rPr>
          <w:rFonts w:eastAsia="Calibri" w:cs="Arial" w:ascii="Arial" w:hAnsi="Arial"/>
          <w:rtl w:val="true"/>
          <w:lang w:val="en-US" w:eastAsia="en-US"/>
        </w:rPr>
        <w:t xml:space="preserve">); </w:t>
      </w:r>
      <w:r>
        <w:rPr>
          <w:rFonts w:ascii="Arial" w:hAnsi="Arial" w:eastAsia="Calibri" w:cs="Arial"/>
          <w:rtl w:val="true"/>
          <w:lang w:val="en-US" w:eastAsia="en-US"/>
        </w:rPr>
        <w:t>לעיתים צרך אותם יחד עם חברים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>ולעיתים החליפו ביניהם סמים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>המערער אף הכחיש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כי מכר סמים לאישה המוזכרת באישום השני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וטען שרק נפגש עמה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ascii="Arial" w:hAnsi="Arial" w:eastAsia="Calibri" w:cs="Arial"/>
          <w:rtl w:val="true"/>
          <w:lang w:val="en-US" w:eastAsia="en-US"/>
        </w:rPr>
        <w:t>שיתוף הפעולה של המערער עם שירות המבחן במסגרת הליכי המעצר היה חלקי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>לעיתים לא הגיע כלל למפגשים אליהם זומן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>כאשר הגיע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לא היה מלווה על ידי המפקחות כנדרש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>והמשיך להשתמש בסמים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>על כן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ביהמ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ש התבקש לבטל את צו פיקוח המעצרים</w:t>
      </w:r>
      <w:r>
        <w:rPr>
          <w:rFonts w:eastAsia="Calibri"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ascii="Arial" w:hAnsi="Arial" w:eastAsia="Calibri" w:cs="Arial"/>
          <w:rtl w:val="true"/>
          <w:lang w:val="en-US" w:eastAsia="en-US"/>
        </w:rPr>
        <w:t>ההתרשמות של שירות המבחן במסגרת התסקיר הראשון הייתה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כי נוכח גילו הצעיר של המערער ונסיבות חייו האישיות והמשפחתיות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>גירושי ההורים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מצבה הבריאותי של האם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היעדרן של דמויות סמכותיות מכוונות וחשיפה להתנהגות עבריינית מצד משפחתו וחברה שולית</w:t>
      </w:r>
      <w:r>
        <w:rPr>
          <w:rFonts w:eastAsia="Calibri"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eastAsia="Calibri" w:cs="Arial"/>
          <w:rtl w:val="true"/>
          <w:lang w:val="en-US" w:eastAsia="en-US"/>
        </w:rPr>
        <w:t>אימץ המערער דפוסי חשיבה שליליים ומכשילים בהתמודדות עם מצבי לחץ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>ויצרו אצלו גבולות פנימיים מטושטשים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וקושי בביקורת ובחינה עצמית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>בנסיבות אלה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סבר שירות המבחן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כי המערער זקוק להתערבות טיפולית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אחרת סביר שימשיך לצרוך סמים ולבצע עבירות דומות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>ואכן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המערער הסכים להשתלב בהליך טיפולי ב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בית חוסן</w:t>
      </w:r>
      <w:r>
        <w:rPr>
          <w:rFonts w:eastAsia="Calibri" w:cs="Arial" w:ascii="Arial" w:hAnsi="Arial"/>
          <w:rtl w:val="true"/>
          <w:lang w:val="en-US" w:eastAsia="en-US"/>
        </w:rPr>
        <w:t>".</w:t>
      </w:r>
    </w:p>
    <w:p>
      <w:pPr>
        <w:pStyle w:val="Normal"/>
        <w:spacing w:lineRule="auto" w:line="360"/>
        <w:ind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eastAsia="Calibri"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ascii="Arial" w:hAnsi="Arial" w:eastAsia="Calibri" w:cs="Arial"/>
          <w:rtl w:val="true"/>
          <w:lang w:val="en-US" w:eastAsia="en-US"/>
        </w:rPr>
        <w:t>בתסקיר המשלים עדכן שירות המבחן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כי בהמשך להמלצותיו והסכמתו של המערער להשתלב בטיפול ב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בית חוסן</w:t>
      </w:r>
      <w:r>
        <w:rPr>
          <w:rFonts w:eastAsia="Calibri" w:cs="Arial" w:ascii="Arial" w:hAnsi="Arial"/>
          <w:rtl w:val="true"/>
          <w:lang w:val="en-US" w:eastAsia="en-US"/>
        </w:rPr>
        <w:t xml:space="preserve">", </w:t>
      </w:r>
      <w:r>
        <w:rPr>
          <w:rFonts w:ascii="Arial" w:hAnsi="Arial" w:eastAsia="Calibri" w:cs="Arial"/>
          <w:rtl w:val="true"/>
          <w:lang w:val="en-US" w:eastAsia="en-US"/>
        </w:rPr>
        <w:t>הוא הוזמן פעמיים לביצוע בדיקות שתן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 xml:space="preserve">הבדיקה הראשונה נמצאה נקייה משרידי סם ואילו את תוצאות הבדיקה השנייה ניסה המערער לזייף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>הגיע עם שקית ובה דגימת שתן</w:t>
      </w:r>
      <w:r>
        <w:rPr>
          <w:rFonts w:eastAsia="Calibri" w:cs="Arial" w:ascii="Arial" w:hAnsi="Arial"/>
          <w:rtl w:val="true"/>
          <w:lang w:val="en-US" w:eastAsia="en-US"/>
        </w:rPr>
        <w:t xml:space="preserve">). </w:t>
      </w:r>
      <w:r>
        <w:rPr>
          <w:rFonts w:ascii="Arial" w:hAnsi="Arial" w:eastAsia="Calibri" w:cs="Arial"/>
          <w:rtl w:val="true"/>
          <w:lang w:val="en-US" w:eastAsia="en-US"/>
        </w:rPr>
        <w:t>בעיני שירות המבחן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ניסיון זה מצביע על כך שהמערער משתמש בסמים חרף הצהרותיו כי חדל מכך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וזאת בנוסף לחוסר הבנתו את עומק התמכרותו ותפיסתו כי הוא אינו זקוק להתערבות טיפולית כלשהי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וודאי שלא במסגרת אינטנסיבית כמו 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בית חוסן</w:t>
      </w:r>
      <w:r>
        <w:rPr>
          <w:rFonts w:eastAsia="Calibri" w:cs="Arial" w:ascii="Arial" w:hAnsi="Arial"/>
          <w:rtl w:val="true"/>
          <w:lang w:val="en-US" w:eastAsia="en-US"/>
        </w:rPr>
        <w:t xml:space="preserve">" </w:t>
      </w:r>
      <w:r>
        <w:rPr>
          <w:rFonts w:ascii="Arial" w:hAnsi="Arial" w:eastAsia="Calibri" w:cs="Arial"/>
          <w:rtl w:val="true"/>
          <w:lang w:val="en-US" w:eastAsia="en-US"/>
        </w:rPr>
        <w:t>המיועדת ל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מכורים ממש</w:t>
      </w:r>
      <w:r>
        <w:rPr>
          <w:rFonts w:eastAsia="Calibri" w:cs="Arial" w:ascii="Arial" w:hAnsi="Arial"/>
          <w:rtl w:val="true"/>
          <w:lang w:val="en-US" w:eastAsia="en-US"/>
        </w:rPr>
        <w:t xml:space="preserve">". </w:t>
      </w:r>
      <w:r>
        <w:rPr>
          <w:rFonts w:ascii="Arial" w:hAnsi="Arial" w:eastAsia="Calibri" w:cs="Arial"/>
          <w:rtl w:val="true"/>
          <w:lang w:val="en-US" w:eastAsia="en-US"/>
        </w:rPr>
        <w:t>משכך סבר שירות המבחן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כי המערער בעל כוחות מצומצמים וחסר את הבשלות הנדרשת לשינוי מהותי בחייו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ולכן לא בא בהמלצה טיפולית או שיקומית בעניינו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והמליץ על ענישה בעבודות שירות ומאסר מותנה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ind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eastAsia="Calibri"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eastAsia="Calibri" w:cs="Arial"/>
          <w:b/>
          <w:bCs/>
          <w:lang w:val="en-US" w:eastAsia="en-US"/>
        </w:rPr>
      </w:pPr>
      <w:r>
        <w:rPr>
          <w:rFonts w:ascii="Arial" w:hAnsi="Arial" w:eastAsia="Calibri" w:cs="Arial"/>
          <w:b/>
          <w:b/>
          <w:bCs/>
          <w:rtl w:val="true"/>
          <w:lang w:val="en-US" w:eastAsia="en-US"/>
        </w:rPr>
        <w:t>חוות דעת הממונה על עבודות השירות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ascii="Arial" w:hAnsi="Arial" w:eastAsia="Calibri" w:cs="Arial"/>
          <w:rtl w:val="true"/>
          <w:lang w:val="en-US" w:eastAsia="en-US"/>
        </w:rPr>
        <w:t xml:space="preserve">בפתח הדיון מיום </w:t>
      </w:r>
      <w:r>
        <w:rPr>
          <w:rFonts w:eastAsia="Calibri" w:cs="Arial" w:ascii="Arial" w:hAnsi="Arial"/>
          <w:lang w:val="en-US" w:eastAsia="en-US"/>
        </w:rPr>
        <w:t>09.03.21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ולאחר המלצת התסקיר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עתר הסנגור לשליחת המערער אל הממונה על עבודות השירות כדי שתוגש עליו חוות דעת טרם גזירת עונשו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>וביהמ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ש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למרות הצהרת המאשימה כי תעתור להטיל על המערער עונש של מאסר בפועל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נעתר לבקשה והפנה את המערער לממונה על עבודות השירות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על מנת שיבדוק את מידת התאמתו לריצוי עונש של מאסר בדרך של עבודות שירות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תוך ההדגשה כי אין בכך 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כדי לטעת צפייה מצד מי מהצדדים באשר לעונש הסופי שיוטל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eastAsia="Calibri" w:cs="Arial" w:ascii="David" w:hAnsi="David"/>
          <w:rtl w:val="true"/>
          <w:lang w:val="en-US" w:eastAsia="en-US"/>
        </w:rPr>
        <w:t>.</w:t>
      </w:r>
      <w:r>
        <w:rPr>
          <w:rFonts w:eastAsia="Calibri" w:cs="Arial" w:ascii="David" w:hAnsi="David"/>
          <w:b/>
          <w:bCs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בחווה</w:t>
      </w:r>
      <w:r>
        <w:rPr>
          <w:rFonts w:eastAsia="Calibri" w:cs="Arial" w:ascii="David" w:hAnsi="David"/>
          <w:rtl w:val="true"/>
          <w:lang w:val="en-US" w:eastAsia="en-US"/>
        </w:rPr>
        <w:t>"</w:t>
      </w:r>
      <w:r>
        <w:rPr>
          <w:rFonts w:ascii="David" w:hAnsi="David" w:eastAsia="Calibri" w:cs="Arial"/>
          <w:rtl w:val="true"/>
          <w:lang w:val="en-US" w:eastAsia="en-US"/>
        </w:rPr>
        <w:t>ד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מיום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eastAsia="Calibri" w:cs="Arial" w:ascii="David" w:hAnsi="David"/>
          <w:lang w:val="en-US" w:eastAsia="en-US"/>
        </w:rPr>
        <w:t>10.05.21</w:t>
      </w:r>
      <w:r>
        <w:rPr>
          <w:rFonts w:eastAsia="Calibri" w:cs="Arial" w:ascii="David" w:hAnsi="David"/>
          <w:rtl w:val="true"/>
          <w:lang w:val="en-US" w:eastAsia="en-US"/>
        </w:rPr>
        <w:t xml:space="preserve">, </w:t>
      </w:r>
      <w:r>
        <w:rPr>
          <w:rFonts w:ascii="David" w:hAnsi="David" w:eastAsia="Calibri" w:cs="Arial"/>
          <w:rtl w:val="true"/>
          <w:lang w:val="en-US" w:eastAsia="en-US"/>
        </w:rPr>
        <w:t>נמצא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כי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המערער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מתאים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לעבודות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שירות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ללא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כל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מגבלה</w:t>
      </w:r>
      <w:r>
        <w:rPr>
          <w:rFonts w:eastAsia="Calibri" w:cs="Arial" w:ascii="David" w:hAnsi="David"/>
          <w:rtl w:val="true"/>
          <w:lang w:val="en-US" w:eastAsia="en-US"/>
        </w:rPr>
        <w:t xml:space="preserve">, </w:t>
      </w:r>
      <w:r>
        <w:rPr>
          <w:rFonts w:ascii="David" w:hAnsi="David" w:eastAsia="Calibri" w:cs="Arial"/>
          <w:rtl w:val="true"/>
          <w:lang w:val="en-US" w:eastAsia="en-US"/>
        </w:rPr>
        <w:t>וכי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הוא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שולל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שימוש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בסמים</w:t>
      </w:r>
      <w:r>
        <w:rPr>
          <w:rFonts w:eastAsia="Calibri" w:cs="Arial" w:ascii="David" w:hAnsi="David"/>
          <w:rtl w:val="true"/>
          <w:lang w:val="en-US" w:eastAsia="en-US"/>
        </w:rPr>
        <w:t xml:space="preserve">, </w:t>
      </w:r>
      <w:r>
        <w:rPr>
          <w:rFonts w:ascii="David" w:hAnsi="David" w:eastAsia="Calibri" w:cs="Arial"/>
          <w:rtl w:val="true"/>
          <w:lang w:val="en-US" w:eastAsia="en-US"/>
        </w:rPr>
        <w:t>צריכת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אלכוהול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או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הימורים</w:t>
      </w:r>
      <w:r>
        <w:rPr>
          <w:rFonts w:eastAsia="Calibri" w:cs="Arial" w:ascii="David" w:hAnsi="David"/>
          <w:rtl w:val="true"/>
          <w:lang w:val="en-US" w:eastAsia="en-US"/>
        </w:rPr>
        <w:t xml:space="preserve">. </w:t>
      </w:r>
    </w:p>
    <w:p>
      <w:pPr>
        <w:pStyle w:val="Normal"/>
        <w:ind w:end="0"/>
        <w:jc w:val="both"/>
        <w:rPr>
          <w:rFonts w:ascii="David" w:hAnsi="David" w:eastAsia="Calibri" w:cs="Arial"/>
          <w:lang w:val="en-US" w:eastAsia="en-US"/>
        </w:rPr>
      </w:pPr>
      <w:r>
        <w:rPr>
          <w:rFonts w:eastAsia="Calibri" w:cs="Arial" w:ascii="David" w:hAnsi="David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eastAsia="Calibri" w:cs="Arial"/>
        </w:rPr>
      </w:pPr>
      <w:r>
        <w:rPr>
          <w:rFonts w:ascii="David" w:hAnsi="David" w:eastAsia="Calibri" w:cs="Arial"/>
          <w:b/>
          <w:b/>
          <w:bCs/>
          <w:rtl w:val="true"/>
          <w:lang w:val="en-US" w:eastAsia="en-US"/>
        </w:rPr>
        <w:t>הטיעונים</w:t>
      </w:r>
      <w:r>
        <w:rPr>
          <w:rFonts w:ascii="David" w:hAnsi="David" w:eastAsia="David"/>
          <w:b/>
          <w:b/>
          <w:bCs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b/>
          <w:b/>
          <w:bCs/>
          <w:rtl w:val="true"/>
          <w:lang w:val="en-US" w:eastAsia="en-US"/>
        </w:rPr>
        <w:t>לעונש</w:t>
      </w:r>
      <w:r>
        <w:rPr>
          <w:rFonts w:ascii="David" w:hAnsi="David" w:eastAsia="David"/>
          <w:b/>
          <w:b/>
          <w:bCs/>
          <w:rtl w:val="true"/>
          <w:lang w:val="en-US" w:eastAsia="en-US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ascii="David" w:hAnsi="David" w:eastAsia="Calibri" w:cs="Arial"/>
          <w:b/>
          <w:b/>
          <w:bCs/>
          <w:rtl w:val="true"/>
          <w:lang w:val="en-US" w:eastAsia="en-US"/>
        </w:rPr>
        <w:t>המאשימה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בטיעוניה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לעונש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ביקשה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לקבוע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מתחם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עונש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ראוי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לכל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אחד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מהאישומים</w:t>
      </w:r>
      <w:r>
        <w:rPr>
          <w:rFonts w:eastAsia="Calibri" w:cs="Arial" w:ascii="David" w:hAnsi="David"/>
          <w:rtl w:val="true"/>
          <w:lang w:val="en-US" w:eastAsia="en-US"/>
        </w:rPr>
        <w:t xml:space="preserve">; </w:t>
      </w:r>
      <w:r>
        <w:rPr>
          <w:rFonts w:ascii="David" w:hAnsi="David" w:eastAsia="Calibri" w:cs="Arial"/>
          <w:rtl w:val="true"/>
          <w:lang w:val="en-US" w:eastAsia="en-US"/>
        </w:rPr>
        <w:t>הדגישה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את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חומרת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מעשי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המערער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ואת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David" w:hAnsi="David" w:eastAsia="Calibri" w:cs="Arial"/>
          <w:rtl w:val="true"/>
          <w:lang w:val="en-US" w:eastAsia="en-US"/>
        </w:rPr>
        <w:t>הצורך</w:t>
      </w:r>
      <w:r>
        <w:rPr>
          <w:rFonts w:ascii="David" w:hAnsi="David" w:eastAsia="David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במיגור תופעת הסחר בסמים והחזקתם שלא לשימוש עצמי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 xml:space="preserve">ציינה את עברו הפלילי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>הכולל גם רישום פלילי קודם בעבירות סמים</w:t>
      </w:r>
      <w:r>
        <w:rPr>
          <w:rFonts w:eastAsia="Calibri"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eastAsia="Calibri" w:cs="Arial"/>
          <w:rtl w:val="true"/>
          <w:lang w:val="en-US" w:eastAsia="en-US"/>
        </w:rPr>
        <w:t>אשר לא הרתיעו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>ציינה את מסקנות שירות המבחן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כי לא נמצאו אצל המערער אינדיקציות לרצון כן ואמתי לשקם את חייו ולשנות מדפוסי התנהגותו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 xml:space="preserve">ועתרה להטיל ענישה מחמירה של </w:t>
      </w:r>
      <w:r>
        <w:rPr>
          <w:rFonts w:eastAsia="Calibri" w:cs="Arial" w:ascii="Arial" w:hAnsi="Arial"/>
          <w:lang w:val="en-US" w:eastAsia="en-US"/>
        </w:rPr>
        <w:t>20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חודשי מאסר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מאסרים מותנים על כל עבירת סמים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התחייבות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קנס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פסילת רישיון נהיגה בפועל ומותנית וחילוט הכסף שנתפס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 xml:space="preserve">מכוח הסכמת הצדדים והוראות סעיף </w:t>
      </w:r>
      <w:hyperlink r:id="rId21">
        <w:r>
          <w:rPr>
            <w:rStyle w:val="Hyperlink"/>
            <w:rFonts w:eastAsia="Calibri" w:cs="Arial" w:ascii="Arial" w:hAnsi="Arial"/>
            <w:lang w:val="en-US" w:eastAsia="en-US"/>
          </w:rPr>
          <w:t>36</w:t>
        </w:r>
        <w:r>
          <w:rPr>
            <w:rStyle w:val="Hyperlink"/>
            <w:rFonts w:eastAsia="Calibri" w:cs="Arial" w:ascii="Arial" w:hAnsi="Arial"/>
            <w:rtl w:val="true"/>
            <w:lang w:val="en-US" w:eastAsia="en-US"/>
          </w:rPr>
          <w:t xml:space="preserve"> </w:t>
        </w:r>
        <w:r>
          <w:rPr>
            <w:rStyle w:val="Hyperlink"/>
            <w:rFonts w:ascii="Arial" w:hAnsi="Arial" w:eastAsia="Calibri" w:cs="Arial"/>
            <w:rtl w:val="true"/>
            <w:lang w:val="en-US" w:eastAsia="en-US"/>
          </w:rPr>
          <w:t>א</w:t>
        </w:r>
        <w:r>
          <w:rPr>
            <w:rStyle w:val="Hyperlink"/>
            <w:rFonts w:eastAsia="Calibri" w:cs="Arial" w:ascii="Arial" w:hAnsi="Arial"/>
            <w:rtl w:val="true"/>
            <w:lang w:val="en-US" w:eastAsia="en-US"/>
          </w:rPr>
          <w:t>(</w:t>
        </w:r>
        <w:r>
          <w:rPr>
            <w:rStyle w:val="Hyperlink"/>
            <w:rFonts w:ascii="Arial" w:hAnsi="Arial" w:eastAsia="Calibri" w:cs="Arial"/>
            <w:rtl w:val="true"/>
            <w:lang w:val="en-US" w:eastAsia="en-US"/>
          </w:rPr>
          <w:t>ב</w:t>
        </w:r>
        <w:r>
          <w:rPr>
            <w:rStyle w:val="Hyperlink"/>
            <w:rFonts w:eastAsia="Calibri" w:cs="Arial" w:ascii="Arial" w:hAnsi="Arial"/>
            <w:rtl w:val="true"/>
            <w:lang w:val="en-US" w:eastAsia="en-US"/>
          </w:rPr>
          <w:t>)</w:t>
        </w:r>
      </w:hyperlink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לפקודה</w:t>
      </w:r>
      <w:r>
        <w:rPr>
          <w:rFonts w:eastAsia="Calibri"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Arial" w:hAnsi="Arial" w:eastAsia="Calibri" w:cs="Arial"/>
          <w:b/>
          <w:b/>
          <w:bCs/>
          <w:rtl w:val="true"/>
          <w:lang w:val="en-US" w:eastAsia="en-US"/>
        </w:rPr>
        <w:t>הסנגור</w:t>
      </w:r>
      <w:r>
        <w:rPr>
          <w:rFonts w:ascii="Arial" w:hAnsi="Arial" w:eastAsia="Calibri" w:cs="Arial"/>
          <w:rtl w:val="true"/>
          <w:lang w:val="en-US" w:eastAsia="en-US"/>
        </w:rPr>
        <w:t xml:space="preserve"> מנגד עמד על נסיבותיו האישיות המיוחדות של המערער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שהינו בחור צעיר שלא ריצה מאסר בחייו האזרחיים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>הרישום הפלילי מבית הדין הצבאי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מקורו בעבירה שאם הייתה מבוצעת במסגרת אזרחית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המערער לא היה עומד בגינה לדין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והעבירות האחרות שנדונו בבית המשפט לנוער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התיישנו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>וחרף קשיי ההתאקלמות שחווה ומעבריו מבית לבית ולפנימייה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המערער שירת שירות צבאי מלא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ולאחר שחרורו חי חיים נורמטיביים ועבד ברציפות למחייתו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>כן עמד הסנגור על נסיבות ביצוע העבירות וטען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כי על אף כמויות הסמים שנתפסו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המערער לא התפרנס ממכירת סמים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>החומר שסווג כ</w:t>
      </w:r>
      <w:r>
        <w:rPr>
          <w:rFonts w:eastAsia="Calibri" w:cs="Arial" w:ascii="Arial" w:hAnsi="Arial"/>
          <w:rtl w:val="true"/>
          <w:lang w:val="en-US" w:eastAsia="en-US"/>
        </w:rPr>
        <w:t>-</w:t>
      </w:r>
      <w:r>
        <w:rPr>
          <w:rFonts w:eastAsia="Calibri" w:cs="Arial" w:ascii="Arial" w:hAnsi="Arial"/>
          <w:lang w:val="en-US" w:eastAsia="en-US"/>
        </w:rPr>
        <w:t>MDMA</w:t>
      </w:r>
      <w:r>
        <w:rPr>
          <w:rFonts w:eastAsia="Calibri" w:cs="Arial" w:ascii="Arial" w:hAnsi="Arial"/>
          <w:rtl w:val="true"/>
          <w:lang w:val="en-US" w:eastAsia="en-US"/>
        </w:rPr>
        <w:t xml:space="preserve"> (</w:t>
      </w:r>
      <w:r>
        <w:rPr>
          <w:rFonts w:ascii="Arial" w:hAnsi="Arial" w:eastAsia="Calibri" w:cs="Arial"/>
          <w:rtl w:val="true"/>
          <w:lang w:val="en-US" w:eastAsia="en-US"/>
        </w:rPr>
        <w:t xml:space="preserve">במשקל של </w:t>
      </w:r>
      <w:r>
        <w:rPr>
          <w:rFonts w:eastAsia="Calibri" w:cs="Arial" w:ascii="Arial" w:hAnsi="Arial"/>
          <w:lang w:val="en-US" w:eastAsia="en-US"/>
        </w:rPr>
        <w:t>12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גרם</w:t>
      </w:r>
      <w:r>
        <w:rPr>
          <w:rFonts w:eastAsia="Calibri"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eastAsia="Calibri" w:cs="Arial"/>
          <w:rtl w:val="true"/>
          <w:lang w:val="en-US" w:eastAsia="en-US"/>
        </w:rPr>
        <w:t xml:space="preserve">לא נכלל בתוספת השנייה לפקודה ולא נקבעה לגביו חזקת שימוש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>בשונה מסמים אחרים</w:t>
      </w:r>
      <w:r>
        <w:rPr>
          <w:rFonts w:eastAsia="Calibri" w:cs="Arial" w:ascii="Arial" w:hAnsi="Arial"/>
          <w:rtl w:val="true"/>
          <w:lang w:val="en-US" w:eastAsia="en-US"/>
        </w:rPr>
        <w:t xml:space="preserve">); </w:t>
      </w:r>
      <w:r>
        <w:rPr>
          <w:rFonts w:ascii="Arial" w:hAnsi="Arial" w:eastAsia="Calibri" w:cs="Arial"/>
          <w:rtl w:val="true"/>
          <w:lang w:val="en-US" w:eastAsia="en-US"/>
        </w:rPr>
        <w:t xml:space="preserve">מעשי המערער נעדרים סממנים של פעילות מסחרית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>כגון שימוש ברשת האינטרנט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בשקיות ומשקלים</w:t>
      </w:r>
      <w:r>
        <w:rPr>
          <w:rFonts w:eastAsia="Calibri"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eastAsia="Calibri" w:cs="Arial"/>
          <w:rtl w:val="true"/>
          <w:lang w:val="en-US" w:eastAsia="en-US"/>
        </w:rPr>
        <w:t>ולא בוצעו בחבורה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>להבנתו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מעשי המערער מסתכמים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אפוא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בהחזקת סמים לצריכתו העצמית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מכירת סם בכמות נמוכה תמורת סכום סמלי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והחזקת סמים שלא לצריכה עצמית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>כחלק מהתפשרות של ההגנה לצורכי הסדר</w:t>
      </w:r>
      <w:r>
        <w:rPr>
          <w:rFonts w:eastAsia="Calibri" w:cs="Arial" w:ascii="Arial" w:hAnsi="Arial"/>
          <w:rtl w:val="true"/>
          <w:lang w:val="en-US" w:eastAsia="en-US"/>
        </w:rPr>
        <w:t xml:space="preserve">). </w:t>
      </w:r>
      <w:r>
        <w:rPr>
          <w:rFonts w:ascii="Arial" w:hAnsi="Arial" w:eastAsia="Calibri" w:cs="Arial"/>
          <w:rtl w:val="true"/>
          <w:lang w:val="en-US" w:eastAsia="en-US"/>
        </w:rPr>
        <w:t>נוכח כל אלה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ביקש הסנגור לקבוע מתחם עונש אחד לכלל האישומים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>מספר חודשי מאסר שיכול וירוצו בעבודות ועד שנת מאסר</w:t>
      </w:r>
      <w:r>
        <w:rPr>
          <w:rFonts w:eastAsia="Calibri"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eastAsia="Calibri" w:cs="Arial"/>
          <w:rtl w:val="true"/>
          <w:lang w:val="en-US" w:eastAsia="en-US"/>
        </w:rPr>
        <w:t xml:space="preserve">ולדון את המערער למאסר שירוצה בדרך של עבודות שירות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>תוך התחשבות בכך ששהה במעצר ממש למשך חודש ושבעה ימים ולאחר מכן היה תקופה גם במעצר בית</w:t>
      </w:r>
      <w:r>
        <w:rPr>
          <w:rFonts w:eastAsia="Calibri" w:cs="Arial" w:ascii="Arial" w:hAnsi="Arial"/>
          <w:rtl w:val="true"/>
          <w:lang w:val="en-US" w:eastAsia="en-US"/>
        </w:rPr>
        <w:t xml:space="preserve">). </w:t>
      </w:r>
      <w:r>
        <w:rPr>
          <w:rFonts w:ascii="Arial" w:hAnsi="Arial" w:eastAsia="Calibri" w:cs="Arial"/>
          <w:rtl w:val="true"/>
          <w:lang w:val="en-US" w:eastAsia="en-US"/>
        </w:rPr>
        <w:t>עוד הוסיף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כי במידה וביהמ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ש לא יתערב במתחם שנקבע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בכל מקרה יש להקל בעונשו ולרדת מתחת למתחם העונש מנימוקי שיקום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שכן לאחר גזירת עונשו החל בתהליך שיקומי רציני בלשכת הרווחה בירוחם</w:t>
      </w:r>
      <w:r>
        <w:rPr>
          <w:rFonts w:eastAsia="Calibri"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ascii="Arial" w:hAnsi="Arial" w:eastAsia="Calibri" w:cs="Arial"/>
          <w:b/>
          <w:b/>
          <w:bCs/>
          <w:rtl w:val="true"/>
          <w:lang w:val="en-US" w:eastAsia="en-US"/>
        </w:rPr>
        <w:t>המערער</w:t>
      </w:r>
      <w:r>
        <w:rPr>
          <w:rFonts w:ascii="Arial" w:hAnsi="Arial" w:eastAsia="Calibri" w:cs="Arial"/>
          <w:rtl w:val="true"/>
          <w:lang w:val="en-US" w:eastAsia="en-US"/>
        </w:rPr>
        <w:t xml:space="preserve"> בדבריו לביהמ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 xml:space="preserve">ש ביקש להקל עמו </w:t>
      </w:r>
      <w:r>
        <w:rPr>
          <w:rFonts w:ascii="Arial" w:hAnsi="Arial" w:eastAsia="Calibri" w:cs="Arial"/>
          <w:rtl w:val="true"/>
          <w:lang w:val="en-US" w:eastAsia="en-US"/>
        </w:rPr>
        <w:t>ואמר</w:t>
      </w:r>
      <w:r>
        <w:rPr>
          <w:rFonts w:eastAsia="Calibri" w:cs="Arial" w:ascii="Arial" w:hAnsi="Arial"/>
          <w:rtl w:val="true"/>
          <w:lang w:val="en-US" w:eastAsia="en-US"/>
        </w:rPr>
        <w:t xml:space="preserve">,  </w:t>
      </w:r>
      <w:r>
        <w:rPr>
          <w:rFonts w:ascii="Arial" w:hAnsi="Arial" w:eastAsia="Calibri" w:cs="Arial"/>
          <w:rtl w:val="true"/>
          <w:lang w:val="en-US" w:eastAsia="en-US"/>
        </w:rPr>
        <w:t>ש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אני לא סוחר סמים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.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 xml:space="preserve">החליטו לפנק אותי עם </w:t>
      </w:r>
      <w:r>
        <w:rPr>
          <w:rFonts w:eastAsia="Calibri" w:cs="Miriam" w:ascii="Miriam" w:hAnsi="Miriam"/>
          <w:b/>
          <w:bCs/>
          <w:lang w:val="en-US" w:eastAsia="en-US"/>
        </w:rPr>
        <w:t>MDMA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.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ה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-</w:t>
      </w:r>
      <w:r>
        <w:rPr>
          <w:rFonts w:eastAsia="Calibri" w:cs="Miriam" w:ascii="Miriam" w:hAnsi="Miriam"/>
          <w:b/>
          <w:bCs/>
          <w:lang w:val="en-US" w:eastAsia="en-US"/>
        </w:rPr>
        <w:t>MDMA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 xml:space="preserve">זה לא היה בדיוק </w:t>
      </w:r>
      <w:r>
        <w:rPr>
          <w:rFonts w:eastAsia="Calibri" w:cs="Miriam" w:ascii="Miriam" w:hAnsi="Miriam"/>
          <w:b/>
          <w:bCs/>
          <w:lang w:val="en-US" w:eastAsia="en-US"/>
        </w:rPr>
        <w:t>MDMA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אמרו לי שזה אקסטזי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eastAsia="Calibri" w:cs="Arial" w:ascii="Arial" w:hAnsi="Arial"/>
          <w:rtl w:val="true"/>
          <w:lang w:val="en-US" w:eastAsia="en-US"/>
        </w:rPr>
        <w:t xml:space="preserve">., </w:t>
      </w:r>
      <w:r>
        <w:rPr>
          <w:rFonts w:ascii="Arial" w:hAnsi="Arial" w:eastAsia="Calibri" w:cs="Arial"/>
          <w:rtl w:val="true"/>
          <w:lang w:val="en-US" w:eastAsia="en-US"/>
        </w:rPr>
        <w:t>למרות דברים אלה</w:t>
      </w:r>
      <w:r>
        <w:rPr>
          <w:rFonts w:eastAsia="Calibri" w:cs="Arial" w:ascii="Arial" w:hAnsi="Arial"/>
          <w:rtl w:val="true"/>
          <w:lang w:val="en-US" w:eastAsia="en-US"/>
        </w:rPr>
        <w:t>,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אמר המערער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כי הוא לוקח אחריות מלאה על מעשיו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>ושחייו נהרסו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זוגתו עזבה אותו לאחר הפסקת ההיריון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והוא הסב נזקים כספיים למשפחתו ופגע בשמם הטוב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ind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eastAsia="Calibri"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eastAsia="Calibri" w:cs="Arial"/>
          <w:b/>
          <w:bCs/>
          <w:lang w:val="en-US" w:eastAsia="en-US"/>
        </w:rPr>
      </w:pPr>
      <w:r>
        <w:rPr>
          <w:rFonts w:ascii="Arial" w:hAnsi="Arial" w:eastAsia="Calibri" w:cs="Arial"/>
          <w:b/>
          <w:b/>
          <w:bCs/>
          <w:rtl w:val="true"/>
          <w:lang w:val="en-US" w:eastAsia="en-US"/>
        </w:rPr>
        <w:t>גזר הדין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Arial" w:hAnsi="Arial" w:eastAsia="Calibri" w:cs="Arial"/>
          <w:rtl w:val="true"/>
          <w:lang w:val="en-US" w:eastAsia="en-US"/>
        </w:rPr>
        <w:t>ביהמ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 xml:space="preserve">ש עמד בגזר דינו על עקרונותיו של תיקון </w:t>
      </w:r>
      <w:r>
        <w:rPr>
          <w:rFonts w:eastAsia="Calibri" w:cs="Arial" w:ascii="Arial" w:hAnsi="Arial"/>
          <w:lang w:val="en-US" w:eastAsia="en-US"/>
        </w:rPr>
        <w:t>113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ל</w:t>
      </w:r>
      <w:hyperlink r:id="rId22">
        <w:r>
          <w:rPr>
            <w:rStyle w:val="Hyperlink"/>
            <w:rFonts w:ascii="Arial" w:hAnsi="Arial" w:eastAsia="Calibri" w:cs="Arial"/>
            <w:color w:val="0000FF"/>
            <w:u w:val="single"/>
            <w:rtl w:val="true"/>
            <w:lang w:val="en-US" w:eastAsia="en-US"/>
          </w:rPr>
          <w:t>חוק העונשין</w:t>
        </w:r>
      </w:hyperlink>
      <w:r>
        <w:rPr>
          <w:rFonts w:ascii="Arial" w:hAnsi="Arial" w:eastAsia="Calibri" w:cs="Arial"/>
          <w:rtl w:val="true"/>
          <w:lang w:val="en-US" w:eastAsia="en-US"/>
        </w:rPr>
        <w:t xml:space="preserve"> ובעקבותיהם מצא כי יש לקבוע מתחם נפרד לכל אחד מהאישומים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 xml:space="preserve">הדגיש את הערכים המוגנים שנפגעו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>פגיעה בשלום הציבור ובריאותו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ופגיעה משמעותית במרקם חיי החברה עקב פעילות עבריינית נלווית</w:t>
      </w:r>
      <w:r>
        <w:rPr>
          <w:rFonts w:eastAsia="Calibri" w:cs="Arial" w:ascii="Arial" w:hAnsi="Arial"/>
          <w:rtl w:val="true"/>
          <w:lang w:val="en-US" w:eastAsia="en-US"/>
        </w:rPr>
        <w:t xml:space="preserve">); </w:t>
      </w:r>
      <w:r>
        <w:rPr>
          <w:rFonts w:ascii="Arial" w:hAnsi="Arial" w:eastAsia="Calibri" w:cs="Arial"/>
          <w:rtl w:val="true"/>
          <w:lang w:val="en-US" w:eastAsia="en-US"/>
        </w:rPr>
        <w:t>עמד על הגישה העונשית המחמירה בתחום הסמים ועל שיקולי ההרתעה והגמול המהווים חלק בלתי נפרד ממנה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>עמד על ההכרח להילחם מלחמת חורמה בנגע הסמים ובמערך הפצתם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>סקר פסיקה ענפה של הערכאות השונות ביחס לכל אחד מהאישומים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וציין בהתאם כי בעבירה של החזקת סם שלא לצריכה עצמית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>האישומים הראשון והשלישי</w:t>
      </w:r>
      <w:r>
        <w:rPr>
          <w:rFonts w:eastAsia="Calibri"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eastAsia="Calibri" w:cs="Arial"/>
          <w:rtl w:val="true"/>
          <w:lang w:val="en-US" w:eastAsia="en-US"/>
        </w:rPr>
        <w:t xml:space="preserve">הענישה נעה בין </w:t>
      </w:r>
      <w:r>
        <w:rPr>
          <w:rFonts w:eastAsia="Calibri" w:cs="Arial" w:ascii="Arial" w:hAnsi="Arial"/>
          <w:lang w:val="en-US" w:eastAsia="en-US"/>
        </w:rPr>
        <w:t>6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 xml:space="preserve">חודשי עבודות שירות ועד </w:t>
      </w:r>
      <w:r>
        <w:rPr>
          <w:rFonts w:eastAsia="Calibri" w:cs="Arial" w:ascii="Arial" w:hAnsi="Arial"/>
          <w:lang w:val="en-US" w:eastAsia="en-US"/>
        </w:rPr>
        <w:t>16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חודשי מאסר בפועל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ובעבירות של סחר בסמים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>האישום השני</w:t>
      </w:r>
      <w:r>
        <w:rPr>
          <w:rFonts w:eastAsia="Calibri"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eastAsia="Calibri" w:cs="Arial"/>
          <w:rtl w:val="true"/>
          <w:lang w:val="en-US" w:eastAsia="en-US"/>
        </w:rPr>
        <w:t>הענישה נעה בין מספר חודשי מאסר בפועל ועד ל</w:t>
      </w:r>
      <w:r>
        <w:rPr>
          <w:rFonts w:eastAsia="Calibri" w:cs="Arial" w:ascii="Arial" w:hAnsi="Arial"/>
          <w:rtl w:val="true"/>
          <w:lang w:val="en-US" w:eastAsia="en-US"/>
        </w:rPr>
        <w:t>-</w:t>
      </w:r>
      <w:r>
        <w:rPr>
          <w:rFonts w:eastAsia="Calibri" w:cs="Arial" w:ascii="Arial" w:hAnsi="Arial"/>
          <w:lang w:val="en-US" w:eastAsia="en-US"/>
        </w:rPr>
        <w:t>12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חודשי מאסר בפועל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>כנסיבות הקשורות בביצוע העבירות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מנה ביהמ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ש את חלקו המרכזי של המערער בביצוע העבירות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את התכנון המוקדם הנלמד מהיקף הסמים שהוחזקו בביתו וסוגי הסמים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>הגם שאינם נמנים על הסמים הקשים</w:t>
      </w:r>
      <w:r>
        <w:rPr>
          <w:rFonts w:eastAsia="Calibri" w:cs="Arial" w:ascii="Arial" w:hAnsi="Arial"/>
          <w:rtl w:val="true"/>
          <w:lang w:val="en-US" w:eastAsia="en-US"/>
        </w:rPr>
        <w:t xml:space="preserve">); </w:t>
      </w:r>
      <w:r>
        <w:rPr>
          <w:rFonts w:ascii="Arial" w:hAnsi="Arial" w:eastAsia="Calibri" w:cs="Arial"/>
          <w:rtl w:val="true"/>
          <w:lang w:val="en-US" w:eastAsia="en-US"/>
        </w:rPr>
        <w:t xml:space="preserve">קבע 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מתחם עונש כולל</w:t>
      </w:r>
      <w:r>
        <w:rPr>
          <w:rFonts w:eastAsia="Calibri" w:cs="Arial" w:ascii="Arial" w:hAnsi="Arial"/>
          <w:rtl w:val="true"/>
          <w:lang w:val="en-US" w:eastAsia="en-US"/>
        </w:rPr>
        <w:t xml:space="preserve">" </w:t>
      </w:r>
      <w:r>
        <w:rPr>
          <w:rFonts w:ascii="Arial" w:hAnsi="Arial" w:eastAsia="Calibri" w:cs="Arial"/>
          <w:rtl w:val="true"/>
          <w:lang w:val="en-US" w:eastAsia="en-US"/>
        </w:rPr>
        <w:t xml:space="preserve">אשר נע בין </w:t>
      </w:r>
      <w:r>
        <w:rPr>
          <w:rFonts w:eastAsia="Calibri" w:cs="Arial" w:ascii="Arial" w:hAnsi="Arial"/>
          <w:lang w:val="en-US" w:eastAsia="en-US"/>
        </w:rPr>
        <w:t>12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חודשי מאסר ל</w:t>
      </w:r>
      <w:r>
        <w:rPr>
          <w:rFonts w:eastAsia="Calibri" w:cs="Arial" w:ascii="Arial" w:hAnsi="Arial"/>
          <w:rtl w:val="true"/>
          <w:lang w:val="en-US" w:eastAsia="en-US"/>
        </w:rPr>
        <w:t>-</w:t>
      </w:r>
      <w:r>
        <w:rPr>
          <w:rFonts w:eastAsia="Calibri" w:cs="Arial" w:ascii="Arial" w:hAnsi="Arial"/>
          <w:lang w:val="en-US" w:eastAsia="en-US"/>
        </w:rPr>
        <w:t>24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חודשי מאסר בפועל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>ציין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כי אין שיקולים המצדיקים סטייה ממתחם העונש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 xml:space="preserve">שקל את הנימוקים לזכותו של המערער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>כגון לקיחת האחריות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גילו הצעיר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נסיבות חייו הקשות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היציבות שהפגין בחייו למרות הקשיים ומחויבותו למשפחתו</w:t>
      </w:r>
      <w:r>
        <w:rPr>
          <w:rFonts w:eastAsia="Calibri" w:cs="Arial" w:ascii="Arial" w:hAnsi="Arial"/>
          <w:rtl w:val="true"/>
          <w:lang w:val="en-US" w:eastAsia="en-US"/>
        </w:rPr>
        <w:t xml:space="preserve">); </w:t>
      </w:r>
      <w:r>
        <w:rPr>
          <w:rFonts w:ascii="Arial" w:hAnsi="Arial" w:eastAsia="Calibri" w:cs="Arial"/>
          <w:rtl w:val="true"/>
          <w:lang w:val="en-US" w:eastAsia="en-US"/>
        </w:rPr>
        <w:t xml:space="preserve">אך גם ציין את הנסיבות לחומרה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>כגון שיקולי הרתעה בשים לב לחומרת העבירות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העבר הפלילי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הסירוב לטיפול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הערכת שירות המבחן כי ניסה לזייף בדיקת שתן והתרשמותו כי ישתמש בסמים ויבצע עבירות דומות בעתיק ללא טיפול</w:t>
      </w:r>
      <w:r>
        <w:rPr>
          <w:rFonts w:eastAsia="Calibri" w:cs="Arial" w:ascii="Arial" w:hAnsi="Arial"/>
          <w:rtl w:val="true"/>
          <w:lang w:val="en-US" w:eastAsia="en-US"/>
        </w:rPr>
        <w:t xml:space="preserve">); </w:t>
      </w:r>
      <w:r>
        <w:rPr>
          <w:rFonts w:ascii="Arial" w:hAnsi="Arial" w:eastAsia="Calibri" w:cs="Arial"/>
          <w:rtl w:val="true"/>
          <w:lang w:val="en-US" w:eastAsia="en-US"/>
        </w:rPr>
        <w:t>קבע כי ניתן להסתפק ברף התחתון של הענישה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>ודן את המערער ל</w:t>
      </w:r>
      <w:r>
        <w:rPr>
          <w:rFonts w:eastAsia="Calibri" w:cs="Arial" w:ascii="Arial" w:hAnsi="Arial"/>
          <w:rtl w:val="true"/>
          <w:lang w:val="en-US" w:eastAsia="en-US"/>
        </w:rPr>
        <w:t>-</w:t>
      </w:r>
      <w:r>
        <w:rPr>
          <w:rFonts w:eastAsia="Calibri" w:cs="Arial" w:ascii="Arial" w:hAnsi="Arial"/>
          <w:lang w:val="en-US" w:eastAsia="en-US"/>
        </w:rPr>
        <w:t>12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חודשי מאסר בפועל ולעונשים נלווים כמצוין לעיל</w:t>
      </w:r>
      <w:r>
        <w:rPr>
          <w:rFonts w:eastAsia="Calibri"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eastAsia="Calibri" w:cs="Arial" w:ascii="Arial" w:hAnsi="Arial"/>
          <w:rtl w:val="true"/>
          <w:lang w:val="en-US" w:eastAsia="en-US"/>
        </w:rPr>
      </w:r>
    </w:p>
    <w:p>
      <w:pPr>
        <w:pStyle w:val="Normal"/>
        <w:spacing w:lineRule="auto" w:line="254"/>
        <w:ind w:end="0"/>
        <w:jc w:val="both"/>
        <w:rPr>
          <w:rFonts w:ascii="Calibri" w:hAnsi="Calibri" w:eastAsia="Calibri"/>
          <w:b/>
          <w:bCs/>
          <w:u w:val="single"/>
          <w:lang w:val="en-US" w:eastAsia="en-US"/>
        </w:rPr>
      </w:pPr>
      <w:r>
        <w:rPr>
          <w:rFonts w:ascii="Calibri" w:hAnsi="Calibri" w:eastAsia="Calibri" w:cs="Arial"/>
          <w:b/>
          <w:b/>
          <w:bCs/>
          <w:u w:val="single"/>
          <w:rtl w:val="true"/>
          <w:lang w:val="en-US" w:eastAsia="en-US"/>
        </w:rPr>
        <w:t>הערעור</w:t>
      </w:r>
      <w:r>
        <w:rPr>
          <w:rFonts w:ascii="Calibri" w:hAnsi="Calibri" w:eastAsia="Calibri" w:cs="Calibri"/>
          <w:b/>
          <w:b/>
          <w:bCs/>
          <w:u w:val="single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b/>
          <w:b/>
          <w:bCs/>
          <w:u w:val="single"/>
          <w:rtl w:val="true"/>
          <w:lang w:val="en-US" w:eastAsia="en-US"/>
        </w:rPr>
        <w:t>–</w:t>
      </w:r>
      <w:r>
        <w:rPr>
          <w:rFonts w:ascii="Calibri" w:hAnsi="Calibri" w:eastAsia="Calibri" w:cs="Calibri"/>
          <w:b/>
          <w:b/>
          <w:bCs/>
          <w:u w:val="single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b/>
          <w:b/>
          <w:bCs/>
          <w:u w:val="single"/>
          <w:rtl w:val="true"/>
          <w:lang w:val="en-US" w:eastAsia="en-US"/>
        </w:rPr>
        <w:t>טענות</w:t>
      </w:r>
      <w:r>
        <w:rPr>
          <w:rFonts w:ascii="Calibri" w:hAnsi="Calibri" w:eastAsia="Calibri" w:cs="Calibri"/>
          <w:b/>
          <w:b/>
          <w:bCs/>
          <w:u w:val="single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b/>
          <w:b/>
          <w:bCs/>
          <w:u w:val="single"/>
          <w:rtl w:val="true"/>
          <w:lang w:val="en-US" w:eastAsia="en-US"/>
        </w:rPr>
        <w:t>הצדדים</w:t>
      </w:r>
    </w:p>
    <w:p>
      <w:pPr>
        <w:pStyle w:val="Normal"/>
        <w:spacing w:lineRule="auto" w:line="254"/>
        <w:ind w:end="0"/>
        <w:jc w:val="both"/>
        <w:rPr>
          <w:rFonts w:ascii="Calibri" w:hAnsi="Calibri" w:eastAsia="Calibri" w:cs="Arial"/>
          <w:b/>
          <w:bCs/>
          <w:u w:val="single"/>
          <w:lang w:val="en-US" w:eastAsia="en-US"/>
        </w:rPr>
      </w:pPr>
      <w:r>
        <w:rPr>
          <w:rFonts w:eastAsia="Calibri" w:cs="Arial" w:ascii="Calibri" w:hAnsi="Calibri"/>
          <w:b/>
          <w:bCs/>
          <w:u w:val="single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ascii="Calibri" w:hAnsi="Calibri" w:eastAsia="Calibri" w:cs="Arial"/>
          <w:rtl w:val="true"/>
          <w:lang w:val="en-US" w:eastAsia="en-US"/>
        </w:rPr>
        <w:t>טענותיו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העיקריות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כ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הן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ביהמ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שגה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כשקבע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שיש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לקבוע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מתחמים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שונים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לכל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אישום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ראה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בכלל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האישומים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מסכת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עבריינית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אחת</w:t>
      </w:r>
      <w:r>
        <w:rPr>
          <w:rFonts w:eastAsia="Calibri" w:cs="Arial" w:ascii="Calibri" w:hAnsi="Calibri"/>
          <w:rtl w:val="true"/>
          <w:lang w:val="en-US" w:eastAsia="en-US"/>
        </w:rPr>
        <w:t xml:space="preserve">";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קביעה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זו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הביאה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ביהמ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לקבוע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מתחם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ענישה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נוקשה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תואם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עם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רצפה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נוקשה</w:t>
      </w:r>
      <w:r>
        <w:rPr>
          <w:rFonts w:eastAsia="Calibri" w:cs="Arial" w:ascii="Calibri" w:hAnsi="Calibri"/>
          <w:rtl w:val="true"/>
          <w:lang w:val="en-US" w:eastAsia="en-US"/>
        </w:rPr>
        <w:t xml:space="preserve">"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lang w:val="en-US" w:eastAsia="en-US"/>
        </w:rPr>
        <w:t>12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חודשי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מאסר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ותקרה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lang w:val="en-US" w:eastAsia="en-US"/>
        </w:rPr>
        <w:t>24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חודשים</w:t>
      </w:r>
      <w:r>
        <w:rPr>
          <w:rFonts w:eastAsia="Calibri" w:cs="Arial" w:ascii="Calibri" w:hAnsi="Calibri"/>
          <w:rtl w:val="true"/>
          <w:lang w:val="en-US" w:eastAsia="en-US"/>
        </w:rPr>
        <w:t xml:space="preserve">;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העבירות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בהן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הורשע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החזקת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סם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לצריכה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עצמית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וסחר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בסמים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קשורות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זו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בזו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מעצם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טיבן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הן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מההיבט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המהותי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גם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מנוסח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כתב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האישום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rtl w:val="true"/>
          <w:lang w:val="en-US" w:eastAsia="en-US"/>
        </w:rPr>
        <w:t>(</w:t>
      </w:r>
      <w:r>
        <w:rPr>
          <w:rFonts w:ascii="Calibri" w:hAnsi="Calibri" w:eastAsia="Calibri" w:cs="Arial"/>
          <w:rtl w:val="true"/>
          <w:lang w:val="en-US" w:eastAsia="en-US"/>
        </w:rPr>
        <w:t>מהיבט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סמיכות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זמנים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קירבה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גיאוגרפית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וסוגי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הסמים</w:t>
      </w:r>
      <w:r>
        <w:rPr>
          <w:rFonts w:eastAsia="Calibri" w:cs="Arial" w:ascii="Calibri" w:hAnsi="Calibri"/>
          <w:rtl w:val="true"/>
          <w:lang w:val="en-US" w:eastAsia="en-US"/>
        </w:rPr>
        <w:t xml:space="preserve">);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בפסיקה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נקבעו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מתחמי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ענישה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מקלים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יותר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וכי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ביהמ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הושפע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מהוראות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החיקוק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בהן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הורשע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מנסיבות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ביצוע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העבירות</w:t>
      </w:r>
      <w:r>
        <w:rPr>
          <w:rFonts w:eastAsia="Calibri" w:cs="Arial" w:ascii="Calibri" w:hAnsi="Calibri"/>
          <w:rtl w:val="true"/>
          <w:lang w:val="en-US" w:eastAsia="en-US"/>
        </w:rPr>
        <w:t xml:space="preserve">; </w:t>
      </w:r>
      <w:r>
        <w:rPr>
          <w:rFonts w:ascii="Calibri" w:hAnsi="Calibri" w:eastAsia="Calibri" w:cs="Arial"/>
          <w:rtl w:val="true"/>
          <w:lang w:val="en-US" w:eastAsia="en-US"/>
        </w:rPr>
        <w:t>שגה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בכך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מצא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לסטות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לקולא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מהמתחם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שקבע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קיבל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המלצות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המבחן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לענישה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בדרך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עבודות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שירות</w:t>
      </w:r>
      <w:r>
        <w:rPr>
          <w:rFonts w:eastAsia="Calibri" w:cs="Arial" w:ascii="Calibri" w:hAnsi="Calibri"/>
          <w:rtl w:val="true"/>
          <w:lang w:val="en-US" w:eastAsia="en-US"/>
        </w:rPr>
        <w:t xml:space="preserve">; </w:t>
      </w:r>
      <w:r>
        <w:rPr>
          <w:rFonts w:ascii="Calibri" w:hAnsi="Calibri" w:eastAsia="Calibri" w:cs="Arial"/>
          <w:rtl w:val="true"/>
          <w:lang w:val="en-US" w:eastAsia="en-US"/>
        </w:rPr>
        <w:t>שגה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כאשר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העדיף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שיקולי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גמול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והתעלם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ממאפייני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העושה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הגם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שהעבירות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שביצע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הינן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ברף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הנמוך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עבירות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הסמים</w:t>
      </w:r>
      <w:r>
        <w:rPr>
          <w:rFonts w:eastAsia="Calibri" w:cs="Arial" w:ascii="Calibri" w:hAnsi="Calibri"/>
          <w:rtl w:val="true"/>
          <w:lang w:val="en-US" w:eastAsia="en-US"/>
        </w:rPr>
        <w:t xml:space="preserve">; </w:t>
      </w:r>
      <w:r>
        <w:rPr>
          <w:rFonts w:ascii="Calibri" w:hAnsi="Calibri" w:eastAsia="Calibri" w:cs="Arial"/>
          <w:rtl w:val="true"/>
          <w:lang w:val="en-US" w:eastAsia="en-US"/>
        </w:rPr>
        <w:t>הסנגור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הדגיש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הקרבה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המספרית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עונש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המאסר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שהושת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rtl w:val="true"/>
          <w:lang w:val="en-US" w:eastAsia="en-US"/>
        </w:rPr>
        <w:t>(</w:t>
      </w:r>
      <w:r>
        <w:rPr>
          <w:rFonts w:ascii="Calibri" w:hAnsi="Calibri" w:eastAsia="Calibri" w:cs="Arial"/>
          <w:rtl w:val="true"/>
          <w:lang w:val="en-US" w:eastAsia="en-US"/>
        </w:rPr>
        <w:t>בניכוי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ימי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המעצר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lang w:val="en-US" w:eastAsia="en-US"/>
        </w:rPr>
        <w:t>10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חודשים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</w:t>
      </w:r>
      <w:r>
        <w:rPr>
          <w:rFonts w:eastAsia="Calibri" w:cs="Arial" w:ascii="Calibri" w:hAnsi="Calibri"/>
          <w:rtl w:val="true"/>
          <w:lang w:val="en-US" w:eastAsia="en-US"/>
        </w:rPr>
        <w:t>-</w:t>
      </w:r>
      <w:r>
        <w:rPr>
          <w:rFonts w:eastAsia="Calibri" w:cs="Arial" w:ascii="Calibri" w:hAnsi="Calibri"/>
          <w:lang w:val="en-US" w:eastAsia="en-US"/>
        </w:rPr>
        <w:t>21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ימים</w:t>
      </w:r>
      <w:r>
        <w:rPr>
          <w:rFonts w:eastAsia="Calibri" w:cs="Arial" w:ascii="Calibri" w:hAnsi="Calibri"/>
          <w:rtl w:val="true"/>
          <w:lang w:val="en-US" w:eastAsia="en-US"/>
        </w:rPr>
        <w:t xml:space="preserve">) </w:t>
      </w:r>
      <w:r>
        <w:rPr>
          <w:rFonts w:ascii="Calibri" w:hAnsi="Calibri" w:eastAsia="Calibri" w:cs="Arial"/>
          <w:rtl w:val="true"/>
          <w:lang w:val="en-US" w:eastAsia="en-US"/>
        </w:rPr>
        <w:t>לעונש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שניתן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לרצות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בעבודות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שירות</w:t>
      </w:r>
      <w:r>
        <w:rPr>
          <w:rFonts w:eastAsia="Calibri" w:cs="Arial" w:ascii="Calibri" w:hAnsi="Calibri"/>
          <w:rtl w:val="true"/>
          <w:lang w:val="en-US" w:eastAsia="en-US"/>
        </w:rPr>
        <w:t xml:space="preserve">; </w:t>
      </w:r>
      <w:r>
        <w:rPr>
          <w:rFonts w:ascii="Calibri" w:hAnsi="Calibri" w:eastAsia="Calibri" w:cs="Arial"/>
          <w:rtl w:val="true"/>
          <w:lang w:val="en-US" w:eastAsia="en-US"/>
        </w:rPr>
        <w:t>וטען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ביהמ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שגה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גם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בכך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נתן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המשקל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הראוי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לנסיבותיו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eastAsia="Calibri"/>
          <w:lang w:val="en-US" w:eastAsia="en-US"/>
        </w:rPr>
      </w:pPr>
      <w:r>
        <w:rPr>
          <w:rFonts w:ascii="Calibri" w:hAnsi="Calibri" w:eastAsia="Calibri" w:cs="Arial"/>
          <w:rtl w:val="true"/>
          <w:lang w:val="en-US" w:eastAsia="en-US"/>
        </w:rPr>
        <w:t>ב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כ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הוסיף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יש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להקל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בעונשו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לאור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ההליך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השיקומי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אותו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החל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לאחר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סיום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ההליכים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בבימ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קמא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לטענתו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הביע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נכונות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להשתלב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בהליך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טיפולי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כבר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במסגרת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התסקיר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הראשון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אולם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מששולב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בית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חוסן</w:t>
      </w:r>
      <w:r>
        <w:rPr>
          <w:rFonts w:eastAsia="Calibri" w:cs="Arial" w:ascii="Calibri" w:hAnsi="Calibri"/>
          <w:rtl w:val="true"/>
          <w:lang w:val="en-US" w:eastAsia="en-US"/>
        </w:rPr>
        <w:t xml:space="preserve">", </w:t>
      </w:r>
      <w:r>
        <w:rPr>
          <w:rFonts w:ascii="Calibri" w:hAnsi="Calibri" w:eastAsia="Calibri" w:cs="Arial"/>
          <w:rtl w:val="true"/>
          <w:lang w:val="en-US" w:eastAsia="en-US"/>
        </w:rPr>
        <w:t>נוצר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אצלו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דיסוננס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תפיסתו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עצמו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לבין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תפיסתו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המטופלים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האחרים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ועל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רקע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זה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טעה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המבחן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לחשוב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קיימת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אצלו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בשלות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לטיפול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לדבריו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בחודשים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האחרונים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פנה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באופן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עצמאי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ויזום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למרכז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התמכרויות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בירוחם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בניסיון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לערוך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שינוי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בחייו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ולצאת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ממעגל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הסמים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אליו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נקלע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בדיון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שהתקיים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בפנינו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עדכן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כ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כבר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החל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בהליך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שיקומי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אינטנסיבי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בתדירות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 </w:t>
      </w:r>
      <w:r>
        <w:rPr>
          <w:rFonts w:eastAsia="Calibri" w:cs="Arial" w:ascii="Calibri" w:hAnsi="Calibri"/>
          <w:lang w:val="en-US" w:eastAsia="en-US"/>
        </w:rPr>
        <w:t>4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ימים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בשבוע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השעות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lang w:val="en-US" w:eastAsia="en-US"/>
        </w:rPr>
        <w:t>08:30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</w:t>
      </w:r>
      <w:r>
        <w:rPr>
          <w:rFonts w:eastAsia="Calibri" w:cs="Arial" w:ascii="Calibri" w:hAnsi="Calibri"/>
          <w:rtl w:val="true"/>
          <w:lang w:val="en-US" w:eastAsia="en-US"/>
        </w:rPr>
        <w:t>-</w:t>
      </w:r>
      <w:r>
        <w:rPr>
          <w:rFonts w:eastAsia="Calibri" w:cs="Arial" w:ascii="Calibri" w:hAnsi="Calibri"/>
          <w:lang w:val="en-US" w:eastAsia="en-US"/>
        </w:rPr>
        <w:t>13:30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בדיקות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השתן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שמסר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נמצאו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נקיות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משרידי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סם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הסנגור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עתר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לאפשר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למשיב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למצות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ההליך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הטיפולי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דבר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שיביא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תועלת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עצמו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ולחברה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כולה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ולשם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ביקש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שיוגש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עליו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תסקיר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מעודכן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מטעם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המבחן</w:t>
      </w:r>
      <w:r>
        <w:rPr>
          <w:rFonts w:eastAsia="Calibri" w:cs="Arial" w:ascii="Calibri" w:hAnsi="Calibri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Calibri" w:hAnsi="Calibri" w:eastAsia="Calibri" w:cs="Arial"/>
          <w:lang w:val="en-US" w:eastAsia="en-US"/>
        </w:rPr>
      </w:pPr>
      <w:r>
        <w:rPr>
          <w:rFonts w:ascii="Calibri" w:hAnsi="Calibri" w:eastAsia="Calibri" w:cs="Arial"/>
          <w:rtl w:val="true"/>
          <w:lang w:val="en-US" w:eastAsia="en-US"/>
        </w:rPr>
        <w:t>אשר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לעונש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הפסילה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שהושת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טען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כ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eastAsia="Calibri" w:cs="Arial" w:ascii="Calibri" w:hAnsi="Calibri"/>
          <w:rtl w:val="true"/>
          <w:lang w:val="en-US" w:eastAsia="en-US"/>
        </w:rPr>
        <w:t>,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השתת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עונש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פסילה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מותנית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בגין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עבירות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מהתוספת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הראשונה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והשנייה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</w:t>
      </w:r>
      <w:hyperlink r:id="rId23">
        <w:r>
          <w:rPr>
            <w:rStyle w:val="Hyperlink"/>
            <w:rFonts w:ascii="Calibri" w:hAnsi="Calibri" w:eastAsia="Calibri" w:cs="Arial"/>
            <w:color w:val="0000FF"/>
            <w:u w:val="single"/>
            <w:rtl w:val="true"/>
            <w:lang w:val="en-US" w:eastAsia="en-US"/>
          </w:rPr>
          <w:t>פקודת</w:t>
        </w:r>
        <w:r>
          <w:rPr>
            <w:rStyle w:val="Hyperlink"/>
            <w:rFonts w:ascii="Calibri" w:hAnsi="Calibri" w:eastAsia="Calibri" w:cs="Calibri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ascii="Calibri" w:hAnsi="Calibri" w:eastAsia="Calibri" w:cs="Arial"/>
            <w:color w:val="0000FF"/>
            <w:u w:val="single"/>
            <w:rtl w:val="true"/>
            <w:lang w:val="en-US" w:eastAsia="en-US"/>
          </w:rPr>
          <w:t>התעבורה</w:t>
        </w:r>
      </w:hyperlink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כאשר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הורשע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בעבירת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תעבורה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הסתייע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ברכב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מנת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לבצע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העבירות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ומבלי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להציג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עברו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התעבורתי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היה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מוטעה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אכן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גם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לעמדת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הסנגור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hyperlink r:id="rId24">
        <w:r>
          <w:rPr>
            <w:rStyle w:val="Hyperlink"/>
            <w:rFonts w:ascii="Calibri" w:hAnsi="Calibri" w:eastAsia="Calibri" w:cs="Arial"/>
            <w:rtl w:val="true"/>
            <w:lang w:val="en-US" w:eastAsia="en-US"/>
          </w:rPr>
          <w:t>סעיף</w:t>
        </w:r>
        <w:r>
          <w:rPr>
            <w:rStyle w:val="Hyperlink"/>
            <w:rFonts w:ascii="Calibri" w:hAnsi="Calibri" w:eastAsia="Calibri" w:cs="Calibri"/>
            <w:rtl w:val="true"/>
            <w:lang w:val="en-US" w:eastAsia="en-US"/>
          </w:rPr>
          <w:t xml:space="preserve"> </w:t>
        </w:r>
        <w:r>
          <w:rPr>
            <w:rStyle w:val="Hyperlink"/>
            <w:rFonts w:eastAsia="Calibri" w:cs="Arial" w:ascii="Calibri" w:hAnsi="Calibri"/>
            <w:lang w:val="en-US" w:eastAsia="en-US"/>
          </w:rPr>
          <w:t>36</w:t>
        </w:r>
        <w:r>
          <w:rPr>
            <w:rStyle w:val="Hyperlink"/>
            <w:rFonts w:eastAsia="Calibri" w:cs="Arial" w:ascii="Calibri" w:hAnsi="Calibri"/>
            <w:rtl w:val="true"/>
            <w:lang w:val="en-US" w:eastAsia="en-US"/>
          </w:rPr>
          <w:t>(</w:t>
        </w:r>
        <w:r>
          <w:rPr>
            <w:rStyle w:val="Hyperlink"/>
            <w:rFonts w:ascii="Calibri" w:hAnsi="Calibri" w:eastAsia="Calibri" w:cs="Arial"/>
            <w:rtl w:val="true"/>
            <w:lang w:val="en-US" w:eastAsia="en-US"/>
          </w:rPr>
          <w:t>ג</w:t>
        </w:r>
        <w:r>
          <w:rPr>
            <w:rStyle w:val="Hyperlink"/>
            <w:rFonts w:eastAsia="Calibri" w:cs="Arial" w:ascii="Calibri" w:hAnsi="Calibri"/>
            <w:rtl w:val="true"/>
            <w:lang w:val="en-US" w:eastAsia="en-US"/>
          </w:rPr>
          <w:t>)</w:t>
        </w:r>
      </w:hyperlink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</w:t>
      </w:r>
      <w:hyperlink r:id="rId25">
        <w:r>
          <w:rPr>
            <w:rStyle w:val="Hyperlink"/>
            <w:rFonts w:ascii="Calibri" w:hAnsi="Calibri" w:eastAsia="Calibri" w:cs="Arial"/>
            <w:color w:val="0000FF"/>
            <w:u w:val="single"/>
            <w:rtl w:val="true"/>
            <w:lang w:val="en-US" w:eastAsia="en-US"/>
          </w:rPr>
          <w:t>פקודת</w:t>
        </w:r>
        <w:r>
          <w:rPr>
            <w:rStyle w:val="Hyperlink"/>
            <w:rFonts w:ascii="Calibri" w:hAnsi="Calibri" w:eastAsia="Calibri" w:cs="Calibri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ascii="Calibri" w:hAnsi="Calibri" w:eastAsia="Calibri" w:cs="Arial"/>
            <w:color w:val="0000FF"/>
            <w:u w:val="single"/>
            <w:rtl w:val="true"/>
            <w:lang w:val="en-US" w:eastAsia="en-US"/>
          </w:rPr>
          <w:t>התעבורה</w:t>
        </w:r>
      </w:hyperlink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קובע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חזקה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פסילה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תנאי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תחול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עבירה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הודה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נאשם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העבירות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המנויות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בתוספת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הראשונה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והשנייה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אלא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 </w:t>
      </w:r>
      <w:r>
        <w:rPr>
          <w:rFonts w:ascii="Calibri" w:hAnsi="Calibri" w:eastAsia="Calibri" w:cs="Arial"/>
          <w:rtl w:val="true"/>
          <w:lang w:val="en-US" w:eastAsia="en-US"/>
        </w:rPr>
        <w:t>בימ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קמא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היה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לנמק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תוצאה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זו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שעה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שאין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זיקה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העבירות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בהן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הורשע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לבין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העבירות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המנויות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בתוספת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eastAsia="Calibri" w:cs="Arial"/>
          <w:lang w:val="en-US" w:eastAsia="en-US"/>
        </w:rPr>
      </w:pPr>
      <w:r>
        <w:rPr>
          <w:rFonts w:eastAsia="Calibri" w:cs="Arial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ascii="Calibri" w:hAnsi="Calibri" w:eastAsia="Calibri" w:cs="Arial"/>
          <w:rtl w:val="true"/>
          <w:lang w:val="en-US" w:eastAsia="en-US"/>
        </w:rPr>
        <w:t>לעומתו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טען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b/>
          <w:b/>
          <w:bCs/>
          <w:rtl w:val="true"/>
          <w:lang w:val="en-US" w:eastAsia="en-US"/>
        </w:rPr>
        <w:t>ב</w:t>
      </w:r>
      <w:r>
        <w:rPr>
          <w:rFonts w:eastAsia="Calibri" w:cs="Arial" w:ascii="Calibri" w:hAnsi="Calibri"/>
          <w:b/>
          <w:bCs/>
          <w:rtl w:val="true"/>
          <w:lang w:val="en-US" w:eastAsia="en-US"/>
        </w:rPr>
        <w:t>"</w:t>
      </w:r>
      <w:r>
        <w:rPr>
          <w:rFonts w:ascii="Calibri" w:hAnsi="Calibri" w:eastAsia="Calibri" w:cs="Arial"/>
          <w:b/>
          <w:b/>
          <w:bCs/>
          <w:rtl w:val="true"/>
          <w:lang w:val="en-US" w:eastAsia="en-US"/>
        </w:rPr>
        <w:t>כ</w:t>
      </w:r>
      <w:r>
        <w:rPr>
          <w:rFonts w:ascii="Calibri" w:hAnsi="Calibri" w:eastAsia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b/>
          <w:b/>
          <w:bCs/>
          <w:rtl w:val="true"/>
          <w:lang w:val="en-US" w:eastAsia="en-US"/>
        </w:rPr>
        <w:t>המשיבה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התנהלותו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הכוללת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אינה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חורגת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מהתנהגות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סוחר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סמים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קלאסי</w:t>
      </w:r>
      <w:r>
        <w:rPr>
          <w:rFonts w:eastAsia="Calibri" w:cs="Arial" w:ascii="Calibri" w:hAnsi="Calibri"/>
          <w:rtl w:val="true"/>
          <w:lang w:val="en-US" w:eastAsia="en-US"/>
        </w:rPr>
        <w:t xml:space="preserve">". </w:t>
      </w:r>
      <w:r>
        <w:rPr>
          <w:rFonts w:ascii="Calibri" w:hAnsi="Calibri" w:eastAsia="Calibri" w:cs="Arial"/>
          <w:rtl w:val="true"/>
          <w:lang w:val="en-US" w:eastAsia="en-US"/>
        </w:rPr>
        <w:t>לדבריו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החזיק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בביתו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סוגים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שונים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סם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בכוונה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למכור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אותם</w:t>
      </w:r>
      <w:r>
        <w:rPr>
          <w:rFonts w:eastAsia="Calibri" w:cs="Arial" w:ascii="Calibri" w:hAnsi="Calibri"/>
          <w:rtl w:val="true"/>
          <w:lang w:val="en-US" w:eastAsia="en-US"/>
        </w:rPr>
        <w:t xml:space="preserve">; </w:t>
      </w:r>
      <w:r>
        <w:rPr>
          <w:rFonts w:ascii="Calibri" w:hAnsi="Calibri" w:eastAsia="Calibri" w:cs="Arial"/>
          <w:rtl w:val="true"/>
          <w:lang w:val="en-US" w:eastAsia="en-US"/>
        </w:rPr>
        <w:t>העונש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שהוטל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עליו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ראוי</w:t>
      </w:r>
      <w:r>
        <w:rPr>
          <w:rFonts w:eastAsia="Calibri" w:cs="Arial" w:ascii="Calibri" w:hAnsi="Calibri"/>
          <w:rtl w:val="true"/>
          <w:lang w:val="en-US" w:eastAsia="en-US"/>
        </w:rPr>
        <w:t xml:space="preserve">; </w:t>
      </w:r>
      <w:r>
        <w:rPr>
          <w:rFonts w:ascii="Calibri" w:hAnsi="Calibri" w:eastAsia="Calibri" w:cs="Arial"/>
          <w:rtl w:val="true"/>
          <w:lang w:val="en-US" w:eastAsia="en-US"/>
        </w:rPr>
        <w:t>ההליך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השיקומי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חשיבות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מכרעת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מכיוון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הפסיק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גם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לדבריו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השימוש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</w:t>
      </w:r>
      <w:r>
        <w:rPr>
          <w:rFonts w:ascii="Calibri" w:hAnsi="Calibri" w:eastAsia="Calibri" w:cs="Arial"/>
          <w:rtl w:val="true"/>
          <w:lang w:val="en-US" w:eastAsia="en-US"/>
        </w:rPr>
        <w:t>קנבוס</w:t>
      </w:r>
      <w:r>
        <w:rPr>
          <w:rFonts w:ascii="Calibri" w:hAnsi="Calibri" w:eastAsia="Calibri" w:cs="Calibri"/>
          <w:rtl w:val="true"/>
          <w:lang w:val="en-US" w:eastAsia="en-US"/>
        </w:rPr>
        <w:t xml:space="preserve">  </w:t>
      </w:r>
      <w:r>
        <w:rPr>
          <w:rFonts w:ascii="Calibri" w:hAnsi="Calibri" w:eastAsia="Calibri" w:cs="Arial"/>
          <w:rtl w:val="true"/>
          <w:lang w:val="en-US" w:eastAsia="en-US"/>
        </w:rPr>
        <w:t>בכוחות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עצמו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שהעבירות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בוצעו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השימוש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מתוך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רצון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לרווח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כספי</w:t>
      </w:r>
      <w:r>
        <w:rPr>
          <w:rFonts w:eastAsia="Calibri" w:cs="Arial" w:ascii="Calibri" w:hAnsi="Calibri"/>
          <w:rtl w:val="true"/>
          <w:lang w:val="en-US" w:eastAsia="en-US"/>
        </w:rPr>
        <w:t xml:space="preserve">; </w:t>
      </w:r>
      <w:r>
        <w:rPr>
          <w:rFonts w:ascii="Calibri" w:hAnsi="Calibri" w:eastAsia="Calibri" w:cs="Arial"/>
          <w:rtl w:val="true"/>
          <w:lang w:val="en-US" w:eastAsia="en-US"/>
        </w:rPr>
        <w:t>ובכל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מקרה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ההליך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השיקומי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החל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מצדיק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חריגה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מהמתחם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rtl w:val="true"/>
          <w:lang w:val="en-US" w:eastAsia="en-US"/>
        </w:rPr>
        <w:t>(</w:t>
      </w:r>
      <w:r>
        <w:rPr>
          <w:rFonts w:ascii="Calibri" w:hAnsi="Calibri" w:eastAsia="Calibri" w:cs="Arial"/>
          <w:rtl w:val="true"/>
          <w:lang w:val="en-US" w:eastAsia="en-US"/>
        </w:rPr>
        <w:t>גם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יסודו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שגוי</w:t>
      </w:r>
      <w:r>
        <w:rPr>
          <w:rFonts w:eastAsia="Calibri" w:cs="Arial" w:ascii="Calibri" w:hAnsi="Calibri"/>
          <w:rtl w:val="true"/>
          <w:lang w:val="en-US" w:eastAsia="en-US"/>
        </w:rPr>
        <w:t xml:space="preserve">). </w:t>
      </w:r>
    </w:p>
    <w:p>
      <w:pPr>
        <w:pStyle w:val="Normal"/>
        <w:ind w:end="0"/>
        <w:jc w:val="both"/>
        <w:rPr>
          <w:rFonts w:ascii="Arial" w:hAnsi="Arial" w:eastAsia="Calibri" w:cs="Arial"/>
          <w:b/>
          <w:bCs/>
          <w:u w:val="single"/>
          <w:lang w:val="en-US" w:eastAsia="en-US"/>
        </w:rPr>
      </w:pPr>
      <w:r>
        <w:rPr>
          <w:rFonts w:eastAsia="Calibri" w:cs="Arial" w:ascii="Arial" w:hAnsi="Arial"/>
          <w:b/>
          <w:bCs/>
          <w:u w:val="single"/>
          <w:rtl w:val="true"/>
          <w:lang w:val="en-US" w:eastAsia="en-US"/>
        </w:rPr>
      </w:r>
    </w:p>
    <w:p>
      <w:pPr>
        <w:pStyle w:val="Normal"/>
        <w:spacing w:lineRule="auto" w:line="254"/>
        <w:ind w:end="0"/>
        <w:jc w:val="both"/>
        <w:rPr>
          <w:rFonts w:ascii="Arial" w:hAnsi="Arial" w:eastAsia="Calibri" w:cs="Arial"/>
          <w:b/>
          <w:bCs/>
          <w:u w:val="single"/>
          <w:lang w:val="en-US" w:eastAsia="en-US"/>
        </w:rPr>
      </w:pPr>
      <w:r>
        <w:rPr>
          <w:rFonts w:ascii="Arial" w:hAnsi="Arial" w:eastAsia="Calibri" w:cs="Arial"/>
          <w:b/>
          <w:b/>
          <w:bCs/>
          <w:u w:val="single"/>
          <w:rtl w:val="true"/>
          <w:lang w:val="en-US" w:eastAsia="en-US"/>
        </w:rPr>
        <w:t xml:space="preserve">דיון והכרעה </w:t>
      </w:r>
    </w:p>
    <w:p>
      <w:pPr>
        <w:pStyle w:val="Normal"/>
        <w:spacing w:lineRule="auto" w:line="254"/>
        <w:ind w:end="0"/>
        <w:jc w:val="both"/>
        <w:rPr>
          <w:rFonts w:ascii="Arial" w:hAnsi="Arial" w:eastAsia="Calibri" w:cs="Arial"/>
          <w:b/>
          <w:bCs/>
          <w:spacing w:val="10"/>
          <w:u w:val="single"/>
          <w:lang w:val="en-US" w:eastAsia="en-US"/>
        </w:rPr>
      </w:pPr>
      <w:r>
        <w:rPr>
          <w:rFonts w:eastAsia="Calibri" w:cs="Arial" w:ascii="Arial" w:hAnsi="Arial"/>
          <w:b/>
          <w:bCs/>
          <w:spacing w:val="10"/>
          <w:u w:val="single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Calibri" w:hAnsi="Calibri" w:eastAsia="Calibri"/>
          <w:lang w:val="en-US" w:eastAsia="en-US"/>
        </w:rPr>
      </w:pPr>
      <w:r>
        <w:rPr>
          <w:rFonts w:ascii="Calibri" w:hAnsi="Calibri" w:eastAsia="Calibri" w:cs="Arial"/>
          <w:rtl w:val="true"/>
          <w:lang w:val="en-US" w:eastAsia="en-US"/>
        </w:rPr>
        <w:t>לאחר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שעיינו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בהודעת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הערעור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ובתיק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ביהמ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קמא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ולאחר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ששמענו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הצדדים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נחה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דעתנו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דין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הערעור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להידחות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לעניין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זה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ניתן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היה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להסתפק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באמירה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חדה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וברורה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עונש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lang w:val="en-US" w:eastAsia="en-US"/>
        </w:rPr>
        <w:t>12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חודשי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מאסר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בפועל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בגין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העבירות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החמורות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אותן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ביצע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רק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שאיננו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מחמיר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eastAsia="Calibri" w:cs="Arial" w:ascii="Calibri" w:hAnsi="Calibri"/>
          <w:rtl w:val="true"/>
          <w:lang w:val="en-US" w:eastAsia="en-US"/>
        </w:rPr>
        <w:t xml:space="preserve">; </w:t>
      </w:r>
      <w:r>
        <w:rPr>
          <w:rFonts w:ascii="Calibri" w:hAnsi="Calibri" w:eastAsia="Calibri" w:cs="Arial"/>
          <w:rtl w:val="true"/>
          <w:lang w:val="en-US" w:eastAsia="en-US"/>
        </w:rPr>
        <w:t>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רק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שאינו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מצדיק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התערבות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ערכאת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הערעור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בניגוד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להלכה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לפיה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ערכאת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הערעור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ממעטת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להתערב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בענישה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אלא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במקרים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חריגים</w:t>
      </w:r>
      <w:r>
        <w:rPr>
          <w:rFonts w:eastAsia="Calibri" w:cs="Arial" w:ascii="Calibri" w:hAnsi="Calibri"/>
          <w:rtl w:val="true"/>
          <w:lang w:val="en-US" w:eastAsia="en-US"/>
        </w:rPr>
        <w:t xml:space="preserve">; </w:t>
      </w:r>
      <w:r>
        <w:rPr>
          <w:rFonts w:ascii="Calibri" w:hAnsi="Calibri" w:eastAsia="Calibri" w:cs="Arial"/>
          <w:rtl w:val="true"/>
          <w:lang w:val="en-US" w:eastAsia="en-US"/>
        </w:rPr>
        <w:t>אלא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שאפילו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ניתן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לומר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מדובר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בעונש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מקל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שנותן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ביטוי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רב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מידי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לנסיבות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חייו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ואינו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נותן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מלוא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הביטוי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לחומרת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המעשים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הכוללים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עבירה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סחר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בסמים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מסוכנים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ושתי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עבירות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החזקת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סמים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מסוגים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שונים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ושלא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לצריכה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עצמית</w:t>
      </w:r>
      <w:r>
        <w:rPr>
          <w:rFonts w:eastAsia="Calibri" w:cs="Arial" w:ascii="Calibri" w:hAnsi="Calibri"/>
          <w:rtl w:val="true"/>
          <w:lang w:val="en-US" w:eastAsia="en-US"/>
        </w:rPr>
        <w:t xml:space="preserve">; </w:t>
      </w:r>
      <w:r>
        <w:rPr>
          <w:rFonts w:ascii="Calibri" w:hAnsi="Calibri" w:eastAsia="Calibri" w:cs="Arial"/>
          <w:rtl w:val="true"/>
          <w:lang w:val="en-US" w:eastAsia="en-US"/>
        </w:rPr>
        <w:t>אינו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נותן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מלוא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הביטוי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לריבוי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סוגי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הסמים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ולכמותם</w:t>
      </w:r>
      <w:r>
        <w:rPr>
          <w:rFonts w:eastAsia="Calibri" w:cs="Arial" w:ascii="Calibri" w:hAnsi="Calibri"/>
          <w:rtl w:val="true"/>
          <w:lang w:val="en-US" w:eastAsia="en-US"/>
        </w:rPr>
        <w:t xml:space="preserve">; </w:t>
      </w:r>
      <w:r>
        <w:rPr>
          <w:rFonts w:ascii="Calibri" w:hAnsi="Calibri" w:eastAsia="Calibri" w:cs="Arial"/>
          <w:rtl w:val="true"/>
          <w:lang w:val="en-US" w:eastAsia="en-US"/>
        </w:rPr>
        <w:t>ולא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נתן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מלוא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הביטוי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להיעדר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לקיחת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האחריות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מצד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ולחוסר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התובנה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שלו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במעשיו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פגע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באופן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חמור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רק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בעצמו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רק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בצרכנית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הסמים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מכר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הסם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אלא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בחברה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כולה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Calibri" w:hAnsi="Calibri" w:eastAsia="Calibri" w:cs="Arial"/>
          <w:lang w:val="en-US" w:eastAsia="en-US"/>
        </w:rPr>
      </w:pPr>
      <w:r>
        <w:rPr>
          <w:rFonts w:eastAsia="Calibri" w:cs="Arial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ascii="Calibri" w:hAnsi="Calibri" w:eastAsia="Calibri" w:cs="Arial"/>
          <w:rtl w:val="true"/>
          <w:lang w:val="en-US" w:eastAsia="en-US"/>
        </w:rPr>
        <w:t>בנסיבות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אלה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גם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היה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צורך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להיכנס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לעובי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טענות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בדבר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אופן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חישוב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מתחמי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הענישה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המשקל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שניתן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לכל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אחד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מהמתחמים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אולם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משמצאנו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ביהמ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קמא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דייק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באופן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יישום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הכללים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שנקבעו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בתיקון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lang w:val="en-US" w:eastAsia="en-US"/>
        </w:rPr>
        <w:t>113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</w:t>
      </w:r>
      <w:hyperlink r:id="rId26">
        <w:r>
          <w:rPr>
            <w:rStyle w:val="Hyperlink"/>
            <w:rFonts w:ascii="Calibri" w:hAnsi="Calibri" w:eastAsia="Calibri" w:cs="Arial"/>
            <w:color w:val="0000FF"/>
            <w:u w:val="single"/>
            <w:rtl w:val="true"/>
            <w:lang w:val="en-US" w:eastAsia="en-US"/>
          </w:rPr>
          <w:t>חוק</w:t>
        </w:r>
        <w:r>
          <w:rPr>
            <w:rStyle w:val="Hyperlink"/>
            <w:rFonts w:ascii="Calibri" w:hAnsi="Calibri" w:eastAsia="Calibri" w:cs="Calibri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ascii="Calibri" w:hAnsi="Calibri" w:eastAsia="Calibri" w:cs="Arial"/>
            <w:color w:val="0000FF"/>
            <w:u w:val="single"/>
            <w:rtl w:val="true"/>
            <w:lang w:val="en-US" w:eastAsia="en-US"/>
          </w:rPr>
          <w:t>העונשין</w:t>
        </w:r>
      </w:hyperlink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מצאנו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לנכון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להוסיף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כמה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לעניין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זה</w:t>
      </w:r>
      <w:r>
        <w:rPr>
          <w:rFonts w:eastAsia="Calibri" w:cs="Arial" w:ascii="Calibri" w:hAnsi="Calibri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Calibri" w:hAnsi="Calibri" w:eastAsia="Calibri" w:cs="Arial"/>
          <w:lang w:val="en-US" w:eastAsia="en-US"/>
        </w:rPr>
      </w:pPr>
      <w:r>
        <w:rPr>
          <w:rFonts w:eastAsia="Calibri" w:cs="Arial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ascii="Calibri" w:hAnsi="Calibri" w:eastAsia="Calibri" w:cs="Arial"/>
          <w:rtl w:val="true"/>
          <w:lang w:val="en-US" w:eastAsia="en-US"/>
        </w:rPr>
        <w:t>כזכור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ביהמ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קמא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קבע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יש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לקבוע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מתחם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ענישה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נפרד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לכל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אחד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מהאירועים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אותם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חילק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בהתאם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לאישומים</w:t>
      </w:r>
      <w:r>
        <w:rPr>
          <w:rFonts w:eastAsia="Calibri" w:cs="Arial" w:ascii="Calibri" w:hAnsi="Calibri"/>
          <w:rtl w:val="true"/>
          <w:lang w:val="en-US" w:eastAsia="en-US"/>
        </w:rPr>
        <w:t>;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ולאור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השוני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במעשים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ובעבירות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במועד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ביצוע</w:t>
      </w:r>
      <w:r>
        <w:rPr>
          <w:rFonts w:ascii="Calibri" w:hAnsi="Calibri" w:eastAsia="Calibri" w:cs="Arial"/>
          <w:rtl w:val="true"/>
          <w:lang w:val="en-US" w:eastAsia="en-US"/>
        </w:rPr>
        <w:t>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ובמקומות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שבוצעו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יתכן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היה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מקום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להתערב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בקביע</w:t>
      </w:r>
      <w:r>
        <w:rPr>
          <w:rFonts w:ascii="Calibri" w:hAnsi="Calibri" w:eastAsia="Calibri" w:cs="Arial"/>
          <w:rtl w:val="true"/>
          <w:lang w:val="en-US" w:eastAsia="en-US"/>
        </w:rPr>
        <w:t>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המתחמים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אלמלא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ביהמ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באמת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קבע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מתחמי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ענישה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לאירועים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השונים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כך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בסעיף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lang w:val="en-US" w:eastAsia="en-US"/>
        </w:rPr>
        <w:t>25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לגזר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דינו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קבע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ביהמ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מתחם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ציין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 xml:space="preserve">סקירת הפסיקה מעלה כי בעבירות דומות לעבירות בהן הורשע הנאשם במסגרת האישום הראשון והשלישי של החזקת סם מסוכן שלא לצריכה עצמית הוטלו על נאשמים עונשים הנעים בין </w:t>
      </w:r>
      <w:r>
        <w:rPr>
          <w:rFonts w:eastAsia="Calibri" w:cs="Miriam" w:ascii="Miriam" w:hAnsi="Miriam"/>
          <w:b/>
          <w:bCs/>
          <w:lang w:val="en-US" w:eastAsia="en-US"/>
        </w:rPr>
        <w:t>6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 xml:space="preserve">חודשי מאסר בפועל ועד </w:t>
      </w:r>
      <w:r>
        <w:rPr>
          <w:rFonts w:eastAsia="Calibri" w:cs="Miriam" w:ascii="Miriam" w:hAnsi="Miriam"/>
          <w:b/>
          <w:bCs/>
          <w:lang w:val="en-US" w:eastAsia="en-US"/>
        </w:rPr>
        <w:t>16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חודשי מאסר בפועל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ולאחר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מכן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סקר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הענישה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שניתנה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</w:t>
      </w:r>
      <w:r>
        <w:rPr>
          <w:rFonts w:eastAsia="Calibri" w:cs="Arial" w:ascii="Calibri" w:hAnsi="Calibri"/>
          <w:rtl w:val="true"/>
          <w:lang w:val="en-US" w:eastAsia="en-US"/>
        </w:rPr>
        <w:t>-</w:t>
      </w:r>
      <w:r>
        <w:rPr>
          <w:rFonts w:eastAsia="Calibri" w:cs="Arial" w:ascii="Calibri" w:hAnsi="Calibri"/>
          <w:lang w:val="en-US" w:eastAsia="en-US"/>
        </w:rPr>
        <w:t>9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פסקי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דין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מערכאות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שונות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הא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ותו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לא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כך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נהג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ביהמ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גם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בסעיף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lang w:val="en-US" w:eastAsia="en-US"/>
        </w:rPr>
        <w:t>26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לגזר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הדין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כאשר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ציין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 xml:space="preserve">סקירת הפסיקה מעלה כי בעבירות דומות לעבירות בהן הורשע הנאשם במסגרת האישום השני של סחר בסמים מסוכנים הוטלו על נאשמים עונשים הנעים בין מספר חודשי מאסר בפועל ועד </w:t>
      </w:r>
      <w:r>
        <w:rPr>
          <w:rFonts w:eastAsia="Calibri" w:cs="Miriam" w:ascii="Miriam" w:hAnsi="Miriam"/>
          <w:b/>
          <w:bCs/>
          <w:lang w:val="en-US" w:eastAsia="en-US"/>
        </w:rPr>
        <w:t>12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חודשי מאסר בפועל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ושוב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לאחר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דברים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אלה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סקר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פסיקה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וציין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העונשים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שגזרו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בתי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משפט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שונים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בגין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</w:t>
      </w:r>
      <w:r>
        <w:rPr>
          <w:rFonts w:ascii="Calibri" w:hAnsi="Calibri" w:eastAsia="Calibri" w:cs="Arial"/>
          <w:rtl w:val="true"/>
          <w:lang w:val="en-US" w:eastAsia="en-US"/>
        </w:rPr>
        <w:t>בירות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דומות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סקירת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מדיניות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ענישה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אינה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תחליף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לקביעת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מתחם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עונש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ראוי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והיא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אינה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אחד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ממכלול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הנתונים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ביהמ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לשקול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הוא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קובע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מתחם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העונש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הראוי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כמצוין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hyperlink r:id="rId27">
        <w:r>
          <w:rPr>
            <w:rStyle w:val="Hyperlink"/>
            <w:rFonts w:ascii="Calibri" w:hAnsi="Calibri" w:eastAsia="Calibri" w:cs="Arial"/>
            <w:rtl w:val="true"/>
            <w:lang w:val="en-US" w:eastAsia="en-US"/>
          </w:rPr>
          <w:t>בסעיף</w:t>
        </w:r>
        <w:r>
          <w:rPr>
            <w:rStyle w:val="Hyperlink"/>
            <w:rFonts w:ascii="Calibri" w:hAnsi="Calibri" w:eastAsia="Calibri" w:cs="Calibri"/>
            <w:rtl w:val="true"/>
            <w:lang w:val="en-US" w:eastAsia="en-US"/>
          </w:rPr>
          <w:t xml:space="preserve"> </w:t>
        </w:r>
        <w:r>
          <w:rPr>
            <w:rStyle w:val="Hyperlink"/>
            <w:rFonts w:eastAsia="Calibri" w:cs="Arial" w:ascii="Calibri" w:hAnsi="Calibri"/>
            <w:lang w:val="en-US" w:eastAsia="en-US"/>
          </w:rPr>
          <w:t>40</w:t>
        </w:r>
        <w:r>
          <w:rPr>
            <w:rStyle w:val="Hyperlink"/>
            <w:rFonts w:ascii="Calibri" w:hAnsi="Calibri" w:eastAsia="Calibri" w:cs="Arial"/>
            <w:rtl w:val="true"/>
            <w:lang w:val="en-US" w:eastAsia="en-US"/>
          </w:rPr>
          <w:t>ג</w:t>
        </w:r>
        <w:r>
          <w:rPr>
            <w:rStyle w:val="Hyperlink"/>
            <w:rFonts w:eastAsia="Calibri" w:cs="Arial" w:ascii="Calibri" w:hAnsi="Calibri"/>
            <w:rtl w:val="true"/>
            <w:lang w:val="en-US" w:eastAsia="en-US"/>
          </w:rPr>
          <w:t>(</w:t>
        </w:r>
        <w:r>
          <w:rPr>
            <w:rStyle w:val="Hyperlink"/>
            <w:rFonts w:ascii="Calibri" w:hAnsi="Calibri" w:eastAsia="Calibri" w:cs="Arial"/>
            <w:rtl w:val="true"/>
            <w:lang w:val="en-US" w:eastAsia="en-US"/>
          </w:rPr>
          <w:t>א</w:t>
        </w:r>
        <w:r>
          <w:rPr>
            <w:rStyle w:val="Hyperlink"/>
            <w:rFonts w:eastAsia="Calibri" w:cs="Arial" w:ascii="Calibri" w:hAnsi="Calibri"/>
            <w:rtl w:val="true"/>
            <w:lang w:val="en-US" w:eastAsia="en-US"/>
          </w:rPr>
          <w:t>)</w:t>
        </w:r>
      </w:hyperlink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לחוק</w:t>
      </w:r>
      <w:r>
        <w:rPr>
          <w:rFonts w:eastAsia="Calibri" w:cs="Arial" w:ascii="Calibri" w:hAnsi="Calibri"/>
          <w:rtl w:val="true"/>
          <w:lang w:val="en-US" w:eastAsia="en-US"/>
        </w:rPr>
        <w:t xml:space="preserve">: 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בית המשפט יקבע מתחם עונש הולם למעשה העבירה שביצע הנאשם בהתאם לעיקרון המנחה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ולשם כך יתחשב בערך החברתי שנפגע מביצוע העבירה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במידת הפגיעה בו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 xml:space="preserve">במדיניות הענישה הנהוגה ובנסיבות הקשורות בביצוע העבירה כאמור בסעיף </w:t>
      </w:r>
      <w:r>
        <w:rPr>
          <w:rFonts w:eastAsia="Calibri" w:cs="Miriam" w:ascii="Miriam" w:hAnsi="Miriam"/>
          <w:b/>
          <w:bCs/>
          <w:lang w:val="en-US" w:eastAsia="en-US"/>
        </w:rPr>
        <w:t>40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ט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רק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לאחר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בחינת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b/>
          <w:b/>
          <w:bCs/>
          <w:rtl w:val="true"/>
          <w:lang w:val="en-US" w:eastAsia="en-US"/>
        </w:rPr>
        <w:t>מכלול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השיקולים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המפורטים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בסעיף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ביהמ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לקבוע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מתחם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העונש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ההולם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למעשה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העבירה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הספציפי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שביצע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הנאשם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בהתאם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לעקרון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המנחה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 xml:space="preserve"> 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("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קיומו של יחס הולם בין חומרת מעשה העבירה בנסיבותיו ומידת אשמו של הנאשם ובין סוג ומידת העונש המוטל עליו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hyperlink r:id="rId28">
        <w:r>
          <w:rPr>
            <w:rStyle w:val="Hyperlink"/>
            <w:rFonts w:ascii="Calibri" w:hAnsi="Calibri" w:eastAsia="Calibri" w:cs="Arial"/>
            <w:rtl w:val="true"/>
            <w:lang w:val="en-US" w:eastAsia="en-US"/>
          </w:rPr>
          <w:t>סעיף</w:t>
        </w:r>
        <w:r>
          <w:rPr>
            <w:rStyle w:val="Hyperlink"/>
            <w:rFonts w:ascii="Calibri" w:hAnsi="Calibri" w:eastAsia="Calibri" w:cs="Calibri"/>
            <w:rtl w:val="true"/>
            <w:lang w:val="en-US" w:eastAsia="en-US"/>
          </w:rPr>
          <w:t xml:space="preserve"> </w:t>
        </w:r>
        <w:r>
          <w:rPr>
            <w:rStyle w:val="Hyperlink"/>
            <w:rFonts w:eastAsia="Calibri" w:cs="Arial" w:ascii="Calibri" w:hAnsi="Calibri"/>
            <w:lang w:val="en-US" w:eastAsia="en-US"/>
          </w:rPr>
          <w:t>40</w:t>
        </w:r>
        <w:r>
          <w:rPr>
            <w:rStyle w:val="Hyperlink"/>
            <w:rFonts w:ascii="Calibri" w:hAnsi="Calibri" w:eastAsia="Calibri" w:cs="Arial"/>
            <w:rtl w:val="true"/>
            <w:lang w:val="en-US" w:eastAsia="en-US"/>
          </w:rPr>
          <w:t>ב</w:t>
        </w:r>
      </w:hyperlink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</w:t>
      </w:r>
      <w:hyperlink r:id="rId29">
        <w:r>
          <w:rPr>
            <w:rStyle w:val="Hyperlink"/>
            <w:rFonts w:ascii="Calibri" w:hAnsi="Calibri" w:eastAsia="Calibri" w:cs="Arial"/>
            <w:color w:val="0000FF"/>
            <w:u w:val="single"/>
            <w:rtl w:val="true"/>
            <w:lang w:val="en-US" w:eastAsia="en-US"/>
          </w:rPr>
          <w:t>חוק</w:t>
        </w:r>
        <w:r>
          <w:rPr>
            <w:rStyle w:val="Hyperlink"/>
            <w:rFonts w:ascii="Calibri" w:hAnsi="Calibri" w:eastAsia="Calibri" w:cs="Calibri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ascii="Calibri" w:hAnsi="Calibri" w:eastAsia="Calibri" w:cs="Arial"/>
            <w:color w:val="0000FF"/>
            <w:u w:val="single"/>
            <w:rtl w:val="true"/>
            <w:lang w:val="en-US" w:eastAsia="en-US"/>
          </w:rPr>
          <w:t>העונשין</w:t>
        </w:r>
      </w:hyperlink>
      <w:r>
        <w:rPr>
          <w:rFonts w:eastAsia="Calibri" w:cs="Arial" w:ascii="Calibri" w:hAnsi="Calibri"/>
          <w:rtl w:val="true"/>
          <w:lang w:val="en-US" w:eastAsia="en-US"/>
        </w:rPr>
        <w:t>)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ואינו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יכול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להסתפק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בציון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ממוצע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עונשים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מהפסיקה</w:t>
      </w:r>
      <w:r>
        <w:rPr>
          <w:rFonts w:eastAsia="Calibri" w:cs="Arial" w:ascii="Calibri" w:hAnsi="Calibri"/>
          <w:rtl w:val="true"/>
          <w:lang w:val="en-US" w:eastAsia="en-US"/>
        </w:rPr>
        <w:t>.</w:t>
      </w:r>
    </w:p>
    <w:p>
      <w:pPr>
        <w:pStyle w:val="Normal"/>
        <w:ind w:end="0"/>
        <w:jc w:val="both"/>
        <w:rPr>
          <w:rFonts w:ascii="Calibri" w:hAnsi="Calibri" w:eastAsia="Calibri" w:cs="Arial"/>
          <w:lang w:val="en-US" w:eastAsia="en-US"/>
        </w:rPr>
      </w:pPr>
      <w:r>
        <w:rPr>
          <w:rFonts w:eastAsia="Calibri" w:cs="Arial" w:ascii="Calibri" w:hAnsi="Calibri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ascii="Calibri" w:hAnsi="Calibri" w:eastAsia="Calibri" w:cs="Arial"/>
          <w:rtl w:val="true"/>
          <w:lang w:val="en-US" w:eastAsia="en-US"/>
        </w:rPr>
        <w:t>יתרה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מכך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בסעיף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lang w:val="en-US" w:eastAsia="en-US"/>
        </w:rPr>
        <w:t>28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לגזר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הדין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קבע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ביהמ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ש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לאור הנסיבות שלפנינו ובשים לב למידת הפגיעה בערכים המוגנים ולמדיניות הענישה הנוהגת כאמור לעיל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 xml:space="preserve">הנני קובע את </w:t>
      </w:r>
      <w:r>
        <w:rPr>
          <w:rFonts w:ascii="Miriam" w:hAnsi="Miriam" w:eastAsia="Calibri" w:cs="Miriam"/>
          <w:b/>
          <w:b/>
          <w:bCs/>
          <w:u w:val="single"/>
          <w:rtl w:val="true"/>
          <w:lang w:val="en-US" w:eastAsia="en-US"/>
        </w:rPr>
        <w:t>מתחם העונש ההולם הכולל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 xml:space="preserve">כמתחם הנע בין </w:t>
      </w:r>
      <w:r>
        <w:rPr>
          <w:rFonts w:eastAsia="Calibri" w:cs="Miriam" w:ascii="Miriam" w:hAnsi="Miriam"/>
          <w:b/>
          <w:bCs/>
          <w:lang w:val="en-US" w:eastAsia="en-US"/>
        </w:rPr>
        <w:t>12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חודשי מאסר בפועל ועד ל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-</w:t>
      </w:r>
      <w:r>
        <w:rPr>
          <w:rFonts w:eastAsia="Calibri" w:cs="Miriam" w:ascii="Miriam" w:hAnsi="Miriam"/>
          <w:b/>
          <w:bCs/>
          <w:lang w:val="en-US" w:eastAsia="en-US"/>
        </w:rPr>
        <w:t>24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חודשי מאסר בפועל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eastAsia="Calibri" w:cs="Arial" w:ascii="Calibri" w:hAnsi="Calibri"/>
          <w:rtl w:val="true"/>
          <w:lang w:val="en-US" w:eastAsia="en-US"/>
        </w:rPr>
        <w:t xml:space="preserve"> (</w:t>
      </w:r>
      <w:r>
        <w:rPr>
          <w:rFonts w:ascii="Calibri" w:hAnsi="Calibri" w:eastAsia="Calibri" w:cs="Arial"/>
          <w:rtl w:val="true"/>
          <w:lang w:val="en-US" w:eastAsia="en-US"/>
        </w:rPr>
        <w:t>ההדגשה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אינה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במקור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ר</w:t>
      </w:r>
      <w:r>
        <w:rPr>
          <w:rFonts w:eastAsia="Calibri" w:cs="Arial" w:ascii="Calibri" w:hAnsi="Calibri"/>
          <w:rtl w:val="true"/>
          <w:lang w:val="en-US" w:eastAsia="en-US"/>
        </w:rPr>
        <w:t>.</w:t>
      </w:r>
      <w:r>
        <w:rPr>
          <w:rFonts w:ascii="Calibri" w:hAnsi="Calibri" w:eastAsia="Calibri" w:cs="Arial"/>
          <w:rtl w:val="true"/>
          <w:lang w:val="en-US" w:eastAsia="en-US"/>
        </w:rPr>
        <w:t>י</w:t>
      </w:r>
      <w:r>
        <w:rPr>
          <w:rFonts w:eastAsia="Calibri" w:cs="Arial" w:ascii="Calibri" w:hAnsi="Calibri"/>
          <w:rtl w:val="true"/>
          <w:lang w:val="en-US" w:eastAsia="en-US"/>
        </w:rPr>
        <w:t>.</w:t>
      </w:r>
      <w:r>
        <w:rPr>
          <w:rFonts w:ascii="Calibri" w:hAnsi="Calibri" w:eastAsia="Calibri" w:cs="Arial"/>
          <w:rtl w:val="true"/>
          <w:lang w:val="en-US" w:eastAsia="en-US"/>
        </w:rPr>
        <w:t>כ</w:t>
      </w:r>
      <w:r>
        <w:rPr>
          <w:rFonts w:eastAsia="Calibri" w:cs="Arial" w:ascii="Calibri" w:hAnsi="Calibri"/>
          <w:rtl w:val="true"/>
          <w:lang w:val="en-US" w:eastAsia="en-US"/>
        </w:rPr>
        <w:t xml:space="preserve">), </w:t>
      </w:r>
      <w:r>
        <w:rPr>
          <w:rFonts w:ascii="Calibri" w:hAnsi="Calibri" w:eastAsia="Calibri" w:cs="Arial"/>
          <w:rtl w:val="true"/>
          <w:lang w:val="en-US" w:eastAsia="en-US"/>
        </w:rPr>
        <w:t>אלא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שהחוק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איננו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מאפשר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קביעת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מתחם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עונש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כולל</w:t>
      </w:r>
      <w:r>
        <w:rPr>
          <w:rFonts w:eastAsia="Calibri" w:cs="Arial" w:ascii="Calibri" w:hAnsi="Calibri"/>
          <w:rtl w:val="true"/>
          <w:lang w:val="en-US" w:eastAsia="en-US"/>
        </w:rPr>
        <w:t xml:space="preserve">" </w:t>
      </w:r>
      <w:r>
        <w:rPr>
          <w:rFonts w:ascii="Calibri" w:hAnsi="Calibri" w:eastAsia="Calibri" w:cs="Arial"/>
          <w:rtl w:val="true"/>
          <w:lang w:val="en-US" w:eastAsia="en-US"/>
        </w:rPr>
        <w:t>לאחר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קביעת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מתחמי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ענישה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נפרדים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לכלל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האירועים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החוק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קובע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במקרה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ביהמ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קבע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מתחם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נפרד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לכל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אירוע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ואירוע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rtl w:val="true"/>
          <w:lang w:val="en-US" w:eastAsia="en-US"/>
        </w:rPr>
        <w:t>(</w:t>
      </w:r>
      <w:r>
        <w:rPr>
          <w:rFonts w:ascii="Calibri" w:hAnsi="Calibri" w:eastAsia="Calibri" w:cs="Arial"/>
          <w:rtl w:val="true"/>
          <w:lang w:val="en-US" w:eastAsia="en-US"/>
        </w:rPr>
        <w:t>כמו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שביהמ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סבר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שיש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לעשות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במקרה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דנן</w:t>
      </w:r>
      <w:r>
        <w:rPr>
          <w:rFonts w:eastAsia="Calibri" w:cs="Arial" w:ascii="Calibri" w:hAnsi="Calibri"/>
          <w:rtl w:val="true"/>
          <w:lang w:val="en-US" w:eastAsia="en-US"/>
        </w:rPr>
        <w:t xml:space="preserve">), </w:t>
      </w:r>
      <w:r>
        <w:rPr>
          <w:rFonts w:ascii="Calibri" w:hAnsi="Calibri" w:eastAsia="Calibri" w:cs="Arial"/>
          <w:rtl w:val="true"/>
          <w:lang w:val="en-US" w:eastAsia="en-US"/>
        </w:rPr>
        <w:t>הוא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רשאי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לקבוע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b/>
          <w:b/>
          <w:bCs/>
          <w:rtl w:val="true"/>
          <w:lang w:val="en-US" w:eastAsia="en-US"/>
        </w:rPr>
        <w:t>עונש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b/>
          <w:b/>
          <w:bCs/>
          <w:rtl w:val="true"/>
          <w:lang w:val="en-US" w:eastAsia="en-US"/>
        </w:rPr>
        <w:t>כולל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לגזור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העונש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מתוך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מתחם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כולל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כך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hyperlink r:id="rId30">
        <w:r>
          <w:rPr>
            <w:rStyle w:val="Hyperlink"/>
            <w:rFonts w:ascii="Calibri" w:hAnsi="Calibri" w:eastAsia="Calibri" w:cs="Arial"/>
            <w:rtl w:val="true"/>
            <w:lang w:val="en-US" w:eastAsia="en-US"/>
          </w:rPr>
          <w:t>בסעיפים</w:t>
        </w:r>
        <w:r>
          <w:rPr>
            <w:rStyle w:val="Hyperlink"/>
            <w:rFonts w:ascii="Calibri" w:hAnsi="Calibri" w:eastAsia="Calibri" w:cs="Calibri"/>
            <w:rtl w:val="true"/>
            <w:lang w:val="en-US" w:eastAsia="en-US"/>
          </w:rPr>
          <w:t xml:space="preserve"> </w:t>
        </w:r>
        <w:r>
          <w:rPr>
            <w:rStyle w:val="Hyperlink"/>
            <w:rFonts w:eastAsia="Calibri" w:cs="Arial" w:ascii="Calibri" w:hAnsi="Calibri"/>
            <w:lang w:val="en-US" w:eastAsia="en-US"/>
          </w:rPr>
          <w:t>40</w:t>
        </w:r>
        <w:r>
          <w:rPr>
            <w:rStyle w:val="Hyperlink"/>
            <w:rFonts w:ascii="Calibri" w:hAnsi="Calibri" w:eastAsia="Calibri" w:cs="Arial"/>
            <w:rtl w:val="true"/>
            <w:lang w:val="en-US" w:eastAsia="en-US"/>
          </w:rPr>
          <w:t>יג</w:t>
        </w:r>
        <w:r>
          <w:rPr>
            <w:rStyle w:val="Hyperlink"/>
            <w:rFonts w:eastAsia="Calibri" w:cs="Arial" w:ascii="Calibri" w:hAnsi="Calibri"/>
            <w:rtl w:val="true"/>
            <w:lang w:val="en-US" w:eastAsia="en-US"/>
          </w:rPr>
          <w:t>(</w:t>
        </w:r>
        <w:r>
          <w:rPr>
            <w:rStyle w:val="Hyperlink"/>
            <w:rFonts w:ascii="Calibri" w:hAnsi="Calibri" w:eastAsia="Calibri" w:cs="Arial"/>
            <w:rtl w:val="true"/>
            <w:lang w:val="en-US" w:eastAsia="en-US"/>
          </w:rPr>
          <w:t>א</w:t>
        </w:r>
        <w:r>
          <w:rPr>
            <w:rStyle w:val="Hyperlink"/>
            <w:rFonts w:eastAsia="Calibri" w:cs="Arial" w:ascii="Calibri" w:hAnsi="Calibri"/>
            <w:rtl w:val="true"/>
            <w:lang w:val="en-US" w:eastAsia="en-US"/>
          </w:rPr>
          <w:t>)</w:t>
        </w:r>
      </w:hyperlink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</w:t>
      </w:r>
      <w:r>
        <w:rPr>
          <w:rFonts w:eastAsia="Calibri" w:cs="Arial" w:ascii="Calibri" w:hAnsi="Calibri"/>
          <w:rtl w:val="true"/>
          <w:lang w:val="en-US" w:eastAsia="en-US"/>
        </w:rPr>
        <w:t>-</w:t>
      </w:r>
      <w:hyperlink r:id="rId31">
        <w:r>
          <w:rPr>
            <w:rStyle w:val="Hyperlink"/>
            <w:rFonts w:eastAsia="Calibri" w:cs="Arial" w:ascii="Calibri" w:hAnsi="Calibri"/>
            <w:rtl w:val="true"/>
            <w:lang w:val="en-US" w:eastAsia="en-US"/>
          </w:rPr>
          <w:t>(</w:t>
        </w:r>
        <w:r>
          <w:rPr>
            <w:rStyle w:val="Hyperlink"/>
            <w:rFonts w:ascii="Calibri" w:hAnsi="Calibri" w:eastAsia="Calibri" w:cs="Arial"/>
            <w:rtl w:val="true"/>
            <w:lang w:val="en-US" w:eastAsia="en-US"/>
          </w:rPr>
          <w:t>ב</w:t>
        </w:r>
        <w:r>
          <w:rPr>
            <w:rStyle w:val="Hyperlink"/>
            <w:rFonts w:eastAsia="Calibri" w:cs="Arial" w:ascii="Calibri" w:hAnsi="Calibri"/>
            <w:rtl w:val="true"/>
            <w:lang w:val="en-US" w:eastAsia="en-US"/>
          </w:rPr>
          <w:t>)</w:t>
        </w:r>
      </w:hyperlink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נקבע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במידה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וביהמ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הרשיע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נאשם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בכמה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עבירות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המהוות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אירוע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אחד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עליו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לקבוע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מתחם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אחד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לאותו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אירוע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ללא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קשר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למספר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העבירות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שיוחסו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לנאשם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באותו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אירוע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ובמסגרת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הענישה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ייתן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משקל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לכל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אחת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מהעבירות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ולכל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אחד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מהמעשים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המהווים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האירוע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האמור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rtl w:val="true"/>
          <w:lang w:val="en-US" w:eastAsia="en-US"/>
        </w:rPr>
        <w:t>(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 xml:space="preserve">יקבע מתחם עונש הולם כאמור בסעיף </w:t>
      </w:r>
      <w:r>
        <w:rPr>
          <w:rFonts w:eastAsia="Calibri" w:cs="Miriam" w:ascii="Miriam" w:hAnsi="Miriam"/>
          <w:b/>
          <w:bCs/>
          <w:lang w:val="en-US" w:eastAsia="en-US"/>
        </w:rPr>
        <w:t>40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ג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(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א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)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לאירוע כולו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ויגזור עונש כולל לכל העבירות בשל אותו אירוע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eastAsia="Calibri" w:cs="Arial" w:ascii="Calibri" w:hAnsi="Calibri"/>
          <w:rtl w:val="true"/>
          <w:lang w:val="en-US" w:eastAsia="en-US"/>
        </w:rPr>
        <w:t xml:space="preserve">); </w:t>
      </w:r>
      <w:r>
        <w:rPr>
          <w:rFonts w:ascii="Calibri" w:hAnsi="Calibri" w:eastAsia="Calibri" w:cs="Arial"/>
          <w:rtl w:val="true"/>
          <w:lang w:val="en-US" w:eastAsia="en-US"/>
        </w:rPr>
        <w:t>אולם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במידה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וביהמ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הרשיע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נאשם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בכמה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אירועים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ו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 xml:space="preserve">קבע מתחם עונש הולם כאמור בסעיף </w:t>
      </w:r>
      <w:r>
        <w:rPr>
          <w:rFonts w:eastAsia="Calibri" w:cs="Miriam" w:ascii="Miriam" w:hAnsi="Miriam"/>
          <w:b/>
          <w:bCs/>
          <w:lang w:val="en-US" w:eastAsia="en-US"/>
        </w:rPr>
        <w:t>40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ג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(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א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)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לכל אירוע בנפרד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 xml:space="preserve">ולאחר מכן רשאי הוא לגזור </w:t>
      </w:r>
      <w:r>
        <w:rPr>
          <w:rFonts w:ascii="Miriam" w:hAnsi="Miriam" w:eastAsia="Calibri" w:cs="Miriam"/>
          <w:b/>
          <w:b/>
          <w:bCs/>
          <w:u w:val="single"/>
          <w:rtl w:val="true"/>
          <w:lang w:val="en-US" w:eastAsia="en-US"/>
        </w:rPr>
        <w:t>עונש נפרד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 xml:space="preserve"> לכל אירוע או </w:t>
      </w:r>
      <w:r>
        <w:rPr>
          <w:rFonts w:ascii="Miriam" w:hAnsi="Miriam" w:eastAsia="Calibri" w:cs="Miriam"/>
          <w:b/>
          <w:b/>
          <w:bCs/>
          <w:u w:val="single"/>
          <w:rtl w:val="true"/>
          <w:lang w:val="en-US" w:eastAsia="en-US"/>
        </w:rPr>
        <w:t>עונש כולל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 xml:space="preserve"> לכל האירועים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היינו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משנקבע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b/>
          <w:b/>
          <w:bCs/>
          <w:rtl w:val="true"/>
          <w:lang w:val="en-US" w:eastAsia="en-US"/>
        </w:rPr>
        <w:t>מתחם</w:t>
      </w:r>
      <w:r>
        <w:rPr>
          <w:rFonts w:ascii="Calibri" w:hAnsi="Calibri" w:eastAsia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b/>
          <w:b/>
          <w:bCs/>
          <w:rtl w:val="true"/>
          <w:lang w:val="en-US" w:eastAsia="en-US"/>
        </w:rPr>
        <w:t>נפרד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לכל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אירוע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ניתן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לקבוע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עונש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נפרד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לכל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מתחם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rtl w:val="true"/>
          <w:lang w:val="en-US" w:eastAsia="en-US"/>
        </w:rPr>
        <w:t>(</w:t>
      </w:r>
      <w:r>
        <w:rPr>
          <w:rFonts w:ascii="Calibri" w:hAnsi="Calibri" w:eastAsia="Calibri" w:cs="Arial"/>
          <w:rtl w:val="true"/>
          <w:lang w:val="en-US" w:eastAsia="en-US"/>
        </w:rPr>
        <w:t>ואז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לקבוע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מידת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החפיפה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העונשים</w:t>
      </w:r>
      <w:r>
        <w:rPr>
          <w:rFonts w:eastAsia="Calibri" w:cs="Arial" w:ascii="Calibri" w:hAnsi="Calibri"/>
          <w:rtl w:val="true"/>
          <w:lang w:val="en-US" w:eastAsia="en-US"/>
        </w:rPr>
        <w:t xml:space="preserve">) </w:t>
      </w:r>
      <w:r>
        <w:rPr>
          <w:rFonts w:ascii="Calibri" w:hAnsi="Calibri" w:eastAsia="Calibri" w:cs="Arial"/>
          <w:rtl w:val="true"/>
          <w:lang w:val="en-US" w:eastAsia="en-US"/>
        </w:rPr>
        <w:t>או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שניתן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לקבוע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b/>
          <w:b/>
          <w:bCs/>
          <w:rtl w:val="true"/>
          <w:lang w:val="en-US" w:eastAsia="en-US"/>
        </w:rPr>
        <w:t>עונש</w:t>
      </w:r>
      <w:r>
        <w:rPr>
          <w:rFonts w:ascii="Calibri" w:hAnsi="Calibri" w:eastAsia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b/>
          <w:b/>
          <w:bCs/>
          <w:rtl w:val="true"/>
          <w:lang w:val="en-US" w:eastAsia="en-US"/>
        </w:rPr>
        <w:t>כולל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לכל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האירועים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ואין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אפשרות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לקבוע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מתחם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עונש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כולל</w:t>
      </w:r>
      <w:r>
        <w:rPr>
          <w:rFonts w:eastAsia="Calibri" w:cs="Arial" w:ascii="Calibri" w:hAnsi="Calibri"/>
          <w:rtl w:val="true"/>
          <w:lang w:val="en-US" w:eastAsia="en-US"/>
        </w:rPr>
        <w:t xml:space="preserve">" </w:t>
      </w:r>
      <w:r>
        <w:rPr>
          <w:rFonts w:ascii="Calibri" w:hAnsi="Calibri" w:eastAsia="Calibri" w:cs="Arial"/>
          <w:rtl w:val="true"/>
          <w:lang w:val="en-US" w:eastAsia="en-US"/>
        </w:rPr>
        <w:t>כהאחדה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מתחמי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העונש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הנפרדים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שנקבעו</w:t>
      </w:r>
      <w:r>
        <w:rPr>
          <w:rFonts w:eastAsia="Calibri" w:cs="Arial" w:ascii="Calibri" w:hAnsi="Calibri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ascii="Calibri" w:hAnsi="Calibri" w:eastAsia="Calibri" w:cs="Arial"/>
          <w:rtl w:val="true"/>
          <w:lang w:val="en-US" w:eastAsia="en-US"/>
        </w:rPr>
        <w:t>למעלה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הצורך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ולאחר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מיקד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עיקר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טענותיו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כנגד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קביעת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ביהמ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לפיה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כתב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האישום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מלמד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מספר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אירועים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אשר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לכל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אחד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מהם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יש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לקבוע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מתחם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נפרד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נציין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קביעה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זו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ביהמ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מקובלת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עלינו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כתב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האישום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עניינו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שלושה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אירועים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שבוצעו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במקטעי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זמן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שונים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נפרדים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וחלקם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אף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מרוחקים</w:t>
      </w:r>
      <w:r>
        <w:rPr>
          <w:rFonts w:eastAsia="Calibri" w:cs="Arial" w:ascii="Calibri" w:hAnsi="Calibri"/>
          <w:rtl w:val="true"/>
          <w:lang w:val="en-US" w:eastAsia="en-US"/>
        </w:rPr>
        <w:t>,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ואין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ביניהם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זיקה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מכוחה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ניתן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ליצור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האחדה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ויוער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הטענה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כאילו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כמות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הסמים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שבאישום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השלישי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rtl w:val="true"/>
          <w:lang w:val="en-US" w:eastAsia="en-US"/>
        </w:rPr>
        <w:t>(</w:t>
      </w:r>
      <w:r>
        <w:rPr>
          <w:rFonts w:ascii="Calibri" w:hAnsi="Calibri" w:eastAsia="Calibri" w:cs="Arial"/>
          <w:rtl w:val="true"/>
          <w:lang w:val="en-US" w:eastAsia="en-US"/>
        </w:rPr>
        <w:t>שאינה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זניחה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כלל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ומחזקת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הרושם</w:t>
      </w:r>
      <w:r>
        <w:rPr>
          <w:rFonts w:eastAsia="Calibri" w:cs="Arial" w:ascii="Calibri" w:hAnsi="Calibri"/>
          <w:rtl w:val="true"/>
          <w:lang w:val="en-US" w:eastAsia="en-US"/>
        </w:rPr>
        <w:t>,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העיסוק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בסמים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זר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למערער</w:t>
      </w:r>
      <w:r>
        <w:rPr>
          <w:rFonts w:eastAsia="Calibri" w:cs="Arial" w:ascii="Calibri" w:hAnsi="Calibri"/>
          <w:rtl w:val="true"/>
          <w:lang w:val="en-US" w:eastAsia="en-US"/>
        </w:rPr>
        <w:t xml:space="preserve">), </w:t>
      </w:r>
      <w:r>
        <w:rPr>
          <w:rFonts w:ascii="Calibri" w:hAnsi="Calibri" w:eastAsia="Calibri" w:cs="Arial"/>
          <w:rtl w:val="true"/>
          <w:lang w:val="en-US" w:eastAsia="en-US"/>
        </w:rPr>
        <w:t>נבלעת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בכמות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הסם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שנתפסה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באישום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הראשון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rtl w:val="true"/>
          <w:lang w:val="en-US" w:eastAsia="en-US"/>
        </w:rPr>
        <w:t>(</w:t>
      </w:r>
      <w:r>
        <w:rPr>
          <w:rFonts w:eastAsia="Calibri" w:cs="Arial" w:ascii="Calibri" w:hAnsi="Calibri"/>
          <w:lang w:val="en-US" w:eastAsia="en-US"/>
        </w:rPr>
        <w:t>89.68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גרם</w:t>
      </w:r>
      <w:r>
        <w:rPr>
          <w:rFonts w:eastAsia="Calibri" w:cs="Arial" w:ascii="Calibri" w:hAnsi="Calibri"/>
          <w:rtl w:val="true"/>
          <w:lang w:val="en-US" w:eastAsia="en-US"/>
        </w:rPr>
        <w:t xml:space="preserve">), </w:t>
      </w:r>
      <w:r>
        <w:rPr>
          <w:rFonts w:ascii="Calibri" w:hAnsi="Calibri" w:eastAsia="Calibri" w:cs="Arial"/>
          <w:rtl w:val="true"/>
          <w:lang w:val="en-US" w:eastAsia="en-US"/>
        </w:rPr>
        <w:t>אינה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עולה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מעובדות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כתב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האישום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ופרט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להיתכנות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המספרית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אף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איננה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סבירה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משמדובר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בשני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אירועים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במרחק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זמן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lang w:val="en-US" w:eastAsia="en-US"/>
        </w:rPr>
        <w:t>3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חודשים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כך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גם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ברורה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טענת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הסנגור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האישום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השלישי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הוא פרי הסדר טיעון בין הצדדים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ולא מכוח חיפוש לכאורה שבוצע בביתו של המערער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...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בהיעדר אירוע מנתק כדוגמת חיפוש בביתו של המערער ותפיסת סם הקנבוס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...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ניתן לטעון כי האישום השלישי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... "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נבלע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"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במסגרת האישום הראשון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eastAsia="Calibri" w:cs="Arial" w:ascii="Calibri" w:hAnsi="Calibri"/>
          <w:rtl w:val="true"/>
          <w:lang w:val="en-US" w:eastAsia="en-US"/>
        </w:rPr>
        <w:t xml:space="preserve"> (</w:t>
      </w:r>
      <w:r>
        <w:rPr>
          <w:rFonts w:ascii="Calibri" w:hAnsi="Calibri" w:eastAsia="Calibri" w:cs="Arial"/>
          <w:rtl w:val="true"/>
          <w:lang w:val="en-US" w:eastAsia="en-US"/>
        </w:rPr>
        <w:t>סעיפים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lang w:val="en-US" w:eastAsia="en-US"/>
        </w:rPr>
        <w:t>30-29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להודעת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הערעור</w:t>
      </w:r>
      <w:r>
        <w:rPr>
          <w:rFonts w:eastAsia="Calibri" w:cs="Arial" w:ascii="Calibri" w:hAnsi="Calibri"/>
          <w:rtl w:val="true"/>
          <w:lang w:val="en-US" w:eastAsia="en-US"/>
        </w:rPr>
        <w:t xml:space="preserve">) , </w:t>
      </w:r>
      <w:r>
        <w:rPr>
          <w:rFonts w:ascii="Calibri" w:hAnsi="Calibri" w:eastAsia="Calibri" w:cs="Arial"/>
          <w:rtl w:val="true"/>
          <w:lang w:val="en-US" w:eastAsia="en-US"/>
        </w:rPr>
        <w:t>וטוב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היה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טענה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זו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הייתה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נשמעת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כלל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הודה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בהסדר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טיעון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שכלל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תיקון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כתב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האישום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rtl w:val="true"/>
          <w:lang w:val="en-US" w:eastAsia="en-US"/>
        </w:rPr>
        <w:t>(</w:t>
      </w:r>
      <w:r>
        <w:rPr>
          <w:rFonts w:ascii="Calibri" w:hAnsi="Calibri" w:eastAsia="Calibri" w:cs="Arial"/>
          <w:rtl w:val="true"/>
          <w:lang w:val="en-US" w:eastAsia="en-US"/>
        </w:rPr>
        <w:t>ולא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ביקש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לחזור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מהודאתו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זו</w:t>
      </w:r>
      <w:r>
        <w:rPr>
          <w:rFonts w:eastAsia="Calibri" w:cs="Arial" w:ascii="Calibri" w:hAnsi="Calibri"/>
          <w:rtl w:val="true"/>
          <w:lang w:val="en-US" w:eastAsia="en-US"/>
        </w:rPr>
        <w:t xml:space="preserve">), </w:t>
      </w:r>
      <w:r>
        <w:rPr>
          <w:rFonts w:ascii="Calibri" w:hAnsi="Calibri" w:eastAsia="Calibri" w:cs="Arial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המשתמע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מכך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וחזקה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כוחו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טרם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ההודאה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בחן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הראיות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בתיק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לעומקן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כולל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הסיכונים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והסיכויים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שניצבו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בפני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כך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גם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הטענה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המתנ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ס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בוצעה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עבירת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הסחר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rtl w:val="true"/>
          <w:lang w:val="en-US" w:eastAsia="en-US"/>
        </w:rPr>
        <w:t>(</w:t>
      </w:r>
      <w:r>
        <w:rPr>
          <w:rFonts w:ascii="Calibri" w:hAnsi="Calibri" w:eastAsia="Calibri" w:cs="Arial"/>
          <w:rtl w:val="true"/>
          <w:lang w:val="en-US" w:eastAsia="en-US"/>
        </w:rPr>
        <w:t>נשוא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האישום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השני</w:t>
      </w:r>
      <w:r>
        <w:rPr>
          <w:rFonts w:eastAsia="Calibri" w:cs="Arial" w:ascii="Calibri" w:hAnsi="Calibri"/>
          <w:rtl w:val="true"/>
          <w:lang w:val="en-US" w:eastAsia="en-US"/>
        </w:rPr>
        <w:t xml:space="preserve">) </w:t>
      </w:r>
      <w:r>
        <w:rPr>
          <w:rFonts w:ascii="Calibri" w:hAnsi="Calibri" w:eastAsia="Calibri" w:cs="Arial"/>
          <w:rtl w:val="true"/>
          <w:lang w:val="en-US" w:eastAsia="en-US"/>
        </w:rPr>
        <w:t>ממוקם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בסמיכות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לביתו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כמות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הסם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מלמדת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שהם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מהווים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חלק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אינטגראלי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מכמות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הסמים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שנתפסה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באישום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הראשון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אינה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מקובלת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עלינו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סמיכותו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הגיאוגרפית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המתנ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ס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לביתו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קיבלה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ביטוי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בעובדות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כתב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האישום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המתוקן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הודה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וממילא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לכשעצמה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כדי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לייצר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קשר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הדוק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האישומים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האחרים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eastAsia="Calibri" w:cs="Arial"/>
          <w:rtl w:val="true"/>
          <w:lang w:val="en-US" w:eastAsia="en-US"/>
        </w:rPr>
        <w:t>אכן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האישום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הראשון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מתרחש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lang w:val="en-US" w:eastAsia="en-US"/>
        </w:rPr>
        <w:t>6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ימים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לאחר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האישום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השני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ולאחר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חיפוש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שנערך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בביתו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אולם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כמות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הסמים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הגדולה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שנתפסה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וסוגי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הסם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השונים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שנתפסו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באישום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הראשון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rtl w:val="true"/>
          <w:lang w:val="en-US" w:eastAsia="en-US"/>
        </w:rPr>
        <w:t>(</w:t>
      </w:r>
      <w:r>
        <w:rPr>
          <w:rFonts w:eastAsia="Calibri" w:cs="Arial" w:ascii="Calibri" w:hAnsi="Calibri"/>
          <w:lang w:val="en-US" w:eastAsia="en-US"/>
        </w:rPr>
        <w:t>12.9815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גרם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קנבוס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eastAsia="Calibri" w:cs="Arial" w:ascii="Calibri" w:hAnsi="Calibri"/>
          <w:lang w:val="en-US" w:eastAsia="en-US"/>
        </w:rPr>
        <w:t>89.68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גרם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חשיש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</w:t>
      </w:r>
      <w:r>
        <w:rPr>
          <w:rFonts w:eastAsia="Calibri" w:cs="Arial" w:ascii="Calibri" w:hAnsi="Calibri"/>
          <w:rtl w:val="true"/>
          <w:lang w:val="en-US" w:eastAsia="en-US"/>
        </w:rPr>
        <w:t>-</w:t>
      </w:r>
      <w:r>
        <w:rPr>
          <w:rFonts w:eastAsia="Calibri" w:cs="Arial" w:ascii="Calibri" w:hAnsi="Calibri"/>
          <w:lang w:val="en-US" w:eastAsia="en-US"/>
        </w:rPr>
        <w:t>12.1563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גרם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lang w:val="en-US" w:eastAsia="en-US"/>
        </w:rPr>
        <w:t>MDMA</w:t>
      </w:r>
      <w:r>
        <w:rPr>
          <w:rFonts w:eastAsia="Calibri" w:cs="Arial" w:ascii="Calibri" w:hAnsi="Calibri"/>
          <w:rtl w:val="true"/>
          <w:lang w:val="en-US" w:eastAsia="en-US"/>
        </w:rPr>
        <w:t xml:space="preserve">), </w:t>
      </w:r>
      <w:r>
        <w:rPr>
          <w:rFonts w:ascii="Calibri" w:hAnsi="Calibri" w:eastAsia="Calibri" w:cs="Arial"/>
          <w:rtl w:val="true"/>
          <w:lang w:val="en-US" w:eastAsia="en-US"/>
        </w:rPr>
        <w:t>די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בהם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כדי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ליצור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דיכוטומיה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ברורה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ומובהקת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האירועים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ascii="Arial" w:hAnsi="Arial" w:eastAsia="Calibri" w:cs="Arial"/>
          <w:rtl w:val="true"/>
          <w:lang w:val="en-US" w:eastAsia="en-US"/>
        </w:rPr>
        <w:t>אשר להליך הטיפולי בו החל המערער במסגרת האגף לשירותים חברתיים בירוחם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ומתוך המסמכים שהוגשו</w:t>
      </w:r>
      <w:r>
        <w:rPr>
          <w:rFonts w:ascii="Arial" w:hAnsi="Arial" w:eastAsia="Calibri" w:cs="Arial"/>
          <w:rtl w:val="true"/>
          <w:lang w:val="en-US" w:eastAsia="en-US"/>
        </w:rPr>
        <w:t xml:space="preserve"> מטעם עו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 xml:space="preserve">ס היחידה לטיפול בהתמכרויות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 xml:space="preserve">הראשון מיום </w:t>
      </w:r>
      <w:r>
        <w:rPr>
          <w:rFonts w:eastAsia="Calibri" w:cs="Arial" w:ascii="Arial" w:hAnsi="Arial"/>
          <w:lang w:val="en-US" w:eastAsia="en-US"/>
        </w:rPr>
        <w:t>10.08.2</w:t>
      </w:r>
      <w:r>
        <w:rPr>
          <w:rFonts w:eastAsia="Calibri" w:cs="Arial" w:ascii="Arial" w:hAnsi="Arial"/>
          <w:lang w:val="en-US" w:eastAsia="en-US"/>
        </w:rPr>
        <w:t>1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 xml:space="preserve">והשני מיום </w:t>
      </w:r>
      <w:r>
        <w:rPr>
          <w:rFonts w:eastAsia="Calibri" w:cs="Arial" w:ascii="Arial" w:hAnsi="Arial"/>
          <w:lang w:val="en-US" w:eastAsia="en-US"/>
        </w:rPr>
        <w:t>18.11.21</w:t>
      </w:r>
      <w:r>
        <w:rPr>
          <w:rFonts w:eastAsia="Calibri" w:cs="Arial" w:ascii="Arial" w:hAnsi="Arial"/>
          <w:rtl w:val="true"/>
          <w:lang w:val="en-US" w:eastAsia="en-US"/>
        </w:rPr>
        <w:t>),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אכן עולה כי המערער החל בהליך טיפולי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מיזמתו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לאחר גזירת עונשו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>יחד עם זאת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לא ניתן להתעלם מכך</w:t>
      </w:r>
      <w:r>
        <w:rPr>
          <w:rFonts w:ascii="Arial" w:hAnsi="Arial" w:eastAsia="Calibri" w:cs="Arial"/>
          <w:rtl w:val="true"/>
          <w:lang w:val="en-US" w:eastAsia="en-US"/>
        </w:rPr>
        <w:t xml:space="preserve"> שהמערער קיבל הזדמנות להוכיח רצינותו בכל הנוגע לרצונו להיגמל מסמים</w:t>
      </w:r>
      <w:r>
        <w:rPr>
          <w:rFonts w:ascii="Arial" w:hAnsi="Arial" w:eastAsia="Calibri" w:cs="Arial"/>
          <w:rtl w:val="true"/>
          <w:lang w:val="en-US" w:eastAsia="en-US"/>
        </w:rPr>
        <w:t xml:space="preserve"> על פני חודשים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והוא לא היה מעוניין בהליך ונטש אותו </w:t>
      </w:r>
      <w:r>
        <w:rPr>
          <w:rFonts w:ascii="Arial" w:hAnsi="Arial" w:eastAsia="Calibri" w:cs="Arial"/>
          <w:rtl w:val="true"/>
          <w:lang w:val="en-US" w:eastAsia="en-US"/>
        </w:rPr>
        <w:t xml:space="preserve">כבר </w:t>
      </w:r>
      <w:r>
        <w:rPr>
          <w:rFonts w:ascii="Arial" w:hAnsi="Arial" w:eastAsia="Calibri" w:cs="Arial"/>
          <w:rtl w:val="true"/>
          <w:lang w:val="en-US" w:eastAsia="en-US"/>
        </w:rPr>
        <w:t>בתחילתו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>ולמרות כל אלה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ולאור </w:t>
      </w:r>
      <w:r>
        <w:rPr>
          <w:rFonts w:ascii="Arial" w:hAnsi="Arial" w:eastAsia="Calibri" w:cs="Arial"/>
          <w:rtl w:val="true"/>
          <w:lang w:val="en-US" w:eastAsia="en-US"/>
        </w:rPr>
        <w:t>נסיבות חייו הלא פשוטות והמורכבות</w:t>
      </w:r>
      <w:r>
        <w:rPr>
          <w:rFonts w:eastAsia="Calibri" w:cs="Arial" w:ascii="Arial" w:hAnsi="Arial"/>
          <w:rtl w:val="true"/>
          <w:lang w:val="en-US" w:eastAsia="en-US"/>
        </w:rPr>
        <w:t>,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 xml:space="preserve">אשר </w:t>
      </w:r>
      <w:r>
        <w:rPr>
          <w:rFonts w:ascii="Arial" w:hAnsi="Arial" w:eastAsia="Calibri" w:cs="Arial"/>
          <w:rtl w:val="true"/>
          <w:lang w:val="en-US" w:eastAsia="en-US"/>
        </w:rPr>
        <w:t>קיבלו ביטוי ושיקוף מלא בתסקירים שהוגשו לבימ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ש קמא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ביהמ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ש הקל עם המערער ונתן משקל רב לנתונים אלה</w:t>
      </w:r>
      <w:r>
        <w:rPr>
          <w:rFonts w:ascii="Arial" w:hAnsi="Arial" w:eastAsia="Calibri" w:cs="Arial"/>
          <w:rtl w:val="true"/>
          <w:lang w:val="en-US" w:eastAsia="en-US"/>
        </w:rPr>
        <w:t xml:space="preserve"> בשלב גזירת הדין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>כאמור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שירות המבחן הגיש שני תסקירים על המערער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כאשר בתסקיר הראשון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על אף קיומן של אינדיקציות לחוסר רצינותו ומחויבותו של המערער להליך טיפולי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>ולמרות גורמי הסיכון בעניינו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 xml:space="preserve">עדיין הומלץ על </w:t>
      </w:r>
      <w:r>
        <w:rPr>
          <w:rFonts w:ascii="Arial" w:hAnsi="Arial" w:eastAsia="Calibri" w:cs="Arial"/>
          <w:rtl w:val="true"/>
          <w:lang w:val="en-US" w:eastAsia="en-US"/>
        </w:rPr>
        <w:t xml:space="preserve">עריכת </w:t>
      </w:r>
      <w:r>
        <w:rPr>
          <w:rFonts w:ascii="Arial" w:hAnsi="Arial" w:eastAsia="Calibri" w:cs="Arial"/>
          <w:rtl w:val="true"/>
          <w:lang w:val="en-US" w:eastAsia="en-US"/>
        </w:rPr>
        <w:t xml:space="preserve">ניסיון טיפולי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 xml:space="preserve">לאור היבטים אחרים </w:t>
      </w:r>
      <w:r>
        <w:rPr>
          <w:rFonts w:ascii="Arial" w:hAnsi="Arial" w:eastAsia="Calibri" w:cs="Arial"/>
          <w:rtl w:val="true"/>
          <w:lang w:val="en-US" w:eastAsia="en-US"/>
        </w:rPr>
        <w:t>הקשורים</w:t>
      </w:r>
      <w:r>
        <w:rPr>
          <w:rFonts w:ascii="Arial" w:hAnsi="Arial" w:eastAsia="Calibri" w:cs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ב</w:t>
      </w:r>
      <w:r>
        <w:rPr>
          <w:rFonts w:ascii="Arial" w:hAnsi="Arial" w:eastAsia="Calibri" w:cs="Arial"/>
          <w:rtl w:val="true"/>
          <w:lang w:val="en-US" w:eastAsia="en-US"/>
        </w:rPr>
        <w:t>נסיבות חייו של המערער</w:t>
      </w:r>
      <w:r>
        <w:rPr>
          <w:rFonts w:eastAsia="Calibri" w:cs="Arial" w:ascii="Arial" w:hAnsi="Arial"/>
          <w:rtl w:val="true"/>
          <w:lang w:val="en-US" w:eastAsia="en-US"/>
        </w:rPr>
        <w:t>)</w:t>
      </w:r>
      <w:r>
        <w:rPr>
          <w:rFonts w:eastAsia="Calibri" w:cs="Arial" w:ascii="Arial" w:hAnsi="Arial"/>
          <w:rtl w:val="true"/>
          <w:lang w:val="en-US" w:eastAsia="en-US"/>
        </w:rPr>
        <w:t>,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מתוך רצון לחלץ את המערער מאורח החיים ההתמכרותי שניהל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>אלא שהמערער לא השכיל לנצל הזדמנות פז זו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וכאמור בתסקיר השני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אפילו מסר בדיקת שתן אחת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>מתוך שתיים</w:t>
      </w:r>
      <w:r>
        <w:rPr>
          <w:rFonts w:eastAsia="Calibri"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eastAsia="Calibri" w:cs="Arial"/>
          <w:rtl w:val="true"/>
          <w:lang w:val="en-US" w:eastAsia="en-US"/>
        </w:rPr>
        <w:t>שהיה לגביה חשד שהיא מזויפת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>ו</w:t>
      </w:r>
      <w:r>
        <w:rPr>
          <w:rFonts w:ascii="Arial" w:hAnsi="Arial" w:eastAsia="Calibri" w:cs="Arial"/>
          <w:rtl w:val="true"/>
          <w:lang w:val="en-US" w:eastAsia="en-US"/>
        </w:rPr>
        <w:t xml:space="preserve">המערער אף </w:t>
      </w:r>
      <w:r>
        <w:rPr>
          <w:rFonts w:ascii="Arial" w:hAnsi="Arial" w:eastAsia="Calibri" w:cs="Arial"/>
          <w:rtl w:val="true"/>
          <w:lang w:val="en-US" w:eastAsia="en-US"/>
        </w:rPr>
        <w:t>טען שאינו צורך סמים ולכן גם אינו זקוק לטיפול שהוצע לו ב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בית חוסן</w:t>
      </w:r>
      <w:r>
        <w:rPr>
          <w:rFonts w:eastAsia="Calibri" w:cs="Arial" w:ascii="Arial" w:hAnsi="Arial"/>
          <w:rtl w:val="true"/>
          <w:lang w:val="en-US" w:eastAsia="en-US"/>
        </w:rPr>
        <w:t xml:space="preserve">". </w:t>
      </w:r>
      <w:r>
        <w:rPr>
          <w:rFonts w:ascii="Arial" w:hAnsi="Arial" w:eastAsia="Calibri" w:cs="Arial"/>
          <w:rtl w:val="true"/>
          <w:lang w:val="en-US" w:eastAsia="en-US"/>
        </w:rPr>
        <w:t>יתרה מכך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גם בפני הממונה על עבודות שירות טען המערער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כי אינו משתמש בסמים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כאשר מידע נכון אודותיו</w:t>
      </w:r>
      <w:r>
        <w:rPr>
          <w:rFonts w:eastAsia="Calibri" w:cs="Arial" w:ascii="Arial" w:hAnsi="Arial"/>
          <w:rtl w:val="true"/>
          <w:lang w:val="en-US" w:eastAsia="en-US"/>
        </w:rPr>
        <w:t>,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לו היה נמסר לממונה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ייתכן והיה משפיע על ה</w:t>
      </w:r>
      <w:r>
        <w:rPr>
          <w:rFonts w:ascii="Arial" w:hAnsi="Arial" w:eastAsia="Calibri" w:cs="Arial"/>
          <w:rtl w:val="true"/>
          <w:lang w:val="en-US" w:eastAsia="en-US"/>
        </w:rPr>
        <w:t>מלצתו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>למעשה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עלה בפני ביהמ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ש קמא כי מדובר באדם מניפולטיבי שאינו לוקח אחריות על מעשיו</w:t>
      </w:r>
      <w:r>
        <w:rPr>
          <w:rFonts w:eastAsia="Calibri"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eastAsia="Calibri" w:cs="Arial"/>
          <w:rtl w:val="true"/>
          <w:lang w:val="en-US" w:eastAsia="en-US"/>
        </w:rPr>
        <w:t>מצמצם מחומרתם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ואפילו סובר שהתנהגותו אינה חריגה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 xml:space="preserve">למשל כשטען שבעצם חבריו רצו 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לפנק</w:t>
      </w:r>
      <w:r>
        <w:rPr>
          <w:rFonts w:eastAsia="Calibri" w:cs="Arial" w:ascii="Arial" w:hAnsi="Arial"/>
          <w:rtl w:val="true"/>
          <w:lang w:val="en-US" w:eastAsia="en-US"/>
        </w:rPr>
        <w:t xml:space="preserve">" </w:t>
      </w:r>
      <w:r>
        <w:rPr>
          <w:rFonts w:ascii="Arial" w:hAnsi="Arial" w:eastAsia="Calibri" w:cs="Arial"/>
          <w:rtl w:val="true"/>
          <w:lang w:val="en-US" w:eastAsia="en-US"/>
        </w:rPr>
        <w:t>אותו באקסטזי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שהתברר שהיה </w:t>
      </w:r>
      <w:r>
        <w:rPr>
          <w:rFonts w:eastAsia="Calibri" w:cs="Arial" w:ascii="Arial" w:hAnsi="Arial"/>
          <w:lang w:val="en-US" w:eastAsia="en-US"/>
        </w:rPr>
        <w:t>MDMA</w:t>
      </w:r>
      <w:r>
        <w:rPr>
          <w:rFonts w:eastAsia="Calibri" w:cs="Arial" w:ascii="Arial" w:hAnsi="Arial"/>
          <w:rtl w:val="true"/>
          <w:lang w:val="en-US" w:eastAsia="en-US"/>
        </w:rPr>
        <w:t xml:space="preserve">). </w:t>
      </w:r>
      <w:r>
        <w:rPr>
          <w:rFonts w:ascii="Arial" w:hAnsi="Arial" w:eastAsia="Calibri" w:cs="Arial"/>
          <w:rtl w:val="true"/>
          <w:lang w:val="en-US" w:eastAsia="en-US"/>
        </w:rPr>
        <w:t>הטענה כי לאחר מתן גזר הדין הבין המערער כי עליו לעבור טיפול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אין בה כדי לשנות מכל האמור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>ולעיין זה יצוין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כי מהמסמכים מטעם עו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ס היחידה להתמכרויות בירוחם עולה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כי המערער פנה אליהם רק לאחר שהבין שהוא עומד בפני כניסה למאסר וכי 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העלה את רצונו להשתלב בטיפול במרכז יום לנפגעי התמכרויות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ובכך בעצם לקבל חלופה ממעצר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eastAsia="Calibri" w:cs="Arial" w:ascii="Arial" w:hAnsi="Arial"/>
          <w:rtl w:val="true"/>
          <w:lang w:val="en-US" w:eastAsia="en-US"/>
        </w:rPr>
        <w:t xml:space="preserve"> (</w:t>
      </w:r>
      <w:r>
        <w:rPr>
          <w:rFonts w:ascii="Arial" w:hAnsi="Arial" w:eastAsia="Calibri" w:cs="Arial"/>
          <w:rtl w:val="true"/>
          <w:lang w:val="en-US" w:eastAsia="en-US"/>
        </w:rPr>
        <w:t xml:space="preserve">מסמך מיום </w:t>
      </w:r>
      <w:r>
        <w:rPr>
          <w:rFonts w:eastAsia="Calibri" w:cs="Arial" w:ascii="Arial" w:hAnsi="Arial"/>
          <w:lang w:val="en-US" w:eastAsia="en-US"/>
        </w:rPr>
        <w:t>18.11.21</w:t>
      </w:r>
      <w:r>
        <w:rPr>
          <w:rFonts w:eastAsia="Calibri" w:cs="Arial" w:ascii="Arial" w:hAnsi="Arial"/>
          <w:rtl w:val="true"/>
          <w:lang w:val="en-US" w:eastAsia="en-US"/>
        </w:rPr>
        <w:t xml:space="preserve">). </w:t>
      </w:r>
      <w:r>
        <w:rPr>
          <w:rFonts w:ascii="Arial" w:hAnsi="Arial" w:eastAsia="Calibri" w:cs="Arial"/>
          <w:rtl w:val="true"/>
          <w:lang w:val="en-US" w:eastAsia="en-US"/>
        </w:rPr>
        <w:t>לא מדובר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אם כן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בהבנת עומק הבעיה וחומרת מעשי העבירה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אלא בניסיון להתחמק מעונש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וכל עוד המערער קיווה שביהמ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ש יאמץ את המלצות שירות המבחן וידון אותו לעבודות שירות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העדיף את השימוש בסמים על פני שיקום כלשהו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>יתרה מכך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המערער מסר לעו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ס בירוחם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כי הופנה אליהם מטעם 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בית חוסן</w:t>
      </w:r>
      <w:r>
        <w:rPr>
          <w:rFonts w:eastAsia="Calibri" w:cs="Arial" w:ascii="Arial" w:hAnsi="Arial"/>
          <w:rtl w:val="true"/>
          <w:lang w:val="en-US" w:eastAsia="en-US"/>
        </w:rPr>
        <w:t xml:space="preserve">", </w:t>
      </w:r>
      <w:r>
        <w:rPr>
          <w:rFonts w:ascii="Arial" w:hAnsi="Arial" w:eastAsia="Calibri" w:cs="Arial"/>
          <w:rtl w:val="true"/>
          <w:lang w:val="en-US" w:eastAsia="en-US"/>
        </w:rPr>
        <w:t>למרות שעל פי התסקיר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הנאשם הופנה ל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בית חוסן</w:t>
      </w:r>
      <w:r>
        <w:rPr>
          <w:rFonts w:eastAsia="Calibri" w:cs="Arial" w:ascii="Arial" w:hAnsi="Arial"/>
          <w:rtl w:val="true"/>
          <w:lang w:val="en-US" w:eastAsia="en-US"/>
        </w:rPr>
        <w:t xml:space="preserve">" </w:t>
      </w:r>
      <w:r>
        <w:rPr>
          <w:rFonts w:ascii="Arial" w:hAnsi="Arial" w:eastAsia="Calibri" w:cs="Arial"/>
          <w:rtl w:val="true"/>
          <w:lang w:val="en-US" w:eastAsia="en-US"/>
        </w:rPr>
        <w:t>כדי לקבל שם טיפול אינטנסיבי וההפניה לאגף הרווחה בירוחם נעש</w:t>
      </w:r>
      <w:r>
        <w:rPr>
          <w:rFonts w:ascii="Arial" w:hAnsi="Arial" w:eastAsia="Calibri" w:cs="Arial"/>
          <w:rtl w:val="true"/>
          <w:lang w:val="en-US" w:eastAsia="en-US"/>
        </w:rPr>
        <w:t>ת</w:t>
      </w:r>
      <w:r>
        <w:rPr>
          <w:rFonts w:ascii="Arial" w:hAnsi="Arial" w:eastAsia="Calibri" w:cs="Arial"/>
          <w:rtl w:val="true"/>
          <w:lang w:val="en-US" w:eastAsia="en-US"/>
        </w:rPr>
        <w:t>ה כשלב ראשוני טרם ההשתלבות ב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בית חוסן</w:t>
      </w:r>
      <w:r>
        <w:rPr>
          <w:rFonts w:eastAsia="Calibri" w:cs="Arial" w:ascii="Arial" w:hAnsi="Arial"/>
          <w:rtl w:val="true"/>
          <w:lang w:val="en-US" w:eastAsia="en-US"/>
        </w:rPr>
        <w:t xml:space="preserve">" </w:t>
      </w:r>
      <w:r>
        <w:rPr>
          <w:rFonts w:ascii="Arial" w:hAnsi="Arial" w:eastAsia="Calibri" w:cs="Arial"/>
          <w:rtl w:val="true"/>
          <w:lang w:val="en-US" w:eastAsia="en-US"/>
        </w:rPr>
        <w:t xml:space="preserve">ולא ההיפך כפי שציין המערער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 xml:space="preserve">ציינו כי טרם יוכל להשתלב במסגרת זו </w:t>
      </w:r>
      <w:r>
        <w:rPr>
          <w:rFonts w:eastAsia="Calibri" w:cs="Arial" w:ascii="Arial" w:hAnsi="Arial"/>
          <w:rtl w:val="true"/>
          <w:lang w:val="en-US" w:eastAsia="en-US"/>
        </w:rPr>
        <w:t>(</w:t>
      </w:r>
      <w:r>
        <w:rPr>
          <w:rFonts w:ascii="Arial" w:hAnsi="Arial" w:eastAsia="Calibri" w:cs="Arial"/>
          <w:rtl w:val="true"/>
          <w:lang w:val="en-US" w:eastAsia="en-US"/>
        </w:rPr>
        <w:t>ב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בית חוסן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eastAsia="Calibri" w:cs="Arial" w:ascii="Arial" w:hAnsi="Arial"/>
          <w:rtl w:val="true"/>
          <w:lang w:val="en-US" w:eastAsia="en-US"/>
        </w:rPr>
        <w:t xml:space="preserve"> – </w:t>
      </w:r>
      <w:r>
        <w:rPr>
          <w:rFonts w:ascii="Arial" w:hAnsi="Arial" w:eastAsia="Calibri" w:cs="Arial"/>
          <w:rtl w:val="true"/>
          <w:lang w:val="en-US" w:eastAsia="en-US"/>
        </w:rPr>
        <w:t>ר</w:t>
      </w:r>
      <w:r>
        <w:rPr>
          <w:rFonts w:eastAsia="Calibri" w:cs="Arial" w:ascii="Arial" w:hAnsi="Arial"/>
          <w:rtl w:val="true"/>
          <w:lang w:val="en-US" w:eastAsia="en-US"/>
        </w:rPr>
        <w:t>.</w:t>
      </w:r>
      <w:r>
        <w:rPr>
          <w:rFonts w:ascii="Arial" w:hAnsi="Arial" w:eastAsia="Calibri" w:cs="Arial"/>
          <w:rtl w:val="true"/>
          <w:lang w:val="en-US" w:eastAsia="en-US"/>
        </w:rPr>
        <w:t>י</w:t>
      </w:r>
      <w:r>
        <w:rPr>
          <w:rFonts w:eastAsia="Calibri" w:cs="Arial" w:ascii="Arial" w:hAnsi="Arial"/>
          <w:rtl w:val="true"/>
          <w:lang w:val="en-US" w:eastAsia="en-US"/>
        </w:rPr>
        <w:t>.</w:t>
      </w:r>
      <w:r>
        <w:rPr>
          <w:rFonts w:ascii="Arial" w:hAnsi="Arial" w:eastAsia="Calibri" w:cs="Arial"/>
          <w:rtl w:val="true"/>
          <w:lang w:val="en-US" w:eastAsia="en-US"/>
        </w:rPr>
        <w:t>כ</w:t>
      </w:r>
      <w:r>
        <w:rPr>
          <w:rFonts w:eastAsia="Calibri" w:cs="Arial" w:ascii="Arial" w:hAnsi="Arial"/>
          <w:rtl w:val="true"/>
          <w:lang w:val="en-US" w:eastAsia="en-US"/>
        </w:rPr>
        <w:t>.)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עלי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ו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 xml:space="preserve"> להיפגש עם עו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ס התמכרויות בירוחם לצורך הועדה למסגרת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לעבור ראיון קבלה ב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בית חוסן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"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ולמסור בדיקות שתן נקיות שרידי סם בשירותנו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eastAsia="Calibri"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eastAsia="Calibri"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ascii="Arial" w:hAnsi="Arial" w:eastAsia="Calibri" w:cs="Arial"/>
          <w:rtl w:val="true"/>
          <w:lang w:val="en-US" w:eastAsia="en-US"/>
        </w:rPr>
        <w:t>המערער אינו זה אשר אמור לבחור את ההליך הטיפולי בהתאם לבחירתו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בתקווה שביהמ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ש יתכופף לרצונותיו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אלא היה עליו לשתף פעולה עם שירות המבחן מתוך הבנה פנימית כי הגיעה העת לעשות שינוי בחייו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ולא רק למען ההתחמקות מעונש המאסר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eastAsia="Calibri"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ascii="Arial" w:hAnsi="Arial" w:eastAsia="Calibri" w:cs="Arial"/>
          <w:rtl w:val="true"/>
          <w:lang w:val="en-US" w:eastAsia="en-US"/>
        </w:rPr>
        <w:t>בנסיבות אלה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לא רק שביהמ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>ש לא טעה עת בחר להעדיף את האינטרס הציבורי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אלא שגם במסגרת הערעור אין כל הצדקה להעדיף את ההליך הטיפולי שהמערער החל בו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על פני ההליך ששירות המבחן סבר שהוא זקוק לו</w:t>
      </w:r>
      <w:r>
        <w:rPr>
          <w:rFonts w:eastAsia="Calibri"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rtl w:val="true"/>
          <w:lang w:val="en-US" w:eastAsia="en-US"/>
        </w:rPr>
        <w:t>כך</w:t>
      </w:r>
      <w:r>
        <w:rPr>
          <w:rFonts w:eastAsia="Calibri" w:cs="Arial" w:ascii="Arial" w:hAnsi="Arial"/>
          <w:rtl w:val="true"/>
          <w:lang w:val="en-US" w:eastAsia="en-US"/>
        </w:rPr>
        <w:t>,</w:t>
      </w:r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 xml:space="preserve">גם </w:t>
      </w:r>
      <w:r>
        <w:rPr>
          <w:rFonts w:ascii="Arial" w:hAnsi="Arial" w:eastAsia="Calibri" w:cs="Arial"/>
          <w:rtl w:val="true"/>
          <w:lang w:val="en-US" w:eastAsia="en-US"/>
        </w:rPr>
        <w:t>אין הצדקה לקבל תסקיר משלים אודות</w:t>
      </w:r>
      <w:r>
        <w:rPr>
          <w:rFonts w:ascii="Arial" w:hAnsi="Arial" w:eastAsia="Calibri" w:cs="Arial"/>
          <w:rtl w:val="true"/>
          <w:lang w:val="en-US" w:eastAsia="en-US"/>
        </w:rPr>
        <w:t xml:space="preserve"> המערער</w:t>
      </w:r>
      <w:r>
        <w:rPr>
          <w:rFonts w:ascii="Arial" w:hAnsi="Arial" w:eastAsia="Calibri" w:cs="Arial"/>
          <w:rtl w:val="true"/>
          <w:lang w:val="en-US" w:eastAsia="en-US"/>
        </w:rPr>
        <w:t xml:space="preserve"> מעבר למסמכים שנמצאים כבר בפנינו מרשויות הרווחה בירוחם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ואנו מקווים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שהמערער ישכיל להמשיך בהליך הטיפולי גם בין כותלי בית הסוהר</w:t>
      </w:r>
      <w:r>
        <w:rPr>
          <w:rFonts w:eastAsia="Calibri"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eastAsia="Calibri" w:cs="Arial"/>
          <w:spacing w:val="10"/>
          <w:lang w:val="en-US" w:eastAsia="en-US"/>
        </w:rPr>
      </w:pPr>
      <w:r>
        <w:rPr>
          <w:rFonts w:eastAsia="Calibri" w:cs="Arial" w:ascii="Arial" w:hAnsi="Arial"/>
          <w:spacing w:val="10"/>
          <w:rtl w:val="true"/>
          <w:lang w:val="en-US" w:eastAsia="en-US"/>
        </w:rPr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Arial" w:hAnsi="Arial" w:eastAsia="Calibri" w:cs="Arial"/>
          <w:spacing w:val="10"/>
          <w:rtl w:val="true"/>
          <w:lang w:val="en-US" w:eastAsia="en-US"/>
        </w:rPr>
        <w:t>לא מצאנו ממש גם בטענה</w:t>
      </w:r>
      <w:r>
        <w:rPr>
          <w:rFonts w:eastAsia="Calibri" w:cs="Arial" w:ascii="Arial" w:hAnsi="Arial"/>
          <w:spacing w:val="10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spacing w:val="10"/>
          <w:rtl w:val="true"/>
          <w:lang w:val="en-US" w:eastAsia="en-US"/>
        </w:rPr>
        <w:t>כי המערער החזיק ב</w:t>
      </w:r>
      <w:r>
        <w:rPr>
          <w:rFonts w:eastAsia="Calibri" w:cs="Arial" w:ascii="Arial" w:hAnsi="Arial"/>
          <w:spacing w:val="10"/>
          <w:rtl w:val="true"/>
          <w:lang w:val="en-US" w:eastAsia="en-US"/>
        </w:rPr>
        <w:t>"</w:t>
      </w:r>
      <w:r>
        <w:rPr>
          <w:rFonts w:ascii="Arial" w:hAnsi="Arial" w:eastAsia="Calibri" w:cs="Arial"/>
          <w:spacing w:val="10"/>
          <w:rtl w:val="true"/>
          <w:lang w:val="en-US" w:eastAsia="en-US"/>
        </w:rPr>
        <w:t>סמים קלים</w:t>
      </w:r>
      <w:r>
        <w:rPr>
          <w:rFonts w:eastAsia="Calibri" w:cs="Arial" w:ascii="Arial" w:hAnsi="Arial"/>
          <w:spacing w:val="10"/>
          <w:rtl w:val="true"/>
          <w:lang w:val="en-US" w:eastAsia="en-US"/>
        </w:rPr>
        <w:t xml:space="preserve">", </w:t>
      </w:r>
      <w:r>
        <w:rPr>
          <w:rFonts w:ascii="Arial" w:hAnsi="Arial" w:eastAsia="Calibri" w:cs="Arial"/>
          <w:spacing w:val="10"/>
          <w:rtl w:val="true"/>
          <w:lang w:val="en-US" w:eastAsia="en-US"/>
        </w:rPr>
        <w:t>כנימוק נוסף להקלה בעונשו</w:t>
      </w:r>
      <w:r>
        <w:rPr>
          <w:rFonts w:eastAsia="Calibri" w:cs="Arial" w:ascii="Arial" w:hAnsi="Arial"/>
          <w:spacing w:val="10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spacing w:val="10"/>
          <w:rtl w:val="true"/>
          <w:lang w:val="en-US" w:eastAsia="en-US"/>
        </w:rPr>
        <w:t>בעניין זה ציין ביהמ</w:t>
      </w:r>
      <w:r>
        <w:rPr>
          <w:rFonts w:eastAsia="Calibri" w:cs="Arial" w:ascii="Arial" w:hAnsi="Arial"/>
          <w:spacing w:val="10"/>
          <w:rtl w:val="true"/>
          <w:lang w:val="en-US" w:eastAsia="en-US"/>
        </w:rPr>
        <w:t>"</w:t>
      </w:r>
      <w:r>
        <w:rPr>
          <w:rFonts w:ascii="Arial" w:hAnsi="Arial" w:eastAsia="Calibri" w:cs="Arial"/>
          <w:spacing w:val="10"/>
          <w:rtl w:val="true"/>
          <w:lang w:val="en-US" w:eastAsia="en-US"/>
        </w:rPr>
        <w:t>ש קמא</w:t>
      </w:r>
      <w:r>
        <w:rPr>
          <w:rFonts w:eastAsia="Calibri" w:cs="Arial" w:ascii="Arial" w:hAnsi="Arial"/>
          <w:spacing w:val="10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spacing w:val="10"/>
          <w:rtl w:val="true"/>
          <w:lang w:val="en-US" w:eastAsia="en-US"/>
        </w:rPr>
        <w:t xml:space="preserve">בסעיף </w:t>
      </w:r>
      <w:r>
        <w:rPr>
          <w:rFonts w:eastAsia="Calibri" w:cs="Arial" w:ascii="Arial" w:hAnsi="Arial"/>
          <w:spacing w:val="10"/>
          <w:lang w:val="en-US" w:eastAsia="en-US"/>
        </w:rPr>
        <w:t>22</w:t>
      </w:r>
      <w:r>
        <w:rPr>
          <w:rFonts w:eastAsia="Calibri" w:cs="Arial" w:ascii="Arial" w:hAnsi="Arial"/>
          <w:spacing w:val="10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spacing w:val="10"/>
          <w:rtl w:val="true"/>
          <w:lang w:val="en-US" w:eastAsia="en-US"/>
        </w:rPr>
        <w:t>לגזר דינו</w:t>
      </w:r>
      <w:r>
        <w:rPr>
          <w:rFonts w:eastAsia="Calibri" w:cs="Arial" w:ascii="Arial" w:hAnsi="Arial"/>
          <w:spacing w:val="10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spacing w:val="10"/>
          <w:rtl w:val="true"/>
          <w:lang w:val="en-US" w:eastAsia="en-US"/>
        </w:rPr>
        <w:t xml:space="preserve">כי 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>"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 xml:space="preserve">סם </w:t>
      </w:r>
      <w:r>
        <w:rPr>
          <w:rFonts w:eastAsia="Calibri" w:cs="Miriam" w:ascii="Miriam" w:hAnsi="Miriam"/>
          <w:b/>
          <w:bCs/>
          <w:spacing w:val="10"/>
          <w:lang w:val="en-US" w:eastAsia="en-US"/>
        </w:rPr>
        <w:t>MDMA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 xml:space="preserve"> 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>אינו נמנה על הסמים ה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>"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>קלים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 xml:space="preserve">", 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>בניגוד לסמים מסוג קנבוס וחשיש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>ועל כל פנים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>סבורני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>כי לעניין הפגיעה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 xml:space="preserve">לא נכון להבחין בין 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>"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>סמים קשים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 xml:space="preserve">" 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>ל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>"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>סמים קלים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 xml:space="preserve">", 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>שתוצאת השימוש בהם וההתמכרות אליהם אף הן קשות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>ארוכות טווח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>רחבות היקף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>חורגות מעניינו של אדם אחד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>ונוגעות לכלל החברה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>"</w:t>
      </w:r>
      <w:r>
        <w:rPr>
          <w:rFonts w:eastAsia="Calibri" w:cs="Arial" w:ascii="Arial" w:hAnsi="Arial"/>
          <w:spacing w:val="10"/>
          <w:rtl w:val="true"/>
          <w:lang w:val="en-US" w:eastAsia="en-US"/>
        </w:rPr>
        <w:t xml:space="preserve">. </w:t>
      </w:r>
      <w:r>
        <w:rPr>
          <w:rFonts w:ascii="Arial" w:hAnsi="Arial" w:eastAsia="Calibri" w:cs="Arial"/>
          <w:spacing w:val="10"/>
          <w:rtl w:val="true"/>
          <w:lang w:val="en-US" w:eastAsia="en-US"/>
        </w:rPr>
        <w:t>ואכן</w:t>
      </w:r>
      <w:r>
        <w:rPr>
          <w:rFonts w:eastAsia="Calibri" w:cs="Arial" w:ascii="Arial" w:hAnsi="Arial"/>
          <w:spacing w:val="10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spacing w:val="10"/>
          <w:rtl w:val="true"/>
          <w:lang w:val="en-US" w:eastAsia="en-US"/>
        </w:rPr>
        <w:t>הסיפא לאמור בסעיף זה מקובל</w:t>
      </w:r>
      <w:r>
        <w:rPr>
          <w:rFonts w:ascii="Arial" w:hAnsi="Arial" w:eastAsia="Calibri" w:cs="Arial"/>
          <w:spacing w:val="10"/>
          <w:rtl w:val="true"/>
          <w:lang w:val="en-US" w:eastAsia="en-US"/>
        </w:rPr>
        <w:t>ת</w:t>
      </w:r>
      <w:r>
        <w:rPr>
          <w:rFonts w:ascii="Arial" w:hAnsi="Arial" w:eastAsia="Calibri" w:cs="Arial"/>
          <w:spacing w:val="10"/>
          <w:rtl w:val="true"/>
          <w:lang w:val="en-US" w:eastAsia="en-US"/>
        </w:rPr>
        <w:t xml:space="preserve"> עלינו</w:t>
      </w:r>
      <w:r>
        <w:rPr>
          <w:rFonts w:eastAsia="Calibri" w:cs="Arial" w:ascii="Arial" w:hAnsi="Arial"/>
          <w:spacing w:val="10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spacing w:val="10"/>
          <w:rtl w:val="true"/>
          <w:lang w:val="en-US" w:eastAsia="en-US"/>
        </w:rPr>
        <w:t>ובאשר לרישא</w:t>
      </w:r>
      <w:r>
        <w:rPr>
          <w:rFonts w:eastAsia="Calibri" w:cs="Arial" w:ascii="Arial" w:hAnsi="Arial"/>
          <w:spacing w:val="10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spacing w:val="10"/>
          <w:rtl w:val="true"/>
          <w:lang w:val="en-US" w:eastAsia="en-US"/>
        </w:rPr>
        <w:t>אין לנו אלא להפנות לפסק דינו של כב</w:t>
      </w:r>
      <w:r>
        <w:rPr>
          <w:rFonts w:eastAsia="Calibri" w:cs="Arial" w:ascii="Arial" w:hAnsi="Arial"/>
          <w:spacing w:val="10"/>
          <w:rtl w:val="true"/>
          <w:lang w:val="en-US" w:eastAsia="en-US"/>
        </w:rPr>
        <w:t xml:space="preserve">' </w:t>
      </w:r>
      <w:r>
        <w:rPr>
          <w:rFonts w:ascii="Arial" w:hAnsi="Arial" w:eastAsia="Calibri" w:cs="Arial"/>
          <w:spacing w:val="10"/>
          <w:rtl w:val="true"/>
          <w:lang w:val="en-US" w:eastAsia="en-US"/>
        </w:rPr>
        <w:t>השופט אלרון ב</w:t>
      </w:r>
      <w:hyperlink r:id="rId32">
        <w:r>
          <w:rPr>
            <w:rStyle w:val="Hyperlink"/>
            <w:rFonts w:ascii="Arial" w:hAnsi="Arial" w:eastAsia="Calibri" w:cs="Arial"/>
            <w:color w:val="0000FF"/>
            <w:spacing w:val="10"/>
            <w:u w:val="single"/>
            <w:rtl w:val="true"/>
            <w:lang w:val="en-US" w:eastAsia="en-US"/>
          </w:rPr>
          <w:t>רע</w:t>
        </w:r>
        <w:r>
          <w:rPr>
            <w:rStyle w:val="Hyperlink"/>
            <w:rFonts w:eastAsia="Calibri" w:cs="Arial" w:ascii="Arial" w:hAnsi="Arial"/>
            <w:color w:val="0000FF"/>
            <w:spacing w:val="10"/>
            <w:u w:val="single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eastAsia="Calibri" w:cs="Arial"/>
            <w:color w:val="0000FF"/>
            <w:spacing w:val="10"/>
            <w:u w:val="single"/>
            <w:rtl w:val="true"/>
            <w:lang w:val="en-US" w:eastAsia="en-US"/>
          </w:rPr>
          <w:t xml:space="preserve">פ </w:t>
        </w:r>
        <w:r>
          <w:rPr>
            <w:rStyle w:val="Hyperlink"/>
            <w:rFonts w:eastAsia="Calibri" w:cs="Arial" w:ascii="Arial" w:hAnsi="Arial"/>
            <w:color w:val="0000FF"/>
            <w:spacing w:val="10"/>
            <w:u w:val="single"/>
            <w:lang w:val="en-US" w:eastAsia="en-US"/>
          </w:rPr>
          <w:t>8759/21</w:t>
        </w:r>
      </w:hyperlink>
      <w:r>
        <w:rPr>
          <w:rFonts w:eastAsia="Calibri" w:cs="Arial" w:ascii="Arial" w:hAnsi="Arial"/>
          <w:spacing w:val="10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b/>
          <w:b/>
          <w:bCs/>
          <w:spacing w:val="10"/>
          <w:rtl w:val="true"/>
          <w:lang w:val="en-US" w:eastAsia="en-US"/>
        </w:rPr>
        <w:t>אלעד קסלר נ</w:t>
      </w:r>
      <w:r>
        <w:rPr>
          <w:rFonts w:eastAsia="Calibri" w:cs="Arial" w:ascii="Arial" w:hAnsi="Arial"/>
          <w:b/>
          <w:bCs/>
          <w:spacing w:val="10"/>
          <w:rtl w:val="true"/>
          <w:lang w:val="en-US" w:eastAsia="en-US"/>
        </w:rPr>
        <w:t xml:space="preserve">' </w:t>
      </w:r>
      <w:r>
        <w:rPr>
          <w:rFonts w:ascii="Arial" w:hAnsi="Arial" w:eastAsia="Calibri" w:cs="Arial"/>
          <w:b/>
          <w:b/>
          <w:bCs/>
          <w:spacing w:val="10"/>
          <w:rtl w:val="true"/>
          <w:lang w:val="en-US" w:eastAsia="en-US"/>
        </w:rPr>
        <w:t>מדינת ישראל</w:t>
      </w:r>
      <w:r>
        <w:rPr>
          <w:rFonts w:ascii="Arial" w:hAnsi="Arial" w:eastAsia="Calibri" w:cs="Arial"/>
          <w:spacing w:val="10"/>
          <w:rtl w:val="true"/>
          <w:lang w:val="en-US" w:eastAsia="en-US"/>
        </w:rPr>
        <w:t xml:space="preserve"> </w:t>
      </w:r>
      <w:r>
        <w:rPr>
          <w:rFonts w:eastAsia="Calibri"/>
          <w:sz w:val="22"/>
          <w:rtl w:val="true"/>
          <w:lang w:val="en-US" w:eastAsia="en-US"/>
        </w:rPr>
        <w:t>[</w:t>
      </w:r>
      <w:r>
        <w:rPr>
          <w:rFonts w:eastAsia="Calibri"/>
          <w:sz w:val="22"/>
          <w:sz w:val="22"/>
          <w:rtl w:val="true"/>
          <w:lang w:val="en-US" w:eastAsia="en-US"/>
        </w:rPr>
        <w:t>פורסם</w:t>
      </w:r>
      <w:r>
        <w:rPr>
          <w:rFonts w:eastAsia="Times New Roman" w:cs="Times New Roman"/>
          <w:sz w:val="22"/>
          <w:sz w:val="22"/>
          <w:rtl w:val="true"/>
          <w:lang w:val="en-US" w:eastAsia="en-US"/>
        </w:rPr>
        <w:t xml:space="preserve"> </w:t>
      </w:r>
      <w:r>
        <w:rPr>
          <w:rFonts w:eastAsia="Calibri"/>
          <w:sz w:val="22"/>
          <w:sz w:val="22"/>
          <w:rtl w:val="true"/>
          <w:lang w:val="en-US" w:eastAsia="en-US"/>
        </w:rPr>
        <w:t>בנבו</w:t>
      </w:r>
      <w:r>
        <w:rPr>
          <w:rFonts w:eastAsia="Calibri"/>
          <w:sz w:val="22"/>
          <w:rtl w:val="true"/>
          <w:lang w:val="en-US" w:eastAsia="en-US"/>
        </w:rPr>
        <w:t xml:space="preserve">] </w:t>
      </w:r>
      <w:r>
        <w:rPr>
          <w:rFonts w:eastAsia="Calibri" w:cs="Arial" w:ascii="Arial" w:hAnsi="Arial"/>
          <w:spacing w:val="10"/>
          <w:rtl w:val="true"/>
          <w:lang w:val="en-US" w:eastAsia="en-US"/>
        </w:rPr>
        <w:t>(</w:t>
      </w:r>
      <w:r>
        <w:rPr>
          <w:rFonts w:ascii="Arial" w:hAnsi="Arial" w:eastAsia="Calibri" w:cs="Arial"/>
          <w:spacing w:val="10"/>
          <w:rtl w:val="true"/>
          <w:lang w:val="en-US" w:eastAsia="en-US"/>
        </w:rPr>
        <w:t>מיום ‏</w:t>
      </w:r>
      <w:r>
        <w:rPr>
          <w:rFonts w:eastAsia="Calibri" w:cs="Arial" w:ascii="Arial" w:hAnsi="Arial"/>
          <w:spacing w:val="10"/>
          <w:lang w:val="en-US" w:eastAsia="en-US"/>
        </w:rPr>
        <w:t>23.12.2021</w:t>
      </w:r>
      <w:r>
        <w:rPr>
          <w:rFonts w:eastAsia="Calibri" w:cs="Arial" w:ascii="Arial" w:hAnsi="Arial"/>
          <w:spacing w:val="10"/>
          <w:rtl w:val="true"/>
          <w:lang w:val="en-US" w:eastAsia="en-US"/>
        </w:rPr>
        <w:t xml:space="preserve">), </w:t>
      </w:r>
      <w:r>
        <w:rPr>
          <w:rFonts w:ascii="Arial" w:hAnsi="Arial" w:eastAsia="Calibri" w:cs="Arial"/>
          <w:spacing w:val="10"/>
          <w:rtl w:val="true"/>
          <w:lang w:val="en-US" w:eastAsia="en-US"/>
        </w:rPr>
        <w:t>שם פסק</w:t>
      </w:r>
      <w:r>
        <w:rPr>
          <w:rFonts w:eastAsia="Calibri" w:cs="Arial" w:ascii="Arial" w:hAnsi="Arial"/>
          <w:spacing w:val="10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spacing w:val="10"/>
          <w:rtl w:val="true"/>
          <w:lang w:val="en-US" w:eastAsia="en-US"/>
        </w:rPr>
        <w:t xml:space="preserve">כי 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>"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>כפי שמוגדר בפקודה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>סם הקנבוס הוא סם מסוכן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>והוראת המחוקק לעניין זה היא הדין הנוהג והמחייב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 xml:space="preserve">. 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>כל עוד לא נקבע אחרת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>התפיסה לפיה קנבוס הוא בגדר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 xml:space="preserve"> 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>"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>סם קל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 xml:space="preserve">" 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>ודינו שונה מדינם של סמים אחרים נעדרת אחיזה בדין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 xml:space="preserve">, </w:t>
      </w:r>
      <w:r>
        <w:rPr>
          <w:rFonts w:ascii="Miriam" w:hAnsi="Miriam" w:eastAsia="Calibri" w:cs="Miriam"/>
          <w:b/>
          <w:b/>
          <w:bCs/>
          <w:spacing w:val="10"/>
          <w:rtl w:val="true"/>
          <w:lang w:val="en-US" w:eastAsia="en-US"/>
        </w:rPr>
        <w:t>ואין בה כדי לבטל את החזקה הקבועה בפקודה</w:t>
      </w:r>
      <w:r>
        <w:rPr>
          <w:rFonts w:eastAsia="Calibri" w:cs="Miriam" w:ascii="Miriam" w:hAnsi="Miriam"/>
          <w:b/>
          <w:bCs/>
          <w:spacing w:val="10"/>
          <w:rtl w:val="true"/>
          <w:lang w:val="en-US" w:eastAsia="en-US"/>
        </w:rPr>
        <w:t>"</w:t>
      </w:r>
      <w:r>
        <w:rPr>
          <w:rFonts w:eastAsia="Calibri" w:cs="Arial" w:ascii="Arial" w:hAnsi="Arial"/>
          <w:spacing w:val="10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eastAsia="Calibri" w:cs="Arial"/>
          <w:spacing w:val="10"/>
          <w:lang w:val="en-US" w:eastAsia="en-US"/>
        </w:rPr>
      </w:pPr>
      <w:r>
        <w:rPr>
          <w:rFonts w:eastAsia="Calibri" w:cs="Arial" w:ascii="Arial" w:hAnsi="Arial"/>
          <w:spacing w:val="10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ascii="Calibri" w:hAnsi="Calibri" w:eastAsia="Calibri" w:cs="Arial"/>
          <w:rtl w:val="true"/>
          <w:lang w:val="en-US" w:eastAsia="en-US"/>
        </w:rPr>
        <w:t>ומכאן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לרכיב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הפסילה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בהקשר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זה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נטען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השתת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הפסילה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המותנית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באופן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שתחול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גם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העבירות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שבתוספת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הראשונה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והשנייה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</w:t>
      </w:r>
      <w:hyperlink r:id="rId33">
        <w:r>
          <w:rPr>
            <w:rStyle w:val="Hyperlink"/>
            <w:rFonts w:ascii="Calibri" w:hAnsi="Calibri" w:eastAsia="Calibri" w:cs="Arial"/>
            <w:color w:val="0000FF"/>
            <w:u w:val="single"/>
            <w:rtl w:val="true"/>
            <w:lang w:val="en-US" w:eastAsia="en-US"/>
          </w:rPr>
          <w:t>פקודת</w:t>
        </w:r>
        <w:r>
          <w:rPr>
            <w:rStyle w:val="Hyperlink"/>
            <w:rFonts w:ascii="Calibri" w:hAnsi="Calibri" w:eastAsia="Calibri" w:cs="Calibri"/>
            <w:color w:val="0000FF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rFonts w:ascii="Calibri" w:hAnsi="Calibri" w:eastAsia="Calibri" w:cs="Arial"/>
            <w:color w:val="0000FF"/>
            <w:u w:val="single"/>
            <w:rtl w:val="true"/>
            <w:lang w:val="en-US" w:eastAsia="en-US"/>
          </w:rPr>
          <w:t>התעבורה</w:t>
        </w:r>
      </w:hyperlink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הנמקה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אינה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ראויה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אולם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די בכך שביהמ</w:t>
      </w:r>
      <w:r>
        <w:rPr>
          <w:rFonts w:eastAsia="Calibri" w:cs="Arial" w:ascii="Arial" w:hAnsi="Arial"/>
          <w:rtl w:val="true"/>
          <w:lang w:val="en-US" w:eastAsia="en-US"/>
        </w:rPr>
        <w:t>"</w:t>
      </w:r>
      <w:r>
        <w:rPr>
          <w:rFonts w:ascii="Arial" w:hAnsi="Arial" w:eastAsia="Calibri" w:cs="Arial"/>
          <w:rtl w:val="true"/>
          <w:lang w:val="en-US" w:eastAsia="en-US"/>
        </w:rPr>
        <w:t xml:space="preserve">ש נסמך על הוראות </w:t>
      </w:r>
      <w:hyperlink r:id="rId34">
        <w:r>
          <w:rPr>
            <w:rStyle w:val="Hyperlink"/>
            <w:rFonts w:ascii="Arial" w:hAnsi="Arial" w:eastAsia="Calibri" w:cs="Arial"/>
            <w:rtl w:val="true"/>
            <w:lang w:val="en-US" w:eastAsia="en-US"/>
          </w:rPr>
          <w:t xml:space="preserve">סעיף </w:t>
        </w:r>
        <w:r>
          <w:rPr>
            <w:rStyle w:val="Hyperlink"/>
            <w:rFonts w:eastAsia="Calibri" w:cs="Arial" w:ascii="Arial" w:hAnsi="Arial"/>
            <w:lang w:val="en-US" w:eastAsia="en-US"/>
          </w:rPr>
          <w:t>36</w:t>
        </w:r>
        <w:r>
          <w:rPr>
            <w:rStyle w:val="Hyperlink"/>
            <w:rFonts w:eastAsia="Calibri" w:cs="Arial" w:ascii="Arial" w:hAnsi="Arial"/>
            <w:rtl w:val="true"/>
            <w:lang w:val="en-US" w:eastAsia="en-US"/>
          </w:rPr>
          <w:t>(</w:t>
        </w:r>
        <w:r>
          <w:rPr>
            <w:rStyle w:val="Hyperlink"/>
            <w:rFonts w:ascii="Arial" w:hAnsi="Arial" w:eastAsia="Calibri" w:cs="Arial"/>
            <w:rtl w:val="true"/>
            <w:lang w:val="en-US" w:eastAsia="en-US"/>
          </w:rPr>
          <w:t>ג</w:t>
        </w:r>
        <w:r>
          <w:rPr>
            <w:rStyle w:val="Hyperlink"/>
            <w:rFonts w:eastAsia="Calibri" w:cs="Arial" w:ascii="Arial" w:hAnsi="Arial"/>
            <w:rtl w:val="true"/>
            <w:lang w:val="en-US" w:eastAsia="en-US"/>
          </w:rPr>
          <w:t>)</w:t>
        </w:r>
      </w:hyperlink>
      <w:r>
        <w:rPr>
          <w:rFonts w:eastAsia="Calibri"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eastAsia="Calibri" w:cs="Arial"/>
          <w:rtl w:val="true"/>
          <w:lang w:val="en-US" w:eastAsia="en-US"/>
        </w:rPr>
        <w:t>לפקודת התעבורה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 xml:space="preserve">הקובעת כי 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מי שנפסל על תנאי ייפסל בפועל עם תוך תקופה שנקבה בגזר דינו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 xml:space="preserve">... </w:t>
      </w:r>
      <w:r>
        <w:rPr>
          <w:rFonts w:ascii="Miriam" w:hAnsi="Miriam" w:eastAsia="Calibri" w:cs="Miriam"/>
          <w:b/>
          <w:b/>
          <w:bCs/>
          <w:rtl w:val="true"/>
          <w:lang w:val="en-US" w:eastAsia="en-US"/>
        </w:rPr>
        <w:t>עבר אותה עבירה שעליה הורשע או אחת העבירות המפורטות בתוספת הראשונה או בתוספת השנייה או עבירה אחרת שקבע בית במשפט בגזר הדין</w:t>
      </w:r>
      <w:r>
        <w:rPr>
          <w:rFonts w:eastAsia="Calibri" w:cs="Miriam" w:ascii="Miriam" w:hAnsi="Miriam"/>
          <w:b/>
          <w:bCs/>
          <w:rtl w:val="true"/>
          <w:lang w:val="en-US" w:eastAsia="en-US"/>
        </w:rPr>
        <w:t>"</w:t>
      </w:r>
      <w:r>
        <w:rPr>
          <w:rFonts w:eastAsia="Calibri"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eastAsia="Calibri" w:cs="Arial"/>
          <w:rtl w:val="true"/>
          <w:lang w:val="en-US" w:eastAsia="en-US"/>
        </w:rPr>
        <w:t>כדי לדחות את הטענה</w:t>
      </w:r>
      <w:r>
        <w:rPr>
          <w:rFonts w:eastAsia="Calibri"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eastAsia="Calibri"/>
          <w:lang w:val="en-US" w:eastAsia="en-US"/>
        </w:rPr>
      </w:pPr>
      <w:r>
        <w:rPr>
          <w:rFonts w:ascii="Calibri" w:hAnsi="Calibri" w:eastAsia="Calibri" w:cs="Arial"/>
          <w:rtl w:val="true"/>
          <w:lang w:val="en-US" w:eastAsia="en-US"/>
        </w:rPr>
        <w:t>לאור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האמור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לעיל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הערעור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נדחה</w:t>
      </w:r>
      <w:r>
        <w:rPr>
          <w:rFonts w:eastAsia="Calibri" w:cs="Arial" w:ascii="Calibri" w:hAnsi="Calibri"/>
          <w:rtl w:val="true"/>
          <w:lang w:val="en-US" w:eastAsia="en-US"/>
        </w:rPr>
        <w:t>.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Calibri" w:hAnsi="Calibri" w:eastAsia="Calibri" w:cs="Arial"/>
          <w:rtl w:val="true"/>
          <w:lang w:val="en-US" w:eastAsia="en-US"/>
        </w:rPr>
        <w:t>המערער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יתייצב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לתחילת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ריצוי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עונשו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בתאריך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lang w:val="en-US" w:eastAsia="en-US"/>
        </w:rPr>
        <w:t>06.02.22</w:t>
      </w:r>
      <w:r>
        <w:rPr>
          <w:rFonts w:eastAsia="Calibri" w:cs="Arial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בכלא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rtl w:val="true"/>
          <w:lang w:val="en-US" w:eastAsia="en-US"/>
        </w:rPr>
        <w:t>"</w:t>
      </w:r>
      <w:r>
        <w:rPr>
          <w:rFonts w:ascii="Calibri" w:hAnsi="Calibri" w:eastAsia="Calibri" w:cs="Arial"/>
          <w:rtl w:val="true"/>
          <w:lang w:val="en-US" w:eastAsia="en-US"/>
        </w:rPr>
        <w:t>דקל</w:t>
      </w:r>
      <w:r>
        <w:rPr>
          <w:rFonts w:eastAsia="Calibri" w:cs="Arial" w:ascii="Calibri" w:hAnsi="Calibri"/>
          <w:rtl w:val="true"/>
          <w:lang w:val="en-US" w:eastAsia="en-US"/>
        </w:rPr>
        <w:t xml:space="preserve">" </w:t>
      </w:r>
      <w:r>
        <w:rPr>
          <w:rFonts w:ascii="Calibri" w:hAnsi="Calibri" w:eastAsia="Calibri" w:cs="Arial"/>
          <w:rtl w:val="true"/>
          <w:lang w:val="en-US" w:eastAsia="en-US"/>
        </w:rPr>
        <w:t>שבמתחם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כלא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באר</w:t>
      </w:r>
      <w:r>
        <w:rPr>
          <w:rFonts w:eastAsia="Calibri" w:cs="Arial" w:ascii="Calibri" w:hAnsi="Calibri"/>
          <w:rtl w:val="true"/>
          <w:lang w:val="en-US" w:eastAsia="en-US"/>
        </w:rPr>
        <w:t>-</w:t>
      </w:r>
      <w:r>
        <w:rPr>
          <w:rFonts w:ascii="Calibri" w:hAnsi="Calibri" w:eastAsia="Calibri" w:cs="Arial"/>
          <w:rtl w:val="true"/>
          <w:lang w:val="en-US" w:eastAsia="en-US"/>
        </w:rPr>
        <w:t>שבע</w:t>
      </w:r>
      <w:r>
        <w:rPr>
          <w:rFonts w:eastAsia="Calibri" w:cs="Arial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eastAsia="Calibri" w:cs="Arial"/>
          <w:rtl w:val="true"/>
          <w:lang w:val="en-US" w:eastAsia="en-US"/>
        </w:rPr>
        <w:t>עד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השעה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eastAsia="Calibri" w:cs="Arial" w:ascii="Calibri" w:hAnsi="Calibri"/>
          <w:lang w:val="en-US" w:eastAsia="en-US"/>
        </w:rPr>
        <w:t>08:00</w:t>
      </w:r>
      <w:r>
        <w:rPr>
          <w:rFonts w:eastAsia="Calibri" w:cs="Arial" w:ascii="Calibri" w:hAnsi="Calibri"/>
          <w:rtl w:val="true"/>
          <w:lang w:val="en-US" w:eastAsia="en-US"/>
        </w:rPr>
        <w:t>.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eastAsia="Calibri"/>
          <w:lang w:val="en-US" w:eastAsia="en-US"/>
        </w:rPr>
      </w:pPr>
      <w:r>
        <w:rPr>
          <w:rFonts w:ascii="Calibri" w:hAnsi="Calibri" w:eastAsia="Calibri" w:cs="Arial"/>
          <w:rtl w:val="true"/>
          <w:lang w:val="en-US" w:eastAsia="en-US"/>
        </w:rPr>
        <w:t>מומלץ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למערער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לבצע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מיון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eastAsia="Calibri" w:cs="Arial"/>
          <w:rtl w:val="true"/>
          <w:lang w:val="en-US" w:eastAsia="en-US"/>
        </w:rPr>
        <w:t>מקודם</w:t>
      </w:r>
      <w:r>
        <w:rPr>
          <w:rFonts w:eastAsia="Calibri" w:cs="Arial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eastAsia="Calibri"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2553" w:leader="none"/>
        </w:tabs>
        <w:ind w:start="33" w:end="0"/>
        <w:jc w:val="start"/>
        <w:rPr/>
      </w:pPr>
      <w:bookmarkStart w:id="14" w:name="Nitan"/>
      <w:r>
        <w:rPr>
          <w:rFonts w:ascii="Arial" w:hAnsi="Arial" w:cs="Arial"/>
          <w:b/>
          <w:b/>
          <w:bCs/>
          <w:rtl w:val="true"/>
          <w:lang w:val="en-US" w:eastAsia="en-US"/>
        </w:rPr>
        <w:t>ניתן היום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י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'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שבט תשפ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ב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cs="Arial" w:ascii="Arial" w:hAnsi="Arial"/>
          <w:b/>
          <w:bCs/>
          <w:lang w:val="en-US" w:eastAsia="en-US"/>
        </w:rPr>
        <w:t>12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ינואר </w:t>
      </w:r>
      <w:r>
        <w:rPr>
          <w:rFonts w:cs="Arial" w:ascii="Arial" w:hAnsi="Arial"/>
          <w:b/>
          <w:bCs/>
          <w:lang w:val="en-US" w:eastAsia="en-US"/>
        </w:rPr>
        <w:t>2022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במעמד הצדדים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. </w:t>
      </w:r>
      <w:bookmarkEnd w:id="14"/>
      <w:r>
        <w:rPr>
          <w:rFonts w:cs="Arial" w:ascii="Arial" w:hAnsi="Arial"/>
          <w:b/>
          <w:bCs/>
          <w:rtl w:val="true"/>
        </w:rPr>
        <w:t xml:space="preserve">     </w:t>
      </w:r>
    </w:p>
    <w:p>
      <w:pPr>
        <w:pStyle w:val="Normal"/>
        <w:ind w:end="0"/>
        <w:jc w:val="start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  <w:rtl w:val="true"/>
        </w:rPr>
      </w:r>
    </w:p>
    <w:tbl>
      <w:tblPr>
        <w:bidiVisual w:val="true"/>
        <w:tblW w:w="829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54"/>
        <w:gridCol w:w="239"/>
        <w:gridCol w:w="2945"/>
        <w:gridCol w:w="239"/>
        <w:gridCol w:w="2215"/>
      </w:tblGrid>
      <w:tr>
        <w:trPr/>
        <w:tc>
          <w:tcPr>
            <w:tcW w:w="265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945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cs="Courier New" w:ascii="Courier New" w:hAnsi="Courier New"/>
                <w:b/>
                <w:bCs/>
                <w:sz w:val="20"/>
                <w:szCs w:val="20"/>
                <w:rtl w:val="true"/>
              </w:rPr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cs="Courier New" w:ascii="Courier New" w:hAnsi="Courier New"/>
                <w:b/>
                <w:bCs/>
                <w:sz w:val="20"/>
                <w:szCs w:val="20"/>
                <w:rtl w:val="true"/>
              </w:rPr>
            </w:r>
          </w:p>
        </w:tc>
        <w:tc>
          <w:tcPr>
            <w:tcW w:w="2215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cs="Courier New" w:ascii="Courier New" w:hAnsi="Courier New"/>
                <w:b/>
                <w:bCs/>
                <w:sz w:val="20"/>
                <w:szCs w:val="20"/>
                <w:rtl w:val="true"/>
              </w:rPr>
            </w:r>
          </w:p>
        </w:tc>
      </w:tr>
      <w:tr>
        <w:trPr/>
        <w:tc>
          <w:tcPr>
            <w:tcW w:w="2654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רויטל יפה</w:t>
            </w:r>
            <w:r>
              <w:rPr>
                <w:rFonts w:cs="Arial" w:ascii="Arial" w:hAnsi="Arial"/>
                <w:b/>
                <w:bCs/>
                <w:rtl w:val="true"/>
              </w:rPr>
              <w:t>-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כ</w:t>
            </w:r>
            <w:r>
              <w:rPr>
                <w:rFonts w:cs="Arial" w:ascii="Arial" w:hAnsi="Arial"/>
                <w:b/>
                <w:bCs/>
                <w:rtl w:val="true"/>
              </w:rPr>
              <w:t>"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ץ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,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נשיאה</w:t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אב</w:t>
            </w:r>
            <w:r>
              <w:rPr>
                <w:rFonts w:cs="Arial" w:ascii="Arial" w:hAnsi="Arial"/>
                <w:b/>
                <w:bCs/>
                <w:rtl w:val="true"/>
              </w:rPr>
              <w:t>"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ד</w:t>
            </w:r>
          </w:p>
          <w:p>
            <w:pPr>
              <w:pStyle w:val="Normal"/>
              <w:ind w:end="0"/>
              <w:jc w:val="start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39" w:type="dxa"/>
            <w:tcBorders/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  <w:tc>
          <w:tcPr>
            <w:tcW w:w="2945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יואל עדן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,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שופט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  <w:tc>
          <w:tcPr>
            <w:tcW w:w="2215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גד גדעון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,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שופט</w:t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tabs>
          <w:tab w:val="clear" w:pos="720"/>
          <w:tab w:val="left" w:pos="2553" w:leader="none"/>
        </w:tabs>
        <w:ind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b/>
          <w:bCs/>
          <w:color w:val="FFFFFF"/>
          <w:sz w:val="2"/>
          <w:szCs w:val="2"/>
        </w:rPr>
        <w:t>512937154678313</w:t>
      </w:r>
      <w:r>
        <w:rPr>
          <w:rFonts w:cs="Arial" w:ascii="Arial" w:hAnsi="Arial"/>
          <w:b/>
          <w:bCs/>
          <w:color w:val="FFFFFF"/>
          <w:sz w:val="2"/>
          <w:szCs w:val="2"/>
          <w:rtl w:val="true"/>
        </w:rPr>
        <w:tab/>
        <w:tab/>
        <w:tab/>
        <w:tab/>
        <w:t xml:space="preserve">        </w:t>
      </w:r>
    </w:p>
    <w:p>
      <w:pPr>
        <w:pStyle w:val="Normal"/>
        <w:ind w:end="0"/>
        <w:jc w:val="start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35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  <w:u w:val="single"/>
        </w:rPr>
      </w:pPr>
      <w:r>
        <w:rPr>
          <w:rFonts w:cs="David" w:ascii="David" w:hAnsi="David"/>
          <w:color w:val="000000"/>
          <w:sz w:val="22"/>
          <w:szCs w:val="22"/>
          <w:u w:val="single"/>
          <w:rtl w:val="true"/>
        </w:rPr>
      </w:r>
    </w:p>
    <w:p>
      <w:pPr>
        <w:pStyle w:val="Normal"/>
        <w:keepNext w:val="true"/>
        <w:ind w:end="0"/>
        <w:jc w:val="start"/>
        <w:rPr/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>רויטל יפה  כ</w:t>
      </w:r>
      <w:r>
        <w:rPr>
          <w:rFonts w:cs="David" w:ascii="David" w:hAnsi="David"/>
          <w:color w:val="000000"/>
          <w:sz w:val="22"/>
          <w:szCs w:val="22"/>
          <w:rtl w:val="true"/>
        </w:rPr>
        <w:t>"</w:t>
      </w: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ץ  </w:t>
      </w:r>
      <w:r>
        <w:rPr>
          <w:rFonts w:cs="David" w:ascii="David" w:hAnsi="David"/>
          <w:color w:val="000000"/>
          <w:sz w:val="22"/>
          <w:szCs w:val="22"/>
        </w:rPr>
        <w:t>54678313</w:t>
      </w:r>
      <w:r>
        <w:rPr>
          <w:rFonts w:cs="David" w:ascii="David" w:hAnsi="David"/>
          <w:color w:val="000000"/>
          <w:sz w:val="22"/>
          <w:szCs w:val="22"/>
          <w:rtl w:val="true"/>
        </w:rPr>
        <w:t>-/</w:t>
      </w:r>
    </w:p>
    <w:p>
      <w:pPr>
        <w:pStyle w:val="Normal"/>
        <w:ind w:end="0"/>
        <w:jc w:val="start"/>
        <w:rPr>
          <w:color w:val="000000"/>
          <w:u w:val="single"/>
        </w:rPr>
      </w:pPr>
      <w:r>
        <w:rPr>
          <w:color w:val="000000"/>
          <w:u w:val="single"/>
          <w:rtl w:val="true"/>
        </w:rPr>
        <w:t>נוסח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מסמך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זה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כפוף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לשינויי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ניסוח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ועריכה</w:t>
      </w:r>
    </w:p>
    <w:sectPr>
      <w:headerReference w:type="default" r:id="rId36"/>
      <w:footerReference w:type="default" r:id="rId37"/>
      <w:type w:val="nextPage"/>
      <w:pgSz w:w="11906" w:h="16838"/>
      <w:pgMar w:left="1797" w:right="1797" w:gutter="0" w:header="720" w:top="1701" w:footer="510" w:bottom="1077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David">
    <w:charset w:val="00" w:characterSet="windows-1252"/>
    <w:family w:val="swiss"/>
    <w:pitch w:val="variable"/>
  </w:font>
  <w:font w:name="FrankRuehl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Miriam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Style w:val="PageNumber"/>
        <w:rFonts w:ascii="FrankRuehl" w:hAnsi="FrankRuehl" w:cs="FrankRuehl"/>
      </w:rPr>
    </w:pPr>
    <w:r>
      <w:rPr>
        <w:rStyle w:val="PageNumber"/>
        <w:rFonts w:cs="FrankRuehl" w:ascii="FrankRuehl" w:hAnsi="FrankRuehl"/>
        <w:rtl w:val="true"/>
      </w:rPr>
      <w:fldChar w:fldCharType="begin"/>
    </w:r>
    <w:r>
      <w:rPr>
        <w:rtl w:val="true"/>
        <w:rStyle w:val="PageNumber"/>
        <w:rFonts w:cs="FrankRuehl" w:ascii="FrankRuehl" w:hAnsi="FrankRuehl"/>
      </w:rPr>
      <w:instrText xml:space="preserve"> PAGE </w:instrText>
    </w:r>
    <w:r>
      <w:rPr>
        <w:rtl w:val="true"/>
        <w:rStyle w:val="PageNumber"/>
        <w:rFonts w:cs="FrankRuehl" w:ascii="FrankRuehl" w:hAnsi="FrankRuehl"/>
      </w:rPr>
      <w:fldChar w:fldCharType="separate"/>
    </w:r>
    <w:r>
      <w:rPr>
        <w:rtl w:val="true"/>
        <w:rStyle w:val="PageNumber"/>
        <w:rFonts w:cs="FrankRuehl" w:ascii="FrankRuehl" w:hAnsi="FrankRuehl"/>
      </w:rPr>
      <w:t>12</w:t>
    </w:r>
    <w:r>
      <w:rPr>
        <w:rtl w:val="true"/>
        <w:rStyle w:val="PageNumber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Style w:val="PageNumber"/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עפג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ב</w:t>
    </w:r>
    <w:r>
      <w:rPr>
        <w:rFonts w:cs="David" w:ascii="David" w:hAnsi="David"/>
        <w:color w:val="000000"/>
        <w:sz w:val="22"/>
        <w:szCs w:val="22"/>
        <w:rtl w:val="true"/>
      </w:rPr>
      <w:t>"</w:t>
    </w:r>
    <w:r>
      <w:rPr>
        <w:rFonts w:ascii="David" w:hAnsi="David"/>
        <w:color w:val="000000"/>
        <w:sz w:val="22"/>
        <w:sz w:val="22"/>
        <w:szCs w:val="22"/>
        <w:rtl w:val="true"/>
      </w:rPr>
      <w:t>ש</w:t>
    </w:r>
    <w:r>
      <w:rPr>
        <w:rFonts w:cs="David" w:ascii="David" w:hAnsi="David"/>
        <w:color w:val="000000"/>
        <w:sz w:val="22"/>
        <w:szCs w:val="22"/>
        <w:rtl w:val="true"/>
      </w:rPr>
      <w:t xml:space="preserve">) </w:t>
    </w:r>
    <w:r>
      <w:rPr>
        <w:rFonts w:cs="David" w:ascii="David" w:hAnsi="David"/>
        <w:color w:val="000000"/>
        <w:sz w:val="22"/>
        <w:szCs w:val="22"/>
      </w:rPr>
      <w:t>36558-08-21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טולר גוסיינוב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4"/>
      <w:szCs w:val="24"/>
      <w:lang w:val="en-US" w:eastAsia="en-IL" w:bidi="he-IL"/>
    </w:rPr>
  </w:style>
  <w:style w:type="character" w:styleId="DefaultParagraphFont">
    <w:name w:val="Default Paragraph Font"/>
    <w:qFormat/>
    <w:rPr/>
  </w:style>
  <w:style w:type="character" w:styleId="CharChar1">
    <w:name w:val=" Char Char1"/>
    <w:qFormat/>
    <w:rPr>
      <w:rFonts w:ascii="Times New Roman" w:hAnsi="Times New Roman" w:eastAsia="Times New Roman" w:cs="David"/>
      <w:sz w:val="24"/>
      <w:szCs w:val="24"/>
      <w:lang w:val="en-IL" w:eastAsia="en-IL"/>
    </w:rPr>
  </w:style>
  <w:style w:type="character" w:styleId="CharChar">
    <w:name w:val=" Char Char"/>
    <w:qFormat/>
    <w:rPr>
      <w:rFonts w:ascii="Times New Roman" w:hAnsi="Times New Roman" w:eastAsia="Times New Roman" w:cs="David"/>
      <w:sz w:val="24"/>
      <w:szCs w:val="24"/>
      <w:lang w:val="en-IL" w:eastAsia="en-IL"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6410007" TargetMode="External"/><Relationship Id="rId3" Type="http://schemas.openxmlformats.org/officeDocument/2006/relationships/hyperlink" Target="http://www.nevo.co.il/law/4216" TargetMode="External"/><Relationship Id="rId4" Type="http://schemas.openxmlformats.org/officeDocument/2006/relationships/hyperlink" Target="http://www.nevo.co.il/law/4216/7.a" TargetMode="External"/><Relationship Id="rId5" Type="http://schemas.openxmlformats.org/officeDocument/2006/relationships/hyperlink" Target="http://www.nevo.co.il/law/4216/7.b" TargetMode="External"/><Relationship Id="rId6" Type="http://schemas.openxmlformats.org/officeDocument/2006/relationships/hyperlink" Target="http://www.nevo.co.il/law/4216/13" TargetMode="External"/><Relationship Id="rId7" Type="http://schemas.openxmlformats.org/officeDocument/2006/relationships/hyperlink" Target="http://www.nevo.co.il/law/4216/19a" TargetMode="External"/><Relationship Id="rId8" Type="http://schemas.openxmlformats.org/officeDocument/2006/relationships/hyperlink" Target="http://www.nevo.co.il/law/5227" TargetMode="External"/><Relationship Id="rId9" Type="http://schemas.openxmlformats.org/officeDocument/2006/relationships/hyperlink" Target="http://www.nevo.co.il/law/5227/36.c" TargetMode="External"/><Relationship Id="rId10" Type="http://schemas.openxmlformats.org/officeDocument/2006/relationships/hyperlink" Target="http://www.nevo.co.il/law/5227/36a.b" TargetMode="External"/><Relationship Id="rId11" Type="http://schemas.openxmlformats.org/officeDocument/2006/relationships/hyperlink" Target="http://www.nevo.co.il/law/70301" TargetMode="External"/><Relationship Id="rId12" Type="http://schemas.openxmlformats.org/officeDocument/2006/relationships/hyperlink" Target="http://www.nevo.co.il/law/70301/40b" TargetMode="External"/><Relationship Id="rId13" Type="http://schemas.openxmlformats.org/officeDocument/2006/relationships/hyperlink" Target="http://www.nevo.co.il/law/70301/40c.a" TargetMode="External"/><Relationship Id="rId14" Type="http://schemas.openxmlformats.org/officeDocument/2006/relationships/hyperlink" Target="http://www.nevo.co.il/law/70301/40jc.a" TargetMode="External"/><Relationship Id="rId15" Type="http://schemas.openxmlformats.org/officeDocument/2006/relationships/hyperlink" Target="http://www.nevo.co.il/law/70301/40jc.b" TargetMode="External"/><Relationship Id="rId16" Type="http://schemas.openxmlformats.org/officeDocument/2006/relationships/hyperlink" Target="http://www.nevo.co.il/law/4216/13" TargetMode="External"/><Relationship Id="rId17" Type="http://schemas.openxmlformats.org/officeDocument/2006/relationships/hyperlink" Target="http://www.nevo.co.il/law/4216/19a" TargetMode="External"/><Relationship Id="rId18" Type="http://schemas.openxmlformats.org/officeDocument/2006/relationships/hyperlink" Target="http://www.nevo.co.il/law/4216" TargetMode="External"/><Relationship Id="rId19" Type="http://schemas.openxmlformats.org/officeDocument/2006/relationships/hyperlink" Target="http://www.nevo.co.il/law/4216/7.a" TargetMode="External"/><Relationship Id="rId20" Type="http://schemas.openxmlformats.org/officeDocument/2006/relationships/hyperlink" Target="http://www.nevo.co.il/law/4216/7.b" TargetMode="External"/><Relationship Id="rId21" Type="http://schemas.openxmlformats.org/officeDocument/2006/relationships/hyperlink" Target="http://www.nevo.co.il/law/5227/36a.b" TargetMode="External"/><Relationship Id="rId22" Type="http://schemas.openxmlformats.org/officeDocument/2006/relationships/hyperlink" Target="http://www.nevo.co.il/law/70301" TargetMode="External"/><Relationship Id="rId23" Type="http://schemas.openxmlformats.org/officeDocument/2006/relationships/hyperlink" Target="http://www.nevo.co.il/law/5227" TargetMode="External"/><Relationship Id="rId24" Type="http://schemas.openxmlformats.org/officeDocument/2006/relationships/hyperlink" Target="http://www.nevo.co.il/law/5227/36.c" TargetMode="External"/><Relationship Id="rId25" Type="http://schemas.openxmlformats.org/officeDocument/2006/relationships/hyperlink" Target="http://www.nevo.co.il/law/5227" TargetMode="External"/><Relationship Id="rId26" Type="http://schemas.openxmlformats.org/officeDocument/2006/relationships/hyperlink" Target="http://www.nevo.co.il/law/70301" TargetMode="External"/><Relationship Id="rId27" Type="http://schemas.openxmlformats.org/officeDocument/2006/relationships/hyperlink" Target="http://www.nevo.co.il/law/70301/40c.a" TargetMode="External"/><Relationship Id="rId28" Type="http://schemas.openxmlformats.org/officeDocument/2006/relationships/hyperlink" Target="http://www.nevo.co.il/law/70301/40b" TargetMode="External"/><Relationship Id="rId29" Type="http://schemas.openxmlformats.org/officeDocument/2006/relationships/hyperlink" Target="http://www.nevo.co.il/law/70301" TargetMode="External"/><Relationship Id="rId30" Type="http://schemas.openxmlformats.org/officeDocument/2006/relationships/hyperlink" Target="http://www.nevo.co.il/law/70301/40jc.a" TargetMode="External"/><Relationship Id="rId31" Type="http://schemas.openxmlformats.org/officeDocument/2006/relationships/hyperlink" Target="http://www.nevo.co.il/law/70301/40jc.b" TargetMode="External"/><Relationship Id="rId32" Type="http://schemas.openxmlformats.org/officeDocument/2006/relationships/hyperlink" Target="http://www.nevo.co.il/case/28190928" TargetMode="External"/><Relationship Id="rId33" Type="http://schemas.openxmlformats.org/officeDocument/2006/relationships/hyperlink" Target="http://www.nevo.co.il/law/5227" TargetMode="External"/><Relationship Id="rId34" Type="http://schemas.openxmlformats.org/officeDocument/2006/relationships/hyperlink" Target="http://www.nevo.co.il/law/5227/36.c" TargetMode="External"/><Relationship Id="rId35" Type="http://schemas.openxmlformats.org/officeDocument/2006/relationships/hyperlink" Target="http://www.nevo.co.il/advertisements/nevo-100.doc" TargetMode="External"/><Relationship Id="rId36" Type="http://schemas.openxmlformats.org/officeDocument/2006/relationships/header" Target="header1.xml"/><Relationship Id="rId37" Type="http://schemas.openxmlformats.org/officeDocument/2006/relationships/footer" Target="footer1.xml"/><Relationship Id="rId38" Type="http://schemas.openxmlformats.org/officeDocument/2006/relationships/fontTable" Target="fontTable.xml"/><Relationship Id="rId39" Type="http://schemas.openxmlformats.org/officeDocument/2006/relationships/settings" Target="settings.xml"/><Relationship Id="rId40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LibreOffice/25.2.2.2$MacOSX_AARCH64 LibreOffice_project/7370d4be9e3cf6031a51beef54ff3bda878e3fac</Application>
  <AppVersion>15.0000</AppVersion>
  <Pages>12</Pages>
  <Words>1106</Words>
  <Characters>5246</Characters>
  <CharactersWithSpaces>6360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2022-01-19T16:38:00Z</dcterms:created>
  <dc:creator> </dc:creator>
  <dc:description/>
  <cp:keywords/>
  <dc:language>en-IL</dc:language>
  <cp:lastModifiedBy>orly</cp:lastModifiedBy>
  <dcterms:modified xsi:type="dcterms:W3CDTF">2022-01-19T16:38:00Z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טולר גוסיינוב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26410007;28190928</vt:lpwstr>
  </property>
  <property fmtid="{D5CDD505-2E9C-101B-9397-08002B2CF9AE}" pid="9" name="CITY">
    <vt:lpwstr>ב"ש</vt:lpwstr>
  </property>
  <property fmtid="{D5CDD505-2E9C-101B-9397-08002B2CF9AE}" pid="10" name="DATE">
    <vt:lpwstr>20220112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רויטל יפה  כ#ץ </vt:lpwstr>
  </property>
  <property fmtid="{D5CDD505-2E9C-101B-9397-08002B2CF9AE}" pid="14" name="LAWLISTTMP1">
    <vt:lpwstr>4216/013;019a;007.a;007.b</vt:lpwstr>
  </property>
  <property fmtid="{D5CDD505-2E9C-101B-9397-08002B2CF9AE}" pid="15" name="LAWLISTTMP2">
    <vt:lpwstr>5227/036a.b;036.c:2</vt:lpwstr>
  </property>
  <property fmtid="{D5CDD505-2E9C-101B-9397-08002B2CF9AE}" pid="16" name="LAWLISTTMP3">
    <vt:lpwstr>70301/040c.a;040b;40jc.a;40jc.b</vt:lpwstr>
  </property>
  <property fmtid="{D5CDD505-2E9C-101B-9397-08002B2CF9AE}" pid="17" name="LAWYER">
    <vt:lpwstr>אלעד אלקיס;ציון קינן</vt:lpwstr>
  </property>
  <property fmtid="{D5CDD505-2E9C-101B-9397-08002B2CF9AE}" pid="18" name="LINKK1">
    <vt:lpwstr/>
  </property>
  <property fmtid="{D5CDD505-2E9C-101B-9397-08002B2CF9AE}" pid="19" name="LINKK2">
    <vt:lpwstr/>
  </property>
  <property fmtid="{D5CDD505-2E9C-101B-9397-08002B2CF9AE}" pid="20" name="LINKK3">
    <vt:lpwstr/>
  </property>
  <property fmtid="{D5CDD505-2E9C-101B-9397-08002B2CF9AE}" pid="21" name="LINKK4">
    <vt:lpwstr/>
  </property>
  <property fmtid="{D5CDD505-2E9C-101B-9397-08002B2CF9AE}" pid="22" name="LINKK5">
    <vt:lpwstr/>
  </property>
  <property fmtid="{D5CDD505-2E9C-101B-9397-08002B2CF9AE}" pid="23" name="METAKZER">
    <vt:lpwstr>מיכל</vt:lpwstr>
  </property>
  <property fmtid="{D5CDD505-2E9C-101B-9397-08002B2CF9AE}" pid="24" name="NEWPARTA">
    <vt:lpwstr>36558;72395</vt:lpwstr>
  </property>
  <property fmtid="{D5CDD505-2E9C-101B-9397-08002B2CF9AE}" pid="25" name="NEWPARTB">
    <vt:lpwstr>08;01</vt:lpwstr>
  </property>
  <property fmtid="{D5CDD505-2E9C-101B-9397-08002B2CF9AE}" pid="26" name="NEWPARTC">
    <vt:lpwstr>21;20</vt:lpwstr>
  </property>
  <property fmtid="{D5CDD505-2E9C-101B-9397-08002B2CF9AE}" pid="27" name="NEWPROC">
    <vt:lpwstr>עפג;תפ</vt:lpwstr>
  </property>
  <property fmtid="{D5CDD505-2E9C-101B-9397-08002B2CF9AE}" pid="28" name="NOSE11">
    <vt:lpwstr>דיון פלילי</vt:lpwstr>
  </property>
  <property fmtid="{D5CDD505-2E9C-101B-9397-08002B2CF9AE}" pid="29" name="NOSE110">
    <vt:lpwstr/>
  </property>
  <property fmtid="{D5CDD505-2E9C-101B-9397-08002B2CF9AE}" pid="30" name="NOSE12">
    <vt:lpwstr>עונשין</vt:lpwstr>
  </property>
  <property fmtid="{D5CDD505-2E9C-101B-9397-08002B2CF9AE}" pid="31" name="NOSE13">
    <vt:lpwstr/>
  </property>
  <property fmtid="{D5CDD505-2E9C-101B-9397-08002B2CF9AE}" pid="32" name="NOSE14">
    <vt:lpwstr/>
  </property>
  <property fmtid="{D5CDD505-2E9C-101B-9397-08002B2CF9AE}" pid="33" name="NOSE15">
    <vt:lpwstr/>
  </property>
  <property fmtid="{D5CDD505-2E9C-101B-9397-08002B2CF9AE}" pid="34" name="NOSE16">
    <vt:lpwstr/>
  </property>
  <property fmtid="{D5CDD505-2E9C-101B-9397-08002B2CF9AE}" pid="35" name="NOSE17">
    <vt:lpwstr/>
  </property>
  <property fmtid="{D5CDD505-2E9C-101B-9397-08002B2CF9AE}" pid="36" name="NOSE18">
    <vt:lpwstr/>
  </property>
  <property fmtid="{D5CDD505-2E9C-101B-9397-08002B2CF9AE}" pid="37" name="NOSE19">
    <vt:lpwstr/>
  </property>
  <property fmtid="{D5CDD505-2E9C-101B-9397-08002B2CF9AE}" pid="38" name="NOSE1ID">
    <vt:lpwstr>18;77</vt:lpwstr>
  </property>
  <property fmtid="{D5CDD505-2E9C-101B-9397-08002B2CF9AE}" pid="39" name="NOSE21">
    <vt:lpwstr>ערעור</vt:lpwstr>
  </property>
  <property fmtid="{D5CDD505-2E9C-101B-9397-08002B2CF9AE}" pid="40" name="NOSE210">
    <vt:lpwstr/>
  </property>
  <property fmtid="{D5CDD505-2E9C-101B-9397-08002B2CF9AE}" pid="41" name="NOSE22">
    <vt:lpwstr>ענישה</vt:lpwstr>
  </property>
  <property fmtid="{D5CDD505-2E9C-101B-9397-08002B2CF9AE}" pid="42" name="NOSE23">
    <vt:lpwstr/>
  </property>
  <property fmtid="{D5CDD505-2E9C-101B-9397-08002B2CF9AE}" pid="43" name="NOSE24">
    <vt:lpwstr/>
  </property>
  <property fmtid="{D5CDD505-2E9C-101B-9397-08002B2CF9AE}" pid="44" name="NOSE25">
    <vt:lpwstr/>
  </property>
  <property fmtid="{D5CDD505-2E9C-101B-9397-08002B2CF9AE}" pid="45" name="NOSE26">
    <vt:lpwstr/>
  </property>
  <property fmtid="{D5CDD505-2E9C-101B-9397-08002B2CF9AE}" pid="46" name="NOSE27">
    <vt:lpwstr/>
  </property>
  <property fmtid="{D5CDD505-2E9C-101B-9397-08002B2CF9AE}" pid="47" name="NOSE28">
    <vt:lpwstr/>
  </property>
  <property fmtid="{D5CDD505-2E9C-101B-9397-08002B2CF9AE}" pid="48" name="NOSE29">
    <vt:lpwstr/>
  </property>
  <property fmtid="{D5CDD505-2E9C-101B-9397-08002B2CF9AE}" pid="49" name="NOSE2ID">
    <vt:lpwstr>504;1446</vt:lpwstr>
  </property>
  <property fmtid="{D5CDD505-2E9C-101B-9397-08002B2CF9AE}" pid="50" name="NOSE31">
    <vt:lpwstr>עונש</vt:lpwstr>
  </property>
  <property fmtid="{D5CDD505-2E9C-101B-9397-08002B2CF9AE}" pid="51" name="NOSE310">
    <vt:lpwstr/>
  </property>
  <property fmtid="{D5CDD505-2E9C-101B-9397-08002B2CF9AE}" pid="52" name="NOSE32">
    <vt:lpwstr>מתחם הענישה</vt:lpwstr>
  </property>
  <property fmtid="{D5CDD505-2E9C-101B-9397-08002B2CF9AE}" pid="53" name="NOSE33">
    <vt:lpwstr/>
  </property>
  <property fmtid="{D5CDD505-2E9C-101B-9397-08002B2CF9AE}" pid="54" name="NOSE34">
    <vt:lpwstr/>
  </property>
  <property fmtid="{D5CDD505-2E9C-101B-9397-08002B2CF9AE}" pid="55" name="NOSE35">
    <vt:lpwstr/>
  </property>
  <property fmtid="{D5CDD505-2E9C-101B-9397-08002B2CF9AE}" pid="56" name="NOSE36">
    <vt:lpwstr/>
  </property>
  <property fmtid="{D5CDD505-2E9C-101B-9397-08002B2CF9AE}" pid="57" name="NOSE37">
    <vt:lpwstr/>
  </property>
  <property fmtid="{D5CDD505-2E9C-101B-9397-08002B2CF9AE}" pid="58" name="NOSE38">
    <vt:lpwstr/>
  </property>
  <property fmtid="{D5CDD505-2E9C-101B-9397-08002B2CF9AE}" pid="59" name="NOSE39">
    <vt:lpwstr/>
  </property>
  <property fmtid="{D5CDD505-2E9C-101B-9397-08002B2CF9AE}" pid="60" name="NOSE3ID">
    <vt:lpwstr>3864;14985</vt:lpwstr>
  </property>
  <property fmtid="{D5CDD505-2E9C-101B-9397-08002B2CF9AE}" pid="61" name="PADIDATE">
    <vt:lpwstr>20220120</vt:lpwstr>
  </property>
  <property fmtid="{D5CDD505-2E9C-101B-9397-08002B2CF9AE}" pid="62" name="PADIMAIL">
    <vt:lpwstr>YES</vt:lpwstr>
  </property>
  <property fmtid="{D5CDD505-2E9C-101B-9397-08002B2CF9AE}" pid="63" name="PAGE">
    <vt:lpwstr/>
  </property>
  <property fmtid="{D5CDD505-2E9C-101B-9397-08002B2CF9AE}" pid="64" name="PART">
    <vt:lpwstr/>
  </property>
  <property fmtid="{D5CDD505-2E9C-101B-9397-08002B2CF9AE}" pid="65" name="PROCESS">
    <vt:lpwstr/>
  </property>
  <property fmtid="{D5CDD505-2E9C-101B-9397-08002B2CF9AE}" pid="66" name="PROCNUM">
    <vt:lpwstr/>
  </property>
  <property fmtid="{D5CDD505-2E9C-101B-9397-08002B2CF9AE}" pid="67" name="PROCYEAR">
    <vt:lpwstr/>
  </property>
  <property fmtid="{D5CDD505-2E9C-101B-9397-08002B2CF9AE}" pid="68" name="PSAKDIN">
    <vt:lpwstr>פסק-דין</vt:lpwstr>
  </property>
  <property fmtid="{D5CDD505-2E9C-101B-9397-08002B2CF9AE}" pid="69" name="TYPE">
    <vt:lpwstr>2</vt:lpwstr>
  </property>
  <property fmtid="{D5CDD505-2E9C-101B-9397-08002B2CF9AE}" pid="70" name="TYPE_ABS_DATE">
    <vt:lpwstr>390120220112</vt:lpwstr>
  </property>
  <property fmtid="{D5CDD505-2E9C-101B-9397-08002B2CF9AE}" pid="71" name="TYPE_N_DATE">
    <vt:lpwstr>39020220112</vt:lpwstr>
  </property>
  <property fmtid="{D5CDD505-2E9C-101B-9397-08002B2CF9AE}" pid="72" name="VOLUME">
    <vt:lpwstr/>
  </property>
  <property fmtid="{D5CDD505-2E9C-101B-9397-08002B2CF9AE}" pid="73" name="WORDNUMPAGES">
    <vt:lpwstr>12</vt:lpwstr>
  </property>
</Properties>
</file>