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_rels/footer1.xml.rels" ContentType="application/vnd.openxmlformats-package.relationships+xml"/>
  <Override PartName="/word/media/image1.jpeg" ContentType="image/jpeg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bidiVisual w:val="true"/>
        <w:tblW w:w="872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973"/>
        <w:gridCol w:w="1068"/>
        <w:gridCol w:w="3679"/>
      </w:tblGrid>
      <w:tr>
        <w:trPr>
          <w:trHeight w:val="418" w:hRule="exact"/>
        </w:trPr>
        <w:tc>
          <w:tcPr>
            <w:tcW w:w="8720" w:type="dxa"/>
            <w:gridSpan w:val="3"/>
            <w:tcBorders/>
          </w:tcPr>
          <w:p>
            <w:pPr>
              <w:pStyle w:val="Header"/>
              <w:tabs>
                <w:tab w:val="clear" w:pos="720"/>
              </w:tabs>
              <w:ind w:end="0"/>
              <w:jc w:val="center"/>
              <w:rPr>
                <w:rFonts w:ascii="Tahoma" w:hAnsi="Tahoma" w:cs="Tahoma"/>
                <w:b/>
                <w:bCs/>
                <w:color w:val="000080"/>
                <w:sz w:val="20"/>
                <w:szCs w:val="20"/>
              </w:rPr>
            </w:pPr>
            <w:r>
              <w:rPr>
                <w:rFonts w:ascii="Tahoma" w:hAnsi="Tahoma" w:cs="Tahoma"/>
                <w:b/>
                <w:b/>
                <w:bCs/>
                <w:color w:val="000080"/>
                <w:sz w:val="20"/>
                <w:sz w:val="20"/>
                <w:szCs w:val="20"/>
                <w:rtl w:val="true"/>
              </w:rPr>
              <w:t>בית המשפט המחוזי מרכז</w:t>
            </w:r>
            <w:r>
              <w:rPr>
                <w:rFonts w:cs="Tahoma" w:ascii="Tahoma" w:hAnsi="Tahoma"/>
                <w:b/>
                <w:bCs/>
                <w:color w:val="000080"/>
                <w:sz w:val="20"/>
                <w:szCs w:val="20"/>
                <w:rtl w:val="true"/>
              </w:rPr>
              <w:t>-</w:t>
            </w:r>
            <w:r>
              <w:rPr>
                <w:rFonts w:ascii="Tahoma" w:hAnsi="Tahoma" w:cs="Tahoma"/>
                <w:b/>
                <w:b/>
                <w:bCs/>
                <w:color w:val="000080"/>
                <w:sz w:val="20"/>
                <w:sz w:val="20"/>
                <w:szCs w:val="20"/>
                <w:rtl w:val="true"/>
              </w:rPr>
              <w:t>לוד</w:t>
            </w:r>
          </w:p>
        </w:tc>
      </w:tr>
      <w:tr>
        <w:trPr>
          <w:trHeight w:val="337" w:hRule="atLeast"/>
        </w:trPr>
        <w:tc>
          <w:tcPr>
            <w:tcW w:w="3973" w:type="dxa"/>
            <w:tcBorders/>
          </w:tcPr>
          <w:p>
            <w:pPr>
              <w:pStyle w:val="Normal"/>
              <w:ind w:end="0"/>
              <w:jc w:val="start"/>
              <w:rPr>
                <w:b/>
                <w:bCs/>
                <w:sz w:val="26"/>
                <w:szCs w:val="26"/>
              </w:rPr>
            </w:pPr>
            <w:r>
              <w:rPr>
                <w:b/>
                <w:b/>
                <w:bCs/>
                <w:sz w:val="26"/>
                <w:sz w:val="26"/>
                <w:szCs w:val="26"/>
                <w:rtl w:val="true"/>
              </w:rPr>
              <w:t>עפ</w:t>
            </w:r>
            <w:r>
              <w:rPr>
                <w:b/>
                <w:bCs/>
                <w:sz w:val="26"/>
                <w:szCs w:val="26"/>
                <w:rtl w:val="true"/>
              </w:rPr>
              <w:t>"</w:t>
            </w:r>
            <w:r>
              <w:rPr>
                <w:b/>
                <w:b/>
                <w:bCs/>
                <w:sz w:val="26"/>
                <w:sz w:val="26"/>
                <w:szCs w:val="26"/>
                <w:rtl w:val="true"/>
              </w:rPr>
              <w:t>ג</w:t>
            </w:r>
            <w:r>
              <w:rPr>
                <w:b/>
                <w:b/>
                <w:bCs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b/>
                <w:bCs/>
                <w:sz w:val="26"/>
                <w:szCs w:val="26"/>
              </w:rPr>
              <w:t>37359-08-13</w:t>
            </w:r>
            <w:r>
              <w:rPr>
                <w:b/>
                <w:bCs/>
                <w:sz w:val="26"/>
                <w:szCs w:val="26"/>
                <w:rtl w:val="true"/>
              </w:rPr>
              <w:t xml:space="preserve"> </w:t>
            </w:r>
            <w:r>
              <w:rPr>
                <w:b/>
                <w:b/>
                <w:bCs/>
                <w:sz w:val="26"/>
                <w:sz w:val="26"/>
                <w:szCs w:val="26"/>
                <w:rtl w:val="true"/>
              </w:rPr>
              <w:t>אגף המכס מע</w:t>
            </w:r>
            <w:r>
              <w:rPr>
                <w:b/>
                <w:bCs/>
                <w:sz w:val="26"/>
                <w:szCs w:val="26"/>
                <w:rtl w:val="true"/>
              </w:rPr>
              <w:t>"</w:t>
            </w:r>
            <w:r>
              <w:rPr>
                <w:b/>
                <w:b/>
                <w:bCs/>
                <w:sz w:val="26"/>
                <w:sz w:val="26"/>
                <w:szCs w:val="26"/>
                <w:rtl w:val="true"/>
              </w:rPr>
              <w:t>מ רמלה נ</w:t>
            </w:r>
            <w:r>
              <w:rPr>
                <w:b/>
                <w:bCs/>
                <w:sz w:val="26"/>
                <w:szCs w:val="26"/>
                <w:rtl w:val="true"/>
              </w:rPr>
              <w:t xml:space="preserve">' </w:t>
            </w:r>
            <w:r>
              <w:rPr>
                <w:b/>
                <w:b/>
                <w:bCs/>
                <w:sz w:val="26"/>
                <w:sz w:val="26"/>
                <w:szCs w:val="26"/>
                <w:rtl w:val="true"/>
              </w:rPr>
              <w:t>דניארוב</w:t>
            </w:r>
          </w:p>
          <w:p>
            <w:pPr>
              <w:pStyle w:val="Normal"/>
              <w:ind w:end="0"/>
              <w:jc w:val="start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  <w:rtl w:val="true"/>
              </w:rPr>
            </w:r>
          </w:p>
        </w:tc>
        <w:tc>
          <w:tcPr>
            <w:tcW w:w="1068" w:type="dxa"/>
            <w:tcBorders/>
          </w:tcPr>
          <w:p>
            <w:pPr>
              <w:pStyle w:val="Header"/>
              <w:snapToGrid w:val="false"/>
              <w:ind w:end="0"/>
              <w:jc w:val="end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  <w:rtl w:val="true"/>
              </w:rPr>
            </w:r>
          </w:p>
        </w:tc>
        <w:tc>
          <w:tcPr>
            <w:tcW w:w="3679" w:type="dxa"/>
            <w:tcBorders/>
          </w:tcPr>
          <w:p>
            <w:pPr>
              <w:pStyle w:val="Header"/>
              <w:tabs>
                <w:tab w:val="clear" w:pos="720"/>
              </w:tabs>
              <w:ind w:end="0"/>
              <w:jc w:val="end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28</w:t>
            </w:r>
            <w:r>
              <w:rPr>
                <w:b/>
                <w:bCs/>
                <w:sz w:val="26"/>
                <w:szCs w:val="26"/>
                <w:rtl w:val="true"/>
              </w:rPr>
              <w:t xml:space="preserve"> </w:t>
            </w:r>
            <w:r>
              <w:rPr>
                <w:b/>
                <w:b/>
                <w:bCs/>
                <w:sz w:val="26"/>
                <w:sz w:val="26"/>
                <w:szCs w:val="26"/>
                <w:rtl w:val="true"/>
              </w:rPr>
              <w:t xml:space="preserve">ינואר </w:t>
            </w:r>
            <w:r>
              <w:rPr>
                <w:b/>
                <w:bCs/>
                <w:sz w:val="26"/>
                <w:szCs w:val="26"/>
              </w:rPr>
              <w:t>2014</w:t>
            </w:r>
          </w:p>
          <w:p>
            <w:pPr>
              <w:pStyle w:val="Header"/>
              <w:tabs>
                <w:tab w:val="clear" w:pos="720"/>
              </w:tabs>
              <w:ind w:end="0"/>
              <w:jc w:val="end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  <w:rtl w:val="true"/>
              </w:rPr>
            </w:r>
          </w:p>
        </w:tc>
      </w:tr>
    </w:tbl>
    <w:p>
      <w:pPr>
        <w:pStyle w:val="Header"/>
        <w:ind w:end="0"/>
        <w:jc w:val="center"/>
        <w:rPr>
          <w:rFonts w:ascii="Tahoma" w:hAnsi="Tahoma" w:cs="Tahoma"/>
          <w:b/>
          <w:bCs/>
          <w:color w:val="000080"/>
          <w:sz w:val="20"/>
          <w:szCs w:val="20"/>
        </w:rPr>
      </w:pPr>
      <w:r>
        <w:rPr>
          <w:rFonts w:cs="Tahoma" w:ascii="Tahoma" w:hAnsi="Tahoma"/>
          <w:b/>
          <w:bCs/>
          <w:color w:val="000080"/>
          <w:sz w:val="20"/>
          <w:szCs w:val="20"/>
          <w:rtl w:val="true"/>
        </w:rPr>
      </w:r>
    </w:p>
    <w:p>
      <w:pPr>
        <w:pStyle w:val="Normal"/>
        <w:ind w:end="0"/>
        <w:jc w:val="start"/>
        <w:rPr>
          <w:rStyle w:val="LineNumber"/>
          <w:rFonts w:ascii="Arial" w:hAnsi="Arial" w:cs="Arial"/>
        </w:rPr>
      </w:pPr>
      <w:r>
        <w:rPr>
          <w:rFonts w:cs="Tahoma" w:ascii="Tahoma" w:hAnsi="Tahoma"/>
          <w:b/>
          <w:bCs/>
          <w:color w:val="000080"/>
          <w:sz w:val="20"/>
          <w:szCs w:val="20"/>
          <w:rtl w:val="true"/>
        </w:rPr>
      </w:r>
    </w:p>
    <w:tbl>
      <w:tblPr>
        <w:bidiVisual w:val="true"/>
        <w:tblW w:w="872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215"/>
        <w:gridCol w:w="2790"/>
        <w:gridCol w:w="2634"/>
        <w:gridCol w:w="81"/>
      </w:tblGrid>
      <w:tr>
        <w:trPr>
          <w:trHeight w:val="337" w:hRule="atLeast"/>
        </w:trPr>
        <w:tc>
          <w:tcPr>
            <w:tcW w:w="6005" w:type="dxa"/>
            <w:gridSpan w:val="2"/>
            <w:tcBorders/>
          </w:tcPr>
          <w:p>
            <w:pPr>
              <w:pStyle w:val="Normal"/>
              <w:spacing w:lineRule="auto" w:line="360"/>
              <w:ind w:end="0"/>
              <w:jc w:val="both"/>
              <w:rPr>
                <w:b/>
                <w:bCs/>
                <w:sz w:val="26"/>
                <w:szCs w:val="26"/>
              </w:rPr>
            </w:pPr>
            <w:r>
              <w:rPr>
                <w:b/>
                <w:b/>
                <w:bCs/>
                <w:sz w:val="26"/>
                <w:sz w:val="26"/>
                <w:szCs w:val="26"/>
                <w:rtl w:val="true"/>
              </w:rPr>
              <w:t>לפני</w:t>
            </w:r>
            <w:r>
              <w:rPr>
                <w:b/>
                <w:bCs/>
                <w:sz w:val="26"/>
                <w:szCs w:val="26"/>
                <w:rtl w:val="true"/>
              </w:rPr>
              <w:t xml:space="preserve">: </w:t>
            </w:r>
          </w:p>
          <w:p>
            <w:pPr>
              <w:pStyle w:val="Normal"/>
              <w:ind w:end="0"/>
              <w:jc w:val="start"/>
              <w:rPr>
                <w:b/>
                <w:bCs/>
                <w:sz w:val="26"/>
                <w:szCs w:val="26"/>
              </w:rPr>
            </w:pPr>
            <w:r>
              <w:rPr>
                <w:b/>
                <w:b/>
                <w:bCs/>
                <w:sz w:val="26"/>
                <w:sz w:val="26"/>
                <w:szCs w:val="26"/>
                <w:rtl w:val="true"/>
              </w:rPr>
              <w:t>כב</w:t>
            </w:r>
            <w:r>
              <w:rPr>
                <w:b/>
                <w:bCs/>
                <w:sz w:val="26"/>
                <w:szCs w:val="26"/>
                <w:rtl w:val="true"/>
              </w:rPr>
              <w:t xml:space="preserve">' </w:t>
            </w:r>
            <w:r>
              <w:rPr>
                <w:b/>
                <w:b/>
                <w:bCs/>
                <w:sz w:val="26"/>
                <w:sz w:val="26"/>
                <w:szCs w:val="26"/>
                <w:rtl w:val="true"/>
              </w:rPr>
              <w:t xml:space="preserve">השופט </w:t>
            </w:r>
            <w:r>
              <w:rPr>
                <w:b/>
                <w:b/>
                <w:bCs/>
                <w:rtl w:val="true"/>
              </w:rPr>
              <w:t>אברהם טל</w:t>
            </w:r>
            <w:r>
              <w:rPr>
                <w:b/>
                <w:bCs/>
                <w:rtl w:val="true"/>
              </w:rPr>
              <w:t xml:space="preserve">, </w:t>
            </w:r>
            <w:r>
              <w:rPr>
                <w:b/>
                <w:b/>
                <w:bCs/>
                <w:rtl w:val="true"/>
              </w:rPr>
              <w:t>אב</w:t>
            </w:r>
            <w:r>
              <w:rPr>
                <w:b/>
                <w:bCs/>
                <w:rtl w:val="true"/>
              </w:rPr>
              <w:t>"</w:t>
            </w:r>
            <w:r>
              <w:rPr>
                <w:b/>
                <w:b/>
                <w:bCs/>
                <w:rtl w:val="true"/>
              </w:rPr>
              <w:t>ד – סג</w:t>
            </w:r>
            <w:r>
              <w:rPr>
                <w:b/>
                <w:bCs/>
                <w:rtl w:val="true"/>
              </w:rPr>
              <w:t>"</w:t>
            </w:r>
            <w:r>
              <w:rPr>
                <w:b/>
                <w:b/>
                <w:bCs/>
                <w:rtl w:val="true"/>
              </w:rPr>
              <w:t xml:space="preserve">נ </w:t>
            </w:r>
            <w:r>
              <w:rPr>
                <w:b/>
                <w:bCs/>
                <w:rtl w:val="true"/>
              </w:rPr>
              <w:br/>
            </w:r>
            <w:r>
              <w:rPr>
                <w:b/>
                <w:b/>
                <w:bCs/>
                <w:rtl w:val="true"/>
              </w:rPr>
              <w:t>כב</w:t>
            </w:r>
            <w:r>
              <w:rPr>
                <w:b/>
                <w:bCs/>
                <w:rtl w:val="true"/>
              </w:rPr>
              <w:t xml:space="preserve">' </w:t>
            </w:r>
            <w:r>
              <w:rPr>
                <w:b/>
                <w:b/>
                <w:bCs/>
                <w:rtl w:val="true"/>
              </w:rPr>
              <w:t>השופט אהרון מקובר</w:t>
            </w:r>
            <w:r>
              <w:rPr>
                <w:b/>
                <w:bCs/>
                <w:rtl w:val="true"/>
              </w:rPr>
              <w:br/>
            </w:r>
            <w:r>
              <w:rPr>
                <w:b/>
                <w:b/>
                <w:bCs/>
                <w:rtl w:val="true"/>
              </w:rPr>
              <w:t>כב</w:t>
            </w:r>
            <w:r>
              <w:rPr>
                <w:b/>
                <w:bCs/>
                <w:rtl w:val="true"/>
              </w:rPr>
              <w:t xml:space="preserve">' </w:t>
            </w:r>
            <w:r>
              <w:rPr>
                <w:b/>
                <w:b/>
                <w:bCs/>
                <w:rtl w:val="true"/>
              </w:rPr>
              <w:t>השופטת זהבה בוסתן</w:t>
            </w:r>
          </w:p>
        </w:tc>
        <w:tc>
          <w:tcPr>
            <w:tcW w:w="2634" w:type="dxa"/>
            <w:tcBorders/>
          </w:tcPr>
          <w:p>
            <w:pPr>
              <w:pStyle w:val="Header"/>
              <w:snapToGrid w:val="false"/>
              <w:ind w:end="0"/>
              <w:jc w:val="both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  <w:rtl w:val="true"/>
              </w:rPr>
            </w:r>
          </w:p>
        </w:tc>
        <w:tc>
          <w:tcPr>
            <w:tcW w:w="81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  <w:rtl w:val="true"/>
              </w:rPr>
            </w:r>
          </w:p>
        </w:tc>
      </w:tr>
      <w:tr>
        <w:trPr/>
        <w:tc>
          <w:tcPr>
            <w:tcW w:w="3215" w:type="dxa"/>
            <w:tcBorders/>
          </w:tcPr>
          <w:p>
            <w:pPr>
              <w:pStyle w:val="Normal"/>
              <w:ind w:start="26" w:end="0"/>
              <w:jc w:val="start"/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</w:pPr>
            <w:bookmarkStart w:id="0" w:name="LastJudge"/>
            <w:bookmarkStart w:id="1" w:name="FirstAppellant"/>
            <w:bookmarkEnd w:id="0"/>
            <w:bookmarkEnd w:id="1"/>
            <w:r>
              <w:rPr>
                <w:rFonts w:ascii="Times New Roman" w:hAnsi="Times New Roman" w:eastAsia="Times New Roman" w:cs="Times New Roman"/>
                <w:b/>
                <w:b/>
                <w:bCs/>
                <w:sz w:val="26"/>
                <w:sz w:val="26"/>
                <w:szCs w:val="26"/>
                <w:rtl w:val="true"/>
              </w:rPr>
              <w:t>ה</w:t>
            </w:r>
            <w:r>
              <w:rPr>
                <w:rFonts w:ascii="Times New Roman" w:hAnsi="Times New Roman" w:eastAsia="Times New Roman" w:cs="Times New Roman"/>
                <w:rtl w:val="true"/>
              </w:rPr>
              <w:t>מערער</w:t>
            </w:r>
            <w:r>
              <w:rPr>
                <w:rFonts w:ascii="Times New Roman" w:hAnsi="Times New Roman" w:eastAsia="Times New Roman" w:cs="Times New Roman"/>
                <w:b/>
                <w:b/>
                <w:bCs/>
                <w:sz w:val="26"/>
                <w:sz w:val="26"/>
                <w:szCs w:val="26"/>
                <w:rtl w:val="true"/>
              </w:rPr>
              <w:t>ת</w:t>
            </w:r>
          </w:p>
        </w:tc>
        <w:tc>
          <w:tcPr>
            <w:tcW w:w="5505" w:type="dxa"/>
            <w:gridSpan w:val="3"/>
            <w:tcBorders/>
          </w:tcPr>
          <w:p>
            <w:pPr>
              <w:pStyle w:val="Normal"/>
              <w:ind w:end="0"/>
              <w:jc w:val="start"/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/>
                <w:bCs/>
                <w:sz w:val="26"/>
                <w:sz w:val="26"/>
                <w:szCs w:val="26"/>
                <w:rtl w:val="true"/>
              </w:rPr>
              <w:t xml:space="preserve">מדינת ישראל </w:t>
            </w:r>
            <w:r>
              <w:rPr>
                <w:rFonts w:ascii="Times New Roman" w:hAnsi="Times New Roman" w:eastAsia="Times New Roman" w:cs="Times New Roman"/>
                <w:rtl w:val="true"/>
              </w:rPr>
              <w:t xml:space="preserve">     </w:t>
            </w:r>
          </w:p>
        </w:tc>
      </w:tr>
      <w:tr>
        <w:trPr/>
        <w:tc>
          <w:tcPr>
            <w:tcW w:w="8720" w:type="dxa"/>
            <w:gridSpan w:val="4"/>
            <w:tcBorders/>
          </w:tcPr>
          <w:p>
            <w:pPr>
              <w:pStyle w:val="Normal"/>
              <w:snapToGrid w:val="false"/>
              <w:ind w:end="0"/>
              <w:jc w:val="both"/>
              <w:rPr>
                <w:rFonts w:ascii="Arial" w:hAnsi="Arial" w:eastAsia="Times New Roman" w:cs="Arial"/>
                <w:b/>
                <w:bCs/>
                <w:sz w:val="26"/>
                <w:szCs w:val="26"/>
              </w:rPr>
            </w:pPr>
            <w:r>
              <w:rPr>
                <w:rFonts w:eastAsia="Times New Roman" w:cs="Arial" w:ascii="Arial" w:hAnsi="Arial"/>
                <w:b/>
                <w:bCs/>
                <w:sz w:val="26"/>
                <w:szCs w:val="26"/>
                <w:rtl w:val="true"/>
              </w:rPr>
            </w:r>
          </w:p>
          <w:p>
            <w:pPr>
              <w:pStyle w:val="Normal"/>
              <w:ind w:end="0"/>
              <w:jc w:val="center"/>
              <w:rPr>
                <w:rFonts w:ascii="Arial" w:hAnsi="Arial" w:eastAsia="Times New Roman" w:cs="Arial"/>
                <w:b/>
                <w:bCs/>
                <w:sz w:val="26"/>
                <w:szCs w:val="26"/>
              </w:rPr>
            </w:pPr>
            <w:r>
              <w:rPr>
                <w:rFonts w:ascii="Arial" w:hAnsi="Arial" w:eastAsia="Times New Roman" w:cs="Arial"/>
                <w:b/>
                <w:b/>
                <w:bCs/>
                <w:sz w:val="26"/>
                <w:sz w:val="26"/>
                <w:szCs w:val="26"/>
                <w:rtl w:val="true"/>
              </w:rPr>
              <w:t>נגד</w:t>
            </w:r>
          </w:p>
          <w:p>
            <w:pPr>
              <w:pStyle w:val="Normal"/>
              <w:ind w:end="0"/>
              <w:jc w:val="center"/>
              <w:rPr>
                <w:rFonts w:ascii="Arial" w:hAnsi="Arial" w:eastAsia="Times New Roman" w:cs="Arial"/>
                <w:b/>
                <w:bCs/>
                <w:sz w:val="26"/>
                <w:szCs w:val="26"/>
              </w:rPr>
            </w:pPr>
            <w:r>
              <w:rPr>
                <w:rFonts w:eastAsia="Times New Roman" w:cs="Arial" w:ascii="Arial" w:hAnsi="Arial"/>
                <w:b/>
                <w:bCs/>
                <w:sz w:val="26"/>
                <w:szCs w:val="26"/>
                <w:rtl w:val="true"/>
              </w:rPr>
            </w:r>
          </w:p>
        </w:tc>
      </w:tr>
      <w:tr>
        <w:trPr/>
        <w:tc>
          <w:tcPr>
            <w:tcW w:w="3215" w:type="dxa"/>
            <w:tcBorders/>
          </w:tcPr>
          <w:p>
            <w:pPr>
              <w:pStyle w:val="Normal"/>
              <w:ind w:start="26" w:end="0"/>
              <w:jc w:val="start"/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/>
                <w:bCs/>
                <w:sz w:val="26"/>
                <w:sz w:val="26"/>
                <w:szCs w:val="26"/>
                <w:rtl w:val="true"/>
              </w:rPr>
              <w:t>ה</w:t>
            </w:r>
            <w:r>
              <w:rPr>
                <w:rFonts w:ascii="Times New Roman" w:hAnsi="Times New Roman" w:eastAsia="Times New Roman" w:cs="Times New Roman"/>
                <w:rtl w:val="true"/>
              </w:rPr>
              <w:t>משיבה</w:t>
            </w:r>
          </w:p>
        </w:tc>
        <w:tc>
          <w:tcPr>
            <w:tcW w:w="5505" w:type="dxa"/>
            <w:gridSpan w:val="3"/>
            <w:tcBorders/>
          </w:tcPr>
          <w:p>
            <w:pPr>
              <w:pStyle w:val="Normal"/>
              <w:ind w:end="0"/>
              <w:jc w:val="start"/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6"/>
                <w:szCs w:val="26"/>
                <w:rtl w:val="true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rtl w:val="true"/>
              </w:rPr>
              <w:t>לריסה דניארוב</w:t>
            </w:r>
          </w:p>
        </w:tc>
      </w:tr>
    </w:tbl>
    <w:p>
      <w:pPr>
        <w:pStyle w:val="Normal"/>
        <w:ind w:end="0"/>
        <w:jc w:val="start"/>
        <w:rPr>
          <w:rStyle w:val="LineNumber"/>
          <w:rFonts w:ascii="Arial" w:hAnsi="Arial" w:cs="Arial"/>
        </w:rPr>
      </w:pPr>
      <w:r>
        <w:rPr>
          <w:rtl w:val="true"/>
        </w:rPr>
      </w:r>
    </w:p>
    <w:p>
      <w:pPr>
        <w:pStyle w:val="Normal"/>
        <w:ind w:end="0"/>
        <w:jc w:val="start"/>
        <w:rPr>
          <w:rStyle w:val="LineNumber"/>
          <w:rFonts w:ascii="Arial" w:hAnsi="Arial" w:cs="Arial"/>
          <w:sz w:val="6"/>
          <w:szCs w:val="6"/>
        </w:rPr>
      </w:pPr>
      <w:r>
        <w:rPr>
          <w:rStyle w:val="LineNumber"/>
          <w:rFonts w:cs="Arial" w:ascii="Arial" w:hAnsi="Arial"/>
          <w:sz w:val="6"/>
          <w:szCs w:val="6"/>
          <w:rtl w:val="true"/>
        </w:rPr>
        <w:t>&lt;</w:t>
      </w:r>
      <w:r>
        <w:rPr>
          <w:rStyle w:val="LineNumber"/>
          <w:rFonts w:cs="Arial" w:ascii="Arial" w:hAnsi="Arial"/>
          <w:sz w:val="6"/>
          <w:szCs w:val="6"/>
        </w:rPr>
        <w:t>#2#</w:t>
      </w:r>
      <w:r>
        <w:rPr>
          <w:rStyle w:val="LineNumber"/>
          <w:rFonts w:cs="Arial" w:ascii="Arial" w:hAnsi="Arial"/>
          <w:sz w:val="6"/>
          <w:szCs w:val="6"/>
          <w:rtl w:val="true"/>
        </w:rPr>
        <w:t>&gt;</w:t>
      </w:r>
    </w:p>
    <w:p>
      <w:pPr>
        <w:pStyle w:val="12"/>
        <w:ind w:end="0"/>
        <w:jc w:val="start"/>
        <w:rPr>
          <w:u w:val="none"/>
        </w:rPr>
      </w:pPr>
      <w:r>
        <w:rPr>
          <w:u w:val="none"/>
          <w:rtl w:val="true"/>
        </w:rPr>
        <w:t>נוכחים</w:t>
      </w:r>
      <w:r>
        <w:rPr>
          <w:u w:val="none"/>
          <w:rtl w:val="true"/>
        </w:rPr>
        <w:t>:</w:t>
      </w:r>
    </w:p>
    <w:p>
      <w:pPr>
        <w:pStyle w:val="12"/>
        <w:ind w:end="0"/>
        <w:jc w:val="start"/>
        <w:rPr>
          <w:b w:val="false"/>
          <w:bCs w:val="false"/>
          <w:sz w:val="4"/>
          <w:szCs w:val="4"/>
          <w:u w:val="none"/>
        </w:rPr>
      </w:pPr>
      <w:r>
        <w:rPr>
          <w:b w:val="false"/>
          <w:bCs w:val="false"/>
          <w:sz w:val="4"/>
          <w:szCs w:val="4"/>
          <w:u w:val="none"/>
          <w:rtl w:val="true"/>
        </w:rPr>
      </w:r>
    </w:p>
    <w:p>
      <w:pPr>
        <w:pStyle w:val="12"/>
        <w:ind w:end="0"/>
        <w:jc w:val="start"/>
        <w:rPr>
          <w:b w:val="false"/>
          <w:bCs w:val="false"/>
          <w:u w:val="none"/>
        </w:rPr>
      </w:pPr>
      <w:bookmarkStart w:id="2" w:name="FirstLawyer"/>
      <w:r>
        <w:rPr>
          <w:b w:val="false"/>
          <w:b w:val="false"/>
          <w:bCs w:val="false"/>
          <w:u w:val="none"/>
          <w:rtl w:val="true"/>
        </w:rPr>
        <w:t>ב</w:t>
      </w:r>
      <w:r>
        <w:rPr>
          <w:b w:val="false"/>
          <w:bCs w:val="false"/>
          <w:u w:val="none"/>
          <w:rtl w:val="true"/>
        </w:rPr>
        <w:t>"</w:t>
      </w:r>
      <w:r>
        <w:rPr>
          <w:b w:val="false"/>
          <w:b w:val="false"/>
          <w:bCs w:val="false"/>
          <w:u w:val="none"/>
          <w:rtl w:val="true"/>
        </w:rPr>
        <w:t>כ</w:t>
      </w:r>
      <w:bookmarkEnd w:id="2"/>
      <w:r>
        <w:rPr>
          <w:b w:val="false"/>
          <w:b w:val="false"/>
          <w:bCs w:val="false"/>
          <w:u w:val="none"/>
          <w:rtl w:val="true"/>
        </w:rPr>
        <w:t xml:space="preserve"> המערערת עו</w:t>
      </w:r>
      <w:r>
        <w:rPr>
          <w:b w:val="false"/>
          <w:bCs w:val="false"/>
          <w:u w:val="none"/>
          <w:rtl w:val="true"/>
        </w:rPr>
        <w:t>"</w:t>
      </w:r>
      <w:r>
        <w:rPr>
          <w:b w:val="false"/>
          <w:b w:val="false"/>
          <w:bCs w:val="false"/>
          <w:u w:val="none"/>
          <w:rtl w:val="true"/>
        </w:rPr>
        <w:t xml:space="preserve">ד </w:t>
      </w:r>
      <w:r>
        <w:rPr>
          <w:u w:val="none"/>
          <w:rtl w:val="true"/>
        </w:rPr>
        <w:t>כרמל</w:t>
      </w:r>
      <w:r>
        <w:rPr>
          <w:b w:val="false"/>
          <w:b w:val="false"/>
          <w:bCs w:val="false"/>
          <w:u w:val="none"/>
          <w:rtl w:val="true"/>
        </w:rPr>
        <w:t xml:space="preserve"> </w:t>
      </w:r>
      <w:r>
        <w:rPr>
          <w:u w:val="none"/>
          <w:rtl w:val="true"/>
        </w:rPr>
        <w:t>קדור</w:t>
      </w:r>
      <w:r>
        <w:rPr>
          <w:b w:val="false"/>
          <w:b w:val="false"/>
          <w:bCs w:val="false"/>
          <w:u w:val="none"/>
          <w:rtl w:val="true"/>
        </w:rPr>
        <w:t xml:space="preserve"> </w:t>
      </w:r>
    </w:p>
    <w:p>
      <w:pPr>
        <w:pStyle w:val="12"/>
        <w:ind w:end="0"/>
        <w:jc w:val="start"/>
        <w:rPr>
          <w:b w:val="false"/>
          <w:bCs w:val="false"/>
          <w:sz w:val="4"/>
          <w:szCs w:val="4"/>
          <w:u w:val="none"/>
        </w:rPr>
      </w:pPr>
      <w:r>
        <w:rPr>
          <w:b w:val="false"/>
          <w:bCs w:val="false"/>
          <w:sz w:val="4"/>
          <w:szCs w:val="4"/>
          <w:u w:val="none"/>
          <w:rtl w:val="true"/>
        </w:rPr>
      </w:r>
    </w:p>
    <w:p>
      <w:pPr>
        <w:pStyle w:val="12"/>
        <w:ind w:end="0"/>
        <w:jc w:val="start"/>
        <w:rPr>
          <w:sz w:val="4"/>
          <w:szCs w:val="4"/>
          <w:u w:val="none"/>
        </w:rPr>
      </w:pPr>
      <w:r>
        <w:rPr>
          <w:b w:val="false"/>
          <w:bCs w:val="false"/>
          <w:sz w:val="4"/>
          <w:szCs w:val="4"/>
          <w:u w:val="none"/>
          <w:rtl w:val="true"/>
        </w:rPr>
        <w:t xml:space="preserve"> </w:t>
      </w:r>
    </w:p>
    <w:p>
      <w:pPr>
        <w:pStyle w:val="12"/>
        <w:ind w:end="0"/>
        <w:jc w:val="start"/>
        <w:rPr>
          <w:u w:val="none"/>
        </w:rPr>
      </w:pPr>
      <w:r>
        <w:rPr>
          <w:b w:val="false"/>
          <w:b w:val="false"/>
          <w:bCs w:val="false"/>
          <w:u w:val="none"/>
          <w:rtl w:val="true"/>
        </w:rPr>
        <w:t>המשיב ובאת כוחו עו</w:t>
      </w:r>
      <w:r>
        <w:rPr>
          <w:b w:val="false"/>
          <w:bCs w:val="false"/>
          <w:u w:val="none"/>
          <w:rtl w:val="true"/>
        </w:rPr>
        <w:t>"</w:t>
      </w:r>
      <w:r>
        <w:rPr>
          <w:b w:val="false"/>
          <w:b w:val="false"/>
          <w:bCs w:val="false"/>
          <w:u w:val="none"/>
          <w:rtl w:val="true"/>
        </w:rPr>
        <w:t xml:space="preserve">ד קרן זרקו זמיר </w:t>
      </w:r>
    </w:p>
    <w:p>
      <w:pPr>
        <w:pStyle w:val="12"/>
        <w:ind w:end="0"/>
        <w:jc w:val="start"/>
        <w:rPr>
          <w:b w:val="false"/>
          <w:bCs w:val="false"/>
          <w:sz w:val="4"/>
          <w:szCs w:val="4"/>
          <w:u w:val="none"/>
        </w:rPr>
      </w:pPr>
      <w:r>
        <w:rPr>
          <w:b w:val="false"/>
          <w:bCs w:val="false"/>
          <w:sz w:val="4"/>
          <w:szCs w:val="4"/>
          <w:u w:val="none"/>
          <w:rtl w:val="true"/>
        </w:rPr>
      </w:r>
    </w:p>
    <w:p>
      <w:pPr>
        <w:pStyle w:val="12"/>
        <w:ind w:end="0"/>
        <w:jc w:val="start"/>
        <w:rPr>
          <w:b w:val="false"/>
          <w:bCs w:val="false"/>
          <w:sz w:val="4"/>
          <w:szCs w:val="4"/>
          <w:u w:val="none"/>
        </w:rPr>
      </w:pPr>
      <w:r>
        <w:rPr>
          <w:b w:val="false"/>
          <w:bCs w:val="false"/>
          <w:sz w:val="4"/>
          <w:szCs w:val="4"/>
          <w:u w:val="none"/>
          <w:rtl w:val="true"/>
        </w:rPr>
      </w:r>
    </w:p>
    <w:p>
      <w:pPr>
        <w:pStyle w:val="12"/>
        <w:ind w:end="0"/>
        <w:jc w:val="start"/>
        <w:rPr>
          <w:b w:val="false"/>
          <w:bCs w:val="false"/>
          <w:u w:val="none"/>
        </w:rPr>
      </w:pPr>
      <w:r>
        <w:rPr>
          <w:b w:val="false"/>
          <w:bCs w:val="false"/>
          <w:u w:val="none"/>
          <w:rtl w:val="true"/>
        </w:rPr>
      </w:r>
    </w:p>
    <w:p>
      <w:pPr>
        <w:pStyle w:val="Normal"/>
        <w:spacing w:lineRule="auto" w:line="360"/>
        <w:ind w:end="0"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/>
          <w:color w:val="FF0000"/>
          <w:sz w:val="28"/>
          <w:sz w:val="28"/>
          <w:rtl w:val="true"/>
        </w:rPr>
        <w:t>במסמך זה הושמטו פרוטוקולים</w:t>
      </w:r>
    </w:p>
    <w:p>
      <w:pPr>
        <w:pStyle w:val="Normal"/>
        <w:spacing w:lineRule="auto" w:line="360"/>
        <w:ind w:end="0"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cs="Arial" w:ascii="Arial" w:hAnsi="Arial"/>
          <w:b/>
          <w:bCs/>
          <w:sz w:val="28"/>
          <w:szCs w:val="28"/>
          <w:rtl w:val="true"/>
        </w:rPr>
      </w:r>
    </w:p>
    <w:p>
      <w:pPr>
        <w:pStyle w:val="Normal"/>
        <w:spacing w:lineRule="auto" w:line="360"/>
        <w:ind w:end="0"/>
        <w:jc w:val="center"/>
        <w:rPr>
          <w:rFonts w:ascii="Arial" w:hAnsi="Arial" w:cs="Arial"/>
          <w:b/>
          <w:bCs/>
          <w:sz w:val="28"/>
          <w:szCs w:val="28"/>
          <w:u w:val="single"/>
        </w:rPr>
      </w:pPr>
      <w:bookmarkStart w:id="3" w:name="PsakDin"/>
      <w:bookmarkEnd w:id="3"/>
      <w:r>
        <w:rPr>
          <w:rFonts w:ascii="Arial" w:hAnsi="Arial" w:cs="Arial"/>
          <w:b/>
          <w:b/>
          <w:bCs/>
          <w:sz w:val="28"/>
          <w:sz w:val="28"/>
          <w:szCs w:val="28"/>
          <w:u w:val="single"/>
          <w:rtl w:val="true"/>
        </w:rPr>
        <w:t>פסק דין</w:t>
      </w:r>
    </w:p>
    <w:p>
      <w:pPr>
        <w:pStyle w:val="Normal"/>
        <w:spacing w:lineRule="auto" w:line="360"/>
        <w:ind w:end="0"/>
        <w:jc w:val="both"/>
        <w:rPr/>
      </w:pPr>
      <w:bookmarkStart w:id="4" w:name="PsakDin"/>
      <w:bookmarkEnd w:id="4"/>
      <w:r>
        <w:rPr>
          <w:rtl w:val="true"/>
        </w:rPr>
        <w:t>המשיבה היתה בעלת מסעדה והיתה חייבת להגיש דוחות תקופתיים למע</w:t>
      </w:r>
      <w:r>
        <w:rPr>
          <w:rtl w:val="true"/>
        </w:rPr>
        <w:t>"</w:t>
      </w:r>
      <w:r>
        <w:rPr>
          <w:rtl w:val="true"/>
        </w:rPr>
        <w:t>מ ולשלם את המס הנובע מהם</w:t>
      </w:r>
      <w:r>
        <w:rPr>
          <w:rtl w:val="true"/>
        </w:rPr>
        <w:t xml:space="preserve">, </w:t>
      </w:r>
      <w:r>
        <w:rPr>
          <w:rtl w:val="true"/>
        </w:rPr>
        <w:t xml:space="preserve">המשיבה לא עשתה כן לגבי ארבעה דוחות תקופתיים והגישה את הדוח של חודש אפריל </w:t>
      </w:r>
      <w:r>
        <w:rPr/>
        <w:t>2010</w:t>
      </w:r>
      <w:r>
        <w:rPr>
          <w:rtl w:val="true"/>
        </w:rPr>
        <w:t xml:space="preserve"> </w:t>
      </w:r>
      <w:r>
        <w:rPr>
          <w:rtl w:val="true"/>
        </w:rPr>
        <w:t xml:space="preserve">באיחור של </w:t>
      </w:r>
      <w:r>
        <w:rPr/>
        <w:t>99</w:t>
      </w:r>
      <w:r>
        <w:rPr>
          <w:rtl w:val="true"/>
        </w:rPr>
        <w:t xml:space="preserve"> </w:t>
      </w:r>
      <w:r>
        <w:rPr>
          <w:rtl w:val="true"/>
        </w:rPr>
        <w:t>ימים</w:t>
      </w:r>
      <w:r>
        <w:rPr>
          <w:rtl w:val="true"/>
        </w:rPr>
        <w:t xml:space="preserve">. </w:t>
      </w:r>
    </w:p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  <w:t>המשיבה נידונה ל</w:t>
      </w:r>
      <w:r>
        <w:rPr>
          <w:rtl w:val="true"/>
        </w:rPr>
        <w:t xml:space="preserve">- </w:t>
      </w:r>
      <w:r>
        <w:rPr/>
        <w:t>5</w:t>
      </w:r>
      <w:r>
        <w:rPr>
          <w:rtl w:val="true"/>
        </w:rPr>
        <w:t xml:space="preserve"> </w:t>
      </w:r>
      <w:r>
        <w:rPr>
          <w:rtl w:val="true"/>
        </w:rPr>
        <w:t>חודשי מאסר על תנאי בתנאים המפורטים בגזר</w:t>
      </w:r>
      <w:r>
        <w:rPr>
          <w:rtl w:val="true"/>
        </w:rPr>
        <w:t>-</w:t>
      </w:r>
      <w:r>
        <w:rPr>
          <w:rtl w:val="true"/>
        </w:rPr>
        <w:t>הדין</w:t>
      </w:r>
      <w:r>
        <w:rPr>
          <w:rtl w:val="true"/>
        </w:rPr>
        <w:t xml:space="preserve">, </w:t>
      </w:r>
      <w:r>
        <w:rPr>
          <w:rtl w:val="true"/>
        </w:rPr>
        <w:t xml:space="preserve">לתשלום קנס בסך </w:t>
      </w:r>
      <w:r>
        <w:rPr/>
        <w:t>8,000</w:t>
      </w:r>
      <w:r>
        <w:rPr>
          <w:rtl w:val="true"/>
        </w:rPr>
        <w:t xml:space="preserve"> ₪, </w:t>
      </w:r>
      <w:r>
        <w:rPr>
          <w:rtl w:val="true"/>
        </w:rPr>
        <w:t xml:space="preserve">ולחתימה על התחייבות בסכום של </w:t>
      </w:r>
      <w:r>
        <w:rPr/>
        <w:t>15,000</w:t>
      </w:r>
      <w:r>
        <w:rPr>
          <w:rtl w:val="true"/>
        </w:rPr>
        <w:t xml:space="preserve"> ₪ </w:t>
      </w:r>
      <w:r>
        <w:rPr>
          <w:rtl w:val="true"/>
        </w:rPr>
        <w:t>בתנאים המפורטים בגזר</w:t>
      </w:r>
      <w:r>
        <w:rPr>
          <w:rtl w:val="true"/>
        </w:rPr>
        <w:t>-</w:t>
      </w:r>
      <w:r>
        <w:rPr>
          <w:rtl w:val="true"/>
        </w:rPr>
        <w:t>הדין</w:t>
      </w:r>
      <w:r>
        <w:rPr>
          <w:rtl w:val="true"/>
        </w:rPr>
        <w:t xml:space="preserve">. </w:t>
      </w:r>
    </w:p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  <w:t>הערעור מכוון כלפי קולת העונש וב</w:t>
      </w:r>
      <w:r>
        <w:rPr>
          <w:rtl w:val="true"/>
        </w:rPr>
        <w:t>"</w:t>
      </w:r>
      <w:r>
        <w:rPr>
          <w:rtl w:val="true"/>
        </w:rPr>
        <w:t>כ המערערת טוען בהודעת הערעור כי שגה בימ</w:t>
      </w:r>
      <w:r>
        <w:rPr>
          <w:rtl w:val="true"/>
        </w:rPr>
        <w:t>"</w:t>
      </w:r>
      <w:r>
        <w:rPr>
          <w:rtl w:val="true"/>
        </w:rPr>
        <w:t xml:space="preserve">ש קמא כאשר קבע שלא הוכח בפניו סכום המחדל כאשר המערערת טוענת לסכום מחדל של </w:t>
      </w:r>
      <w:r>
        <w:rPr/>
        <w:t>65,129</w:t>
      </w:r>
      <w:r>
        <w:rPr>
          <w:rtl w:val="true"/>
        </w:rPr>
        <w:t xml:space="preserve"> ₪ </w:t>
      </w:r>
      <w:r>
        <w:rPr>
          <w:rtl w:val="true"/>
        </w:rPr>
        <w:t xml:space="preserve">והמשיבה טוענת לסכום של </w:t>
      </w:r>
      <w:r>
        <w:rPr/>
        <w:t>25,000</w:t>
      </w:r>
      <w:r>
        <w:rPr>
          <w:rtl w:val="true"/>
        </w:rPr>
        <w:t xml:space="preserve"> ₪. </w:t>
      </w:r>
    </w:p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  <w:t>כמו כן טוענת המערערת בהודעת הערעור כי טעה בימ</w:t>
      </w:r>
      <w:r>
        <w:rPr>
          <w:rtl w:val="true"/>
        </w:rPr>
        <w:t>"</w:t>
      </w:r>
      <w:r>
        <w:rPr>
          <w:rtl w:val="true"/>
        </w:rPr>
        <w:t>ש קמא כאשר לא לקח בחשבון במידה הראויה את העובדה הלא מוכחשת שהמשיבה לא הסירה את המחדלים כלל</w:t>
      </w:r>
      <w:r>
        <w:rPr>
          <w:rtl w:val="true"/>
        </w:rPr>
        <w:t xml:space="preserve">, </w:t>
      </w:r>
      <w:r>
        <w:rPr>
          <w:rtl w:val="true"/>
        </w:rPr>
        <w:t>לא בסכום הנטען על ידה ובוודאי לא בסכום הנטען על ידי המערערת</w:t>
      </w:r>
      <w:r>
        <w:rPr>
          <w:rtl w:val="true"/>
        </w:rPr>
        <w:t xml:space="preserve">. </w:t>
      </w:r>
    </w:p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  <w:t>כן טוענת המערערת שבימ</w:t>
      </w:r>
      <w:r>
        <w:rPr>
          <w:rtl w:val="true"/>
        </w:rPr>
        <w:t>"</w:t>
      </w:r>
      <w:r>
        <w:rPr>
          <w:rtl w:val="true"/>
        </w:rPr>
        <w:t>ש קמא התחשב</w:t>
      </w:r>
      <w:r>
        <w:rPr>
          <w:rtl w:val="true"/>
        </w:rPr>
        <w:t xml:space="preserve">, </w:t>
      </w:r>
      <w:r>
        <w:rPr>
          <w:rtl w:val="true"/>
        </w:rPr>
        <w:t>שלא בצדק</w:t>
      </w:r>
      <w:r>
        <w:rPr>
          <w:rtl w:val="true"/>
        </w:rPr>
        <w:t xml:space="preserve">, </w:t>
      </w:r>
      <w:r>
        <w:rPr>
          <w:rtl w:val="true"/>
        </w:rPr>
        <w:t>בנסיבותיה האישיות ובמצבה הכלכלי של המשיבה שהוכרזה כפושטת רגל</w:t>
      </w:r>
      <w:r>
        <w:rPr>
          <w:rtl w:val="true"/>
        </w:rPr>
        <w:t xml:space="preserve">. </w:t>
      </w:r>
    </w:p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  <w:t>ב</w:t>
      </w:r>
      <w:r>
        <w:rPr>
          <w:rtl w:val="true"/>
        </w:rPr>
        <w:t>"</w:t>
      </w:r>
      <w:r>
        <w:rPr>
          <w:rtl w:val="true"/>
        </w:rPr>
        <w:t>כ המשיבה מתנגדת להחמרה בעונשה של המשיבה וטוענת כי צדק בימ</w:t>
      </w:r>
      <w:r>
        <w:rPr>
          <w:rtl w:val="true"/>
        </w:rPr>
        <w:t>"</w:t>
      </w:r>
      <w:r>
        <w:rPr>
          <w:rtl w:val="true"/>
        </w:rPr>
        <w:t>ש קמא כאשר קבע שלא הוכחו בפניו סכומי הדוחות</w:t>
      </w:r>
      <w:r>
        <w:rPr>
          <w:rtl w:val="true"/>
        </w:rPr>
        <w:t xml:space="preserve">, </w:t>
      </w:r>
      <w:r>
        <w:rPr>
          <w:rtl w:val="true"/>
        </w:rPr>
        <w:t>אשר לא שולמו עד היום</w:t>
      </w:r>
      <w:r>
        <w:rPr>
          <w:rtl w:val="true"/>
        </w:rPr>
        <w:t xml:space="preserve">, </w:t>
      </w:r>
      <w:r>
        <w:rPr>
          <w:rtl w:val="true"/>
        </w:rPr>
        <w:t>וכן היא טוענת כי המשיבה ביקשה לשלם את סכומי הדוחות אך שלטונות מע</w:t>
      </w:r>
      <w:r>
        <w:rPr>
          <w:rtl w:val="true"/>
        </w:rPr>
        <w:t>"</w:t>
      </w:r>
      <w:r>
        <w:rPr>
          <w:rtl w:val="true"/>
        </w:rPr>
        <w:t>מ סירבו לקבל ממנה במישרין את התשלום שכן היא פושטת רגל ויש בקבלת התשלום משום העדפת נושים אסורה</w:t>
      </w:r>
      <w:r>
        <w:rPr>
          <w:rtl w:val="true"/>
        </w:rPr>
        <w:t xml:space="preserve">. </w:t>
      </w:r>
    </w:p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  <w:t>עיון בגזר</w:t>
      </w:r>
      <w:r>
        <w:rPr>
          <w:rtl w:val="true"/>
        </w:rPr>
        <w:t>-</w:t>
      </w:r>
      <w:r>
        <w:rPr>
          <w:rtl w:val="true"/>
        </w:rPr>
        <w:t>הדין של בימ</w:t>
      </w:r>
      <w:r>
        <w:rPr>
          <w:rtl w:val="true"/>
        </w:rPr>
        <w:t>"</w:t>
      </w:r>
      <w:r>
        <w:rPr>
          <w:rtl w:val="true"/>
        </w:rPr>
        <w:t>ש קמא מעלה כי הוא אכן קבע שלא הוכחו בפניו סכומי הדוחות שכן אלה לא הוגשו לשלטונות מע</w:t>
      </w:r>
      <w:r>
        <w:rPr>
          <w:rtl w:val="true"/>
        </w:rPr>
        <w:t>"</w:t>
      </w:r>
      <w:r>
        <w:rPr>
          <w:rtl w:val="true"/>
        </w:rPr>
        <w:t>מ במועד</w:t>
      </w:r>
      <w:r>
        <w:rPr>
          <w:rtl w:val="true"/>
        </w:rPr>
        <w:t xml:space="preserve">, </w:t>
      </w:r>
      <w:r>
        <w:rPr>
          <w:rtl w:val="true"/>
        </w:rPr>
        <w:t>וכאשר הוגשו דוחות מתקנים הרי סכום הדוחות היה נמוך מזה שנטען על ידי המערערת</w:t>
      </w:r>
      <w:r>
        <w:rPr>
          <w:rtl w:val="true"/>
        </w:rPr>
        <w:t xml:space="preserve">. </w:t>
      </w:r>
    </w:p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  <w:t xml:space="preserve">המערערת לא כללה בסעיף </w:t>
      </w:r>
      <w:r>
        <w:rPr/>
        <w:t>4</w:t>
      </w:r>
      <w:r>
        <w:rPr>
          <w:rtl w:val="true"/>
        </w:rPr>
        <w:t xml:space="preserve"> </w:t>
      </w:r>
      <w:r>
        <w:rPr>
          <w:rtl w:val="true"/>
        </w:rPr>
        <w:t>לכתב האישום את סכומי הדוחות</w:t>
      </w:r>
      <w:r>
        <w:rPr>
          <w:rtl w:val="true"/>
        </w:rPr>
        <w:t xml:space="preserve">, </w:t>
      </w:r>
      <w:r>
        <w:rPr>
          <w:rtl w:val="true"/>
        </w:rPr>
        <w:t>דבר שהיא עושה בכתבי אישום אחרים כפי שהוצגו בפנינו על ידי ב</w:t>
      </w:r>
      <w:r>
        <w:rPr>
          <w:rtl w:val="true"/>
        </w:rPr>
        <w:t>"</w:t>
      </w:r>
      <w:r>
        <w:rPr>
          <w:rtl w:val="true"/>
        </w:rPr>
        <w:t>כ המשיבה וכפי שבאו בפנינו במקרים אחרים</w:t>
      </w:r>
      <w:r>
        <w:rPr>
          <w:rtl w:val="true"/>
        </w:rPr>
        <w:t xml:space="preserve">, </w:t>
      </w:r>
      <w:r>
        <w:rPr>
          <w:rtl w:val="true"/>
        </w:rPr>
        <w:t>וכן לא צירפה כחלק מכתב האישום את הדוחות שעליהם מופיעים הסכומים כפי שהיא טוענת להם</w:t>
      </w:r>
      <w:r>
        <w:rPr>
          <w:rtl w:val="true"/>
        </w:rPr>
        <w:t xml:space="preserve">. </w:t>
      </w:r>
    </w:p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  <w:t>משלא עשתה המערערת כך</w:t>
      </w:r>
      <w:r>
        <w:rPr>
          <w:rtl w:val="true"/>
        </w:rPr>
        <w:t xml:space="preserve">, </w:t>
      </w:r>
      <w:r>
        <w:rPr>
          <w:rtl w:val="true"/>
        </w:rPr>
        <w:t>ומאחר ואין מחלוקת שקיימת מחלוקת בין הצדדים באשר לסכומי הדוחות</w:t>
      </w:r>
      <w:r>
        <w:rPr>
          <w:rtl w:val="true"/>
        </w:rPr>
        <w:t xml:space="preserve">, </w:t>
      </w:r>
      <w:r>
        <w:rPr>
          <w:rtl w:val="true"/>
        </w:rPr>
        <w:t>צדק בימ</w:t>
      </w:r>
      <w:r>
        <w:rPr>
          <w:rtl w:val="true"/>
        </w:rPr>
        <w:t>"</w:t>
      </w:r>
      <w:r>
        <w:rPr>
          <w:rtl w:val="true"/>
        </w:rPr>
        <w:t>ש קמא כאשר לא זקף לחובתה של המשיבה את אי תשלום הסכומים כפי שטוענת להם המערערת</w:t>
      </w:r>
      <w:r>
        <w:rPr>
          <w:rtl w:val="true"/>
        </w:rPr>
        <w:t xml:space="preserve">. </w:t>
      </w:r>
    </w:p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  <w:t>עם זאת</w:t>
      </w:r>
      <w:r>
        <w:rPr>
          <w:rtl w:val="true"/>
        </w:rPr>
        <w:t xml:space="preserve">, </w:t>
      </w:r>
      <w:r>
        <w:rPr>
          <w:rtl w:val="true"/>
        </w:rPr>
        <w:t>אין מחלוקת שהמשיבה לא הסירה את המחדל אך בעניין זה יש לקחת בחשבון את העובדה שהיא ביקשה לעשות כן אך שלטונות מע</w:t>
      </w:r>
      <w:r>
        <w:rPr>
          <w:rtl w:val="true"/>
        </w:rPr>
        <w:t>"</w:t>
      </w:r>
      <w:r>
        <w:rPr>
          <w:rtl w:val="true"/>
        </w:rPr>
        <w:t>מ לא הסכימו בטענה שיש בקבלת התשלום מהמשיבה</w:t>
      </w:r>
      <w:r>
        <w:rPr>
          <w:rtl w:val="true"/>
        </w:rPr>
        <w:t xml:space="preserve">, </w:t>
      </w:r>
      <w:r>
        <w:rPr>
          <w:rtl w:val="true"/>
        </w:rPr>
        <w:t>שהיא פושטת רגל</w:t>
      </w:r>
      <w:r>
        <w:rPr>
          <w:rtl w:val="true"/>
        </w:rPr>
        <w:t xml:space="preserve">, </w:t>
      </w:r>
      <w:r>
        <w:rPr>
          <w:rtl w:val="true"/>
        </w:rPr>
        <w:t>משום העדפת נושים</w:t>
      </w:r>
      <w:r>
        <w:rPr>
          <w:rtl w:val="true"/>
        </w:rPr>
        <w:t xml:space="preserve">. </w:t>
      </w:r>
    </w:p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  <w:t xml:space="preserve">בית משפט קמא הביא לצורך קביעת מתחם הענישה פסיקה שנכללה בסעיף </w:t>
      </w:r>
      <w:r>
        <w:rPr/>
        <w:t>19</w:t>
      </w:r>
      <w:r>
        <w:rPr>
          <w:rtl w:val="true"/>
        </w:rPr>
        <w:t xml:space="preserve"> </w:t>
      </w:r>
      <w:r>
        <w:rPr>
          <w:rtl w:val="true"/>
        </w:rPr>
        <w:t>לגזר</w:t>
      </w:r>
      <w:r>
        <w:rPr>
          <w:rtl w:val="true"/>
        </w:rPr>
        <w:t>-</w:t>
      </w:r>
      <w:r>
        <w:rPr>
          <w:rtl w:val="true"/>
        </w:rPr>
        <w:t>הדין ושבה הוטלו עונשי מאסר לריצוי בעבודות שירות על מי שלא הגישו דוחות</w:t>
      </w:r>
      <w:r>
        <w:rPr>
          <w:rtl w:val="true"/>
        </w:rPr>
        <w:t xml:space="preserve">, </w:t>
      </w:r>
      <w:r>
        <w:rPr>
          <w:rtl w:val="true"/>
        </w:rPr>
        <w:t>אך באותם מקרים מדובר היה במי שלא הגישו עשרות דוחות ואילו המשיבה</w:t>
      </w:r>
      <w:r>
        <w:rPr>
          <w:rtl w:val="true"/>
        </w:rPr>
        <w:t xml:space="preserve">, </w:t>
      </w:r>
      <w:r>
        <w:rPr>
          <w:rtl w:val="true"/>
        </w:rPr>
        <w:t>מבלי להקל ראש במחדליה</w:t>
      </w:r>
      <w:r>
        <w:rPr>
          <w:rtl w:val="true"/>
        </w:rPr>
        <w:t xml:space="preserve">, </w:t>
      </w:r>
      <w:r>
        <w:rPr>
          <w:rtl w:val="true"/>
        </w:rPr>
        <w:t xml:space="preserve">לא הגישה ארבעה דוחות ואת הדוח החמישי הגישה באיחור של </w:t>
      </w:r>
      <w:r>
        <w:rPr/>
        <w:t>99</w:t>
      </w:r>
      <w:r>
        <w:rPr>
          <w:rtl w:val="true"/>
        </w:rPr>
        <w:t xml:space="preserve"> </w:t>
      </w:r>
      <w:r>
        <w:rPr>
          <w:rtl w:val="true"/>
        </w:rPr>
        <w:t>יום</w:t>
      </w:r>
      <w:r>
        <w:rPr>
          <w:rtl w:val="true"/>
        </w:rPr>
        <w:t xml:space="preserve">. </w:t>
      </w:r>
    </w:p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  <w:t>לאור כל האמור לעיל</w:t>
      </w:r>
      <w:r>
        <w:rPr>
          <w:rtl w:val="true"/>
        </w:rPr>
        <w:t xml:space="preserve">, </w:t>
      </w:r>
      <w:r>
        <w:rPr>
          <w:rtl w:val="true"/>
        </w:rPr>
        <w:t>מתחם הענישה שהרף התחתון שלו הוא מאסר על תנאי והרף העליון שלו הוא שישה חודשי מאסר לריצוי בעבודות שירות</w:t>
      </w:r>
      <w:r>
        <w:rPr>
          <w:rtl w:val="true"/>
        </w:rPr>
        <w:t xml:space="preserve">, </w:t>
      </w:r>
      <w:r>
        <w:rPr>
          <w:rtl w:val="true"/>
        </w:rPr>
        <w:t>מקובל עלינו במקרה של המשיבה והעובדה שלא הוטל עונש של מאסר</w:t>
      </w:r>
      <w:r>
        <w:rPr>
          <w:rtl w:val="true"/>
        </w:rPr>
        <w:t xml:space="preserve">, </w:t>
      </w:r>
      <w:r>
        <w:rPr>
          <w:rtl w:val="true"/>
        </w:rPr>
        <w:t>ולו לריצוי בעבודות שירות</w:t>
      </w:r>
      <w:r>
        <w:rPr>
          <w:rtl w:val="true"/>
        </w:rPr>
        <w:t xml:space="preserve">, </w:t>
      </w:r>
      <w:r>
        <w:rPr>
          <w:rtl w:val="true"/>
        </w:rPr>
        <w:t>אלא בית המשפט קמא לקח בחשבון את חומרת מחדליה של המשיבה בקביעת גובה הקנס</w:t>
      </w:r>
      <w:r>
        <w:rPr>
          <w:rtl w:val="true"/>
        </w:rPr>
        <w:t xml:space="preserve">, </w:t>
      </w:r>
      <w:r>
        <w:rPr>
          <w:rtl w:val="true"/>
        </w:rPr>
        <w:t>אין בה כדי להצדיק התערבות ערכאת ערעור</w:t>
      </w:r>
      <w:r>
        <w:rPr>
          <w:rtl w:val="true"/>
        </w:rPr>
        <w:t xml:space="preserve">. </w:t>
      </w:r>
    </w:p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  <w:t>אנו דוחים את הערעור</w:t>
      </w:r>
      <w:r>
        <w:rPr>
          <w:rtl w:val="true"/>
        </w:rPr>
        <w:t xml:space="preserve">. </w:t>
      </w:r>
    </w:p>
    <w:p>
      <w:pPr>
        <w:pStyle w:val="Normal"/>
        <w:spacing w:lineRule="auto" w:line="360"/>
        <w:ind w:end="0"/>
        <w:jc w:val="both"/>
        <w:rPr>
          <w:rStyle w:val="LineNumber"/>
        </w:rPr>
      </w:pPr>
      <w:r>
        <w:rPr>
          <w:rtl w:val="true"/>
        </w:rPr>
      </w:r>
    </w:p>
    <w:p>
      <w:pPr>
        <w:pStyle w:val="Normal"/>
        <w:spacing w:lineRule="auto" w:line="360"/>
        <w:ind w:end="0"/>
        <w:jc w:val="both"/>
        <w:rPr>
          <w:rStyle w:val="LineNumber"/>
          <w:sz w:val="6"/>
          <w:szCs w:val="6"/>
        </w:rPr>
      </w:pPr>
      <w:r>
        <w:rPr>
          <w:rStyle w:val="LineNumber"/>
          <w:sz w:val="6"/>
          <w:szCs w:val="6"/>
          <w:rtl w:val="true"/>
        </w:rPr>
        <w:t>&lt;</w:t>
      </w:r>
      <w:r>
        <w:rPr>
          <w:rStyle w:val="LineNumber"/>
          <w:sz w:val="6"/>
          <w:szCs w:val="6"/>
        </w:rPr>
        <w:t>#4#</w:t>
      </w:r>
      <w:r>
        <w:rPr>
          <w:rStyle w:val="LineNumber"/>
          <w:sz w:val="6"/>
          <w:szCs w:val="6"/>
          <w:rtl w:val="true"/>
        </w:rPr>
        <w:t>&gt;</w:t>
      </w:r>
    </w:p>
    <w:p>
      <w:pPr>
        <w:pStyle w:val="Normal"/>
        <w:ind w:end="0"/>
        <w:jc w:val="start"/>
        <w:rPr/>
      </w:pPr>
      <w:r>
        <w:rPr>
          <w:b/>
          <w:bCs/>
          <w:color w:val="FFFFFF"/>
          <w:sz w:val="2"/>
          <w:szCs w:val="2"/>
        </w:rPr>
        <w:t>5129371</w:t>
      </w:r>
      <w:r>
        <w:rPr>
          <w:b/>
          <w:b/>
          <w:bCs/>
          <w:rtl w:val="true"/>
        </w:rPr>
        <w:t>ניתן והודע היום כ</w:t>
      </w:r>
      <w:r>
        <w:rPr>
          <w:b/>
          <w:bCs/>
          <w:rtl w:val="true"/>
        </w:rPr>
        <w:t>"</w:t>
      </w:r>
      <w:r>
        <w:rPr>
          <w:b/>
          <w:b/>
          <w:bCs/>
          <w:rtl w:val="true"/>
        </w:rPr>
        <w:t>ז שבט תשע</w:t>
      </w:r>
      <w:r>
        <w:rPr>
          <w:b/>
          <w:bCs/>
          <w:rtl w:val="true"/>
        </w:rPr>
        <w:t>"</w:t>
      </w:r>
      <w:r>
        <w:rPr>
          <w:b/>
          <w:b/>
          <w:bCs/>
          <w:rtl w:val="true"/>
        </w:rPr>
        <w:t>ד</w:t>
      </w:r>
      <w:r>
        <w:rPr>
          <w:b/>
          <w:bCs/>
          <w:rtl w:val="true"/>
        </w:rPr>
        <w:t xml:space="preserve">, </w:t>
      </w:r>
      <w:r>
        <w:rPr>
          <w:b/>
          <w:bCs/>
        </w:rPr>
        <w:t>28/01/2014</w:t>
      </w:r>
      <w:r>
        <w:rPr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במעמד ב</w:t>
      </w:r>
      <w:r>
        <w:rPr>
          <w:b/>
          <w:bCs/>
          <w:rtl w:val="true"/>
        </w:rPr>
        <w:t>"</w:t>
      </w:r>
      <w:r>
        <w:rPr>
          <w:b/>
          <w:b/>
          <w:bCs/>
          <w:rtl w:val="true"/>
        </w:rPr>
        <w:t>כ הצדדים והמשיבה</w:t>
      </w:r>
      <w:r>
        <w:rPr>
          <w:b/>
          <w:bCs/>
          <w:rtl w:val="true"/>
        </w:rPr>
        <w:t xml:space="preserve">.  </w:t>
      </w:r>
    </w:p>
    <w:tbl>
      <w:tblPr>
        <w:bidiVisual w:val="true"/>
        <w:tblW w:w="8522" w:type="dxa"/>
        <w:jc w:val="end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834"/>
        <w:gridCol w:w="360"/>
        <w:gridCol w:w="2406"/>
        <w:gridCol w:w="346"/>
        <w:gridCol w:w="2576"/>
      </w:tblGrid>
      <w:tr>
        <w:trPr/>
        <w:tc>
          <w:tcPr>
            <w:tcW w:w="2834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ind w:end="0"/>
              <w:jc w:val="center"/>
              <w:rPr>
                <w:rFonts w:ascii="Courier New" w:hAnsi="Courier New" w:eastAsia="Times New Roman" w:cs="Courier New"/>
                <w:b/>
                <w:bCs/>
                <w:color w:val="FFFFFF"/>
                <w:sz w:val="2"/>
                <w:szCs w:val="2"/>
              </w:rPr>
            </w:pPr>
            <w:r>
              <w:rPr>
                <w:rFonts w:eastAsia="Times New Roman" w:cs="Courier New" w:ascii="Courier New" w:hAnsi="Courier New"/>
                <w:b/>
                <w:bCs/>
                <w:color w:val="FFFFFF"/>
                <w:sz w:val="2"/>
                <w:szCs w:val="2"/>
              </w:rPr>
              <w:t>54678313</w:t>
            </w:r>
          </w:p>
        </w:tc>
        <w:tc>
          <w:tcPr>
            <w:tcW w:w="360" w:type="dxa"/>
            <w:tcBorders/>
            <w:vAlign w:val="bottom"/>
          </w:tcPr>
          <w:p>
            <w:pPr>
              <w:pStyle w:val="Normal"/>
              <w:snapToGrid w:val="false"/>
              <w:ind w:end="0"/>
              <w:jc w:val="center"/>
              <w:rPr>
                <w:rFonts w:ascii="Courier New" w:hAnsi="Courier New" w:eastAsia="Times New Roman" w:cs="Courier New"/>
                <w:b/>
                <w:bCs/>
                <w:color w:val="FFFFFF"/>
                <w:sz w:val="2"/>
                <w:szCs w:val="2"/>
              </w:rPr>
            </w:pPr>
            <w:r>
              <w:rPr>
                <w:rFonts w:eastAsia="Times New Roman" w:cs="Courier New" w:ascii="Courier New" w:hAnsi="Courier New"/>
                <w:b/>
                <w:bCs/>
                <w:color w:val="FFFFFF"/>
                <w:sz w:val="2"/>
                <w:szCs w:val="2"/>
                <w:rtl w:val="true"/>
              </w:rPr>
            </w:r>
          </w:p>
        </w:tc>
        <w:tc>
          <w:tcPr>
            <w:tcW w:w="2406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ind w:end="0"/>
              <w:jc w:val="center"/>
              <w:rPr>
                <w:rFonts w:ascii="Courier New" w:hAnsi="Courier New" w:eastAsia="Times New Roman" w:cs="Courier New"/>
                <w:b/>
                <w:bCs/>
              </w:rPr>
            </w:pPr>
            <w:r>
              <w:rPr>
                <w:rFonts w:eastAsia="Times New Roman" w:cs="Courier New" w:ascii="Courier New" w:hAnsi="Courier New"/>
                <w:b/>
                <w:bCs/>
                <w:rtl w:val="true"/>
              </w:rPr>
            </w:r>
          </w:p>
        </w:tc>
        <w:tc>
          <w:tcPr>
            <w:tcW w:w="346" w:type="dxa"/>
            <w:tcBorders/>
            <w:vAlign w:val="bottom"/>
          </w:tcPr>
          <w:p>
            <w:pPr>
              <w:pStyle w:val="Normal"/>
              <w:snapToGrid w:val="false"/>
              <w:ind w:end="0"/>
              <w:jc w:val="center"/>
              <w:rPr>
                <w:rFonts w:ascii="Courier New" w:hAnsi="Courier New" w:eastAsia="Times New Roman" w:cs="Courier New"/>
                <w:b/>
                <w:bCs/>
              </w:rPr>
            </w:pPr>
            <w:r>
              <w:rPr>
                <w:rFonts w:eastAsia="Times New Roman" w:cs="Courier New" w:ascii="Courier New" w:hAnsi="Courier New"/>
                <w:b/>
                <w:bCs/>
                <w:rtl w:val="true"/>
              </w:rPr>
            </w:r>
          </w:p>
        </w:tc>
        <w:tc>
          <w:tcPr>
            <w:tcW w:w="2576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ind w:end="0"/>
              <w:jc w:val="center"/>
              <w:rPr>
                <w:rFonts w:ascii="Courier New" w:hAnsi="Courier New" w:eastAsia="Times New Roman" w:cs="Courier New"/>
                <w:b/>
                <w:bCs/>
              </w:rPr>
            </w:pPr>
            <w:r>
              <w:rPr>
                <w:rFonts w:eastAsia="Times New Roman" w:cs="Courier New" w:ascii="Courier New" w:hAnsi="Courier New"/>
                <w:b/>
                <w:bCs/>
                <w:rtl w:val="true"/>
              </w:rPr>
            </w:r>
          </w:p>
        </w:tc>
      </w:tr>
      <w:tr>
        <w:trPr/>
        <w:tc>
          <w:tcPr>
            <w:tcW w:w="2834" w:type="dxa"/>
            <w:tcBorders>
              <w:top w:val="single" w:sz="4" w:space="0" w:color="000000"/>
            </w:tcBorders>
            <w:vAlign w:val="bottom"/>
          </w:tcPr>
          <w:p>
            <w:pPr>
              <w:pStyle w:val="Normal"/>
              <w:ind w:end="0"/>
              <w:jc w:val="center"/>
              <w:rPr>
                <w:rFonts w:ascii="Courier New" w:hAnsi="Courier New" w:eastAsia="Times New Roman" w:cs="Courier New"/>
                <w:b/>
                <w:bCs/>
              </w:rPr>
            </w:pPr>
            <w:r>
              <w:rPr>
                <w:rFonts w:ascii="Courier New" w:hAnsi="Courier New" w:eastAsia="Times New Roman" w:cs="Courier New"/>
                <w:b/>
                <w:b/>
                <w:bCs/>
                <w:rtl w:val="true"/>
              </w:rPr>
              <w:t>אברהם טל</w:t>
            </w:r>
            <w:r>
              <w:rPr>
                <w:rFonts w:eastAsia="Times New Roman" w:cs="Courier New" w:ascii="Courier New" w:hAnsi="Courier New"/>
                <w:b/>
                <w:bCs/>
                <w:rtl w:val="true"/>
              </w:rPr>
              <w:t xml:space="preserve">, </w:t>
            </w:r>
            <w:r>
              <w:rPr>
                <w:rFonts w:ascii="Courier New" w:hAnsi="Courier New" w:eastAsia="Times New Roman" w:cs="Courier New"/>
                <w:b/>
                <w:b/>
                <w:bCs/>
                <w:rtl w:val="true"/>
              </w:rPr>
              <w:t>סג</w:t>
            </w:r>
            <w:r>
              <w:rPr>
                <w:rFonts w:eastAsia="Times New Roman" w:cs="Courier New" w:ascii="Courier New" w:hAnsi="Courier New"/>
                <w:b/>
                <w:bCs/>
                <w:rtl w:val="true"/>
              </w:rPr>
              <w:t>"</w:t>
            </w:r>
            <w:r>
              <w:rPr>
                <w:rFonts w:ascii="Courier New" w:hAnsi="Courier New" w:eastAsia="Times New Roman" w:cs="Courier New"/>
                <w:b/>
                <w:b/>
                <w:bCs/>
                <w:rtl w:val="true"/>
              </w:rPr>
              <w:t>נ</w:t>
            </w:r>
          </w:p>
          <w:p>
            <w:pPr>
              <w:pStyle w:val="Normal"/>
              <w:ind w:end="0"/>
              <w:jc w:val="center"/>
              <w:rPr>
                <w:rFonts w:ascii="Courier New" w:hAnsi="Courier New" w:eastAsia="Times New Roman" w:cs="Courier New"/>
                <w:b/>
                <w:bCs/>
              </w:rPr>
            </w:pPr>
            <w:r>
              <w:rPr>
                <w:rFonts w:ascii="Courier New" w:hAnsi="Courier New" w:eastAsia="Times New Roman" w:cs="Courier New"/>
                <w:b/>
                <w:b/>
                <w:bCs/>
                <w:rtl w:val="true"/>
              </w:rPr>
              <w:t>אב</w:t>
            </w:r>
            <w:r>
              <w:rPr>
                <w:rFonts w:eastAsia="Times New Roman" w:cs="Courier New" w:ascii="Courier New" w:hAnsi="Courier New"/>
                <w:b/>
                <w:bCs/>
                <w:rtl w:val="true"/>
              </w:rPr>
              <w:t>"</w:t>
            </w:r>
            <w:r>
              <w:rPr>
                <w:rFonts w:ascii="Courier New" w:hAnsi="Courier New" w:eastAsia="Times New Roman" w:cs="Courier New"/>
                <w:b/>
                <w:b/>
                <w:bCs/>
                <w:rtl w:val="true"/>
              </w:rPr>
              <w:t>ד</w:t>
            </w:r>
          </w:p>
        </w:tc>
        <w:tc>
          <w:tcPr>
            <w:tcW w:w="360" w:type="dxa"/>
            <w:tcBorders/>
            <w:vAlign w:val="bottom"/>
          </w:tcPr>
          <w:p>
            <w:pPr>
              <w:pStyle w:val="Normal"/>
              <w:snapToGrid w:val="false"/>
              <w:ind w:end="0"/>
              <w:jc w:val="center"/>
              <w:rPr>
                <w:rFonts w:ascii="Courier New" w:hAnsi="Courier New" w:eastAsia="Times New Roman" w:cs="Courier New"/>
                <w:b/>
                <w:bCs/>
              </w:rPr>
            </w:pPr>
            <w:r>
              <w:rPr>
                <w:rFonts w:eastAsia="Times New Roman" w:cs="Courier New" w:ascii="Courier New" w:hAnsi="Courier New"/>
                <w:b/>
                <w:bCs/>
                <w:rtl w:val="true"/>
              </w:rPr>
            </w:r>
          </w:p>
        </w:tc>
        <w:tc>
          <w:tcPr>
            <w:tcW w:w="2406" w:type="dxa"/>
            <w:tcBorders>
              <w:top w:val="single" w:sz="4" w:space="0" w:color="000000"/>
            </w:tcBorders>
          </w:tcPr>
          <w:p>
            <w:pPr>
              <w:pStyle w:val="Normal"/>
              <w:ind w:end="0"/>
              <w:jc w:val="center"/>
              <w:rPr>
                <w:rFonts w:ascii="Courier New" w:hAnsi="Courier New" w:eastAsia="Times New Roman" w:cs="Courier New"/>
                <w:b/>
                <w:bCs/>
              </w:rPr>
            </w:pPr>
            <w:r>
              <w:rPr>
                <w:rFonts w:ascii="Courier New" w:hAnsi="Courier New" w:eastAsia="Times New Roman" w:cs="Courier New"/>
                <w:b/>
                <w:b/>
                <w:bCs/>
                <w:rtl w:val="true"/>
              </w:rPr>
              <w:t>אהרון מקובר</w:t>
            </w:r>
            <w:r>
              <w:rPr>
                <w:rFonts w:eastAsia="Times New Roman" w:cs="Courier New" w:ascii="Courier New" w:hAnsi="Courier New"/>
                <w:b/>
                <w:bCs/>
                <w:rtl w:val="true"/>
              </w:rPr>
              <w:t xml:space="preserve">, </w:t>
            </w:r>
            <w:r>
              <w:rPr>
                <w:rFonts w:ascii="Courier New" w:hAnsi="Courier New" w:eastAsia="Times New Roman" w:cs="Courier New"/>
                <w:b/>
                <w:b/>
                <w:bCs/>
                <w:rtl w:val="true"/>
              </w:rPr>
              <w:t>שופט</w:t>
            </w:r>
          </w:p>
        </w:tc>
        <w:tc>
          <w:tcPr>
            <w:tcW w:w="346" w:type="dxa"/>
            <w:tcBorders/>
          </w:tcPr>
          <w:p>
            <w:pPr>
              <w:pStyle w:val="Normal"/>
              <w:snapToGrid w:val="false"/>
              <w:ind w:end="0"/>
              <w:jc w:val="center"/>
              <w:rPr>
                <w:rFonts w:ascii="Courier New" w:hAnsi="Courier New" w:eastAsia="Times New Roman" w:cs="Courier New"/>
                <w:b/>
                <w:bCs/>
              </w:rPr>
            </w:pPr>
            <w:r>
              <w:rPr>
                <w:rFonts w:eastAsia="Times New Roman" w:cs="Courier New" w:ascii="Courier New" w:hAnsi="Courier New"/>
                <w:b/>
                <w:bCs/>
                <w:rtl w:val="true"/>
              </w:rPr>
            </w:r>
          </w:p>
        </w:tc>
        <w:tc>
          <w:tcPr>
            <w:tcW w:w="2576" w:type="dxa"/>
            <w:tcBorders>
              <w:top w:val="single" w:sz="4" w:space="0" w:color="000000"/>
            </w:tcBorders>
          </w:tcPr>
          <w:p>
            <w:pPr>
              <w:pStyle w:val="Normal"/>
              <w:ind w:end="0"/>
              <w:jc w:val="center"/>
              <w:rPr>
                <w:rFonts w:ascii="Courier New" w:hAnsi="Courier New" w:eastAsia="Times New Roman" w:cs="Courier New"/>
                <w:b/>
                <w:bCs/>
              </w:rPr>
            </w:pPr>
            <w:r>
              <w:rPr>
                <w:rFonts w:ascii="Courier New" w:hAnsi="Courier New" w:eastAsia="Times New Roman" w:cs="Courier New"/>
                <w:b/>
                <w:b/>
                <w:bCs/>
                <w:rtl w:val="true"/>
              </w:rPr>
              <w:t>זהבה בוסתן</w:t>
            </w:r>
            <w:r>
              <w:rPr>
                <w:rFonts w:eastAsia="Times New Roman" w:cs="Courier New" w:ascii="Courier New" w:hAnsi="Courier New"/>
                <w:b/>
                <w:bCs/>
                <w:rtl w:val="true"/>
              </w:rPr>
              <w:t xml:space="preserve">, </w:t>
            </w:r>
            <w:r>
              <w:rPr>
                <w:rFonts w:ascii="Courier New" w:hAnsi="Courier New" w:eastAsia="Times New Roman" w:cs="Courier New"/>
                <w:b/>
                <w:b/>
                <w:bCs/>
                <w:rtl w:val="true"/>
              </w:rPr>
              <w:t>שופטת</w:t>
            </w:r>
          </w:p>
        </w:tc>
      </w:tr>
    </w:tbl>
    <w:p>
      <w:pPr>
        <w:pStyle w:val="Normal"/>
        <w:ind w:end="0"/>
        <w:jc w:val="start"/>
        <w:rPr/>
      </w:pPr>
      <w:r>
        <w:rPr>
          <w:rtl w:val="true"/>
        </w:rPr>
      </w:r>
    </w:p>
    <w:p>
      <w:pPr>
        <w:pStyle w:val="Normal"/>
        <w:spacing w:lineRule="auto" w:line="360"/>
        <w:ind w:end="0"/>
        <w:jc w:val="both"/>
        <w:rPr>
          <w:rStyle w:val="LineNumber"/>
        </w:rPr>
      </w:pPr>
      <w:bookmarkStart w:id="5" w:name="_GoBack"/>
      <w:bookmarkEnd w:id="5"/>
      <w:r>
        <w:rPr>
          <w:rStyle w:val="LineNumber"/>
          <w:rtl w:val="true"/>
        </w:rPr>
        <w:t xml:space="preserve"> </w:t>
      </w:r>
    </w:p>
    <w:p>
      <w:pPr>
        <w:pStyle w:val="Normal"/>
        <w:keepNext w:val="true"/>
        <w:ind w:end="0"/>
        <w:jc w:val="start"/>
        <w:rPr>
          <w:rStyle w:val="LineNumber"/>
          <w:color w:val="000000"/>
          <w:sz w:val="22"/>
          <w:szCs w:val="22"/>
        </w:rPr>
      </w:pPr>
      <w:r>
        <w:rPr>
          <w:rtl w:val="true"/>
        </w:rPr>
      </w:r>
    </w:p>
    <w:p>
      <w:pPr>
        <w:pStyle w:val="Normal"/>
        <w:keepNext w:val="true"/>
        <w:ind w:end="0"/>
        <w:jc w:val="start"/>
        <w:rPr>
          <w:color w:val="000000"/>
          <w:sz w:val="22"/>
          <w:szCs w:val="22"/>
        </w:rPr>
      </w:pPr>
      <w:r>
        <w:rPr>
          <w:color w:val="000000"/>
          <w:sz w:val="22"/>
          <w:sz w:val="22"/>
          <w:szCs w:val="22"/>
          <w:rtl w:val="true"/>
        </w:rPr>
        <w:t xml:space="preserve">אברהם טל </w:t>
      </w:r>
      <w:r>
        <w:rPr>
          <w:color w:val="000000"/>
          <w:sz w:val="22"/>
          <w:szCs w:val="22"/>
        </w:rPr>
        <w:t>54678313</w:t>
      </w:r>
    </w:p>
    <w:p>
      <w:pPr>
        <w:pStyle w:val="Normal"/>
        <w:ind w:end="0"/>
        <w:jc w:val="start"/>
        <w:rPr>
          <w:color w:val="000000"/>
        </w:rPr>
      </w:pPr>
      <w:r>
        <w:rPr>
          <w:color w:val="000000"/>
          <w:rtl w:val="true"/>
        </w:rPr>
        <w:t>נוסח מסמך זה כפוף לשינויי ניסוח ועריכה</w:t>
      </w:r>
    </w:p>
    <w:p>
      <w:pPr>
        <w:pStyle w:val="Normal"/>
        <w:ind w:end="0"/>
        <w:jc w:val="start"/>
        <w:rPr/>
      </w:pPr>
      <w:r>
        <w:rPr>
          <w:rtl w:val="true"/>
        </w:rPr>
      </w:r>
    </w:p>
    <w:p>
      <w:pPr>
        <w:pStyle w:val="Normal"/>
        <w:ind w:end="0"/>
        <w:jc w:val="center"/>
        <w:rPr>
          <w:color w:val="0000FF"/>
          <w:u w:val="single"/>
        </w:rPr>
      </w:pPr>
      <w:hyperlink r:id="rId2">
        <w:r>
          <w:rPr>
            <w:rStyle w:val="Hyperlink"/>
            <w:color w:val="0000FF"/>
            <w:u w:val="single"/>
            <w:rtl w:val="true"/>
          </w:rPr>
          <w:t>בעניין עריכה ושינויים במסמכי פסיקה</w:t>
        </w:r>
        <w:r>
          <w:rPr>
            <w:rStyle w:val="Hyperlink"/>
            <w:color w:val="0000FF"/>
            <w:u w:val="single"/>
            <w:rtl w:val="true"/>
          </w:rPr>
          <w:t xml:space="preserve">, </w:t>
        </w:r>
        <w:r>
          <w:rPr>
            <w:rStyle w:val="Hyperlink"/>
            <w:color w:val="0000FF"/>
            <w:u w:val="single"/>
            <w:rtl w:val="true"/>
          </w:rPr>
          <w:t>חקיקה ועוד באתר נבו – הקש כאן</w:t>
        </w:r>
      </w:hyperlink>
    </w:p>
    <w:p>
      <w:pPr>
        <w:pStyle w:val="Normal"/>
        <w:ind w:end="0"/>
        <w:jc w:val="center"/>
        <w:rPr>
          <w:color w:val="0000FF"/>
          <w:u w:val="single"/>
        </w:rPr>
      </w:pPr>
      <w:r>
        <w:rPr>
          <w:color w:val="0000FF"/>
          <w:u w:val="single"/>
          <w:rtl w:val="true"/>
        </w:rPr>
      </w:r>
    </w:p>
    <w:sectPr>
      <w:headerReference w:type="default" r:id="rId3"/>
      <w:footerReference w:type="default" r:id="rId4"/>
      <w:type w:val="nextPage"/>
      <w:pgSz w:w="11906" w:h="16838"/>
      <w:pgMar w:left="1701" w:right="1701" w:gutter="0" w:header="1077" w:top="1701" w:footer="1157" w:bottom="1440"/>
      <w:pgNumType w:start="1" w:fmt="decimal"/>
      <w:formProt w:val="false"/>
      <w:textDirection w:val="lrTb"/>
      <w:rtlGutter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David">
    <w:charset w:val="b1" w:characterSet="windows-1255"/>
    <w:family w:val="auto"/>
    <w:pitch w:val="variable"/>
  </w:font>
  <w:font w:name="Liberation Sans">
    <w:altName w:val="Arial"/>
    <w:charset w:val="01" w:characterSet="utf-8"/>
    <w:family w:val="swiss"/>
    <w:pitch w:val="variable"/>
  </w:font>
  <w:font w:name="Tahoma">
    <w:charset w:val="00" w:characterSet="windows-1252"/>
    <w:family w:val="swiss"/>
    <w:pitch w:val="variable"/>
  </w:font>
  <w:font w:name="Courier New">
    <w:charset w:val="00" w:characterSet="windows-1252"/>
    <w:family w:val="modern"/>
    <w:pitch w:val="default"/>
  </w:font>
  <w:font w:name="FrankRuehl">
    <w:charset w:val="b1" w:characterSet="windows-1255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end="0"/>
      <w:jc w:val="center"/>
      <w:rPr>
        <w:rFonts w:ascii="FrankRuehl" w:hAnsi="FrankRuehl" w:cs="FrankRuehl"/>
      </w:rPr>
    </w:pPr>
    <w:r>
      <w:rPr>
        <w:rFonts w:cs="FrankRuehl" w:ascii="FrankRuehl" w:hAnsi="FrankRuehl"/>
        <w:rtl w:val="true"/>
      </w:rPr>
      <w:fldChar w:fldCharType="begin"/>
    </w:r>
    <w:r>
      <w:rPr>
        <w:rtl w:val="true"/>
        <w:rFonts w:cs="FrankRuehl" w:ascii="FrankRuehl" w:hAnsi="FrankRuehl"/>
      </w:rPr>
      <w:instrText xml:space="preserve"> PAGE </w:instrText>
    </w:r>
    <w:r>
      <w:rPr>
        <w:rtl w:val="true"/>
        <w:rFonts w:cs="FrankRuehl" w:ascii="FrankRuehl" w:hAnsi="FrankRuehl"/>
      </w:rPr>
      <w:fldChar w:fldCharType="separate"/>
    </w:r>
    <w:r>
      <w:rPr>
        <w:rtl w:val="true"/>
        <w:rFonts w:cs="FrankRuehl" w:ascii="FrankRuehl" w:hAnsi="FrankRuehl"/>
      </w:rPr>
      <w:t>3</w:t>
    </w:r>
    <w:r>
      <w:rPr>
        <w:rtl w:val="true"/>
        <w:rFonts w:cs="FrankRuehl" w:ascii="FrankRuehl" w:hAnsi="FrankRuehl"/>
      </w:rPr>
      <w:fldChar w:fldCharType="end"/>
    </w:r>
  </w:p>
  <w:p>
    <w:pPr>
      <w:pStyle w:val="Footer"/>
      <w:pBdr>
        <w:top w:val="single" w:sz="4" w:space="1" w:color="000000"/>
      </w:pBdr>
      <w:spacing w:before="0" w:after="60"/>
      <w:ind w:end="0"/>
      <w:jc w:val="center"/>
      <w:rPr>
        <w:rFonts w:ascii="FrankRuehl" w:hAnsi="FrankRuehl" w:cs="FrankRuehl"/>
        <w:color w:val="000000"/>
      </w:rPr>
    </w:pPr>
    <w:r>
      <w:rPr>
        <w:rFonts w:cs="FrankRuehl" w:ascii="FrankRuehl" w:hAnsi="FrankRuehl"/>
        <w:color w:val="000000"/>
        <w:rtl w:val="true"/>
      </w:rPr>
      <w:drawing>
        <wp:inline distT="0" distB="0" distL="0" distR="0">
          <wp:extent cx="554990" cy="225425"/>
          <wp:effectExtent l="0" t="0" r="0" b="0"/>
          <wp:docPr id="1" name="Image1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" descr="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5" t="-159" r="-65" b="-159"/>
                  <a:stretch>
                    <a:fillRect/>
                  </a:stretch>
                </pic:blipFill>
                <pic:spPr bwMode="auto">
                  <a:xfrm>
                    <a:off x="0" y="0"/>
                    <a:ext cx="554990" cy="2254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4" w:space="1" w:color="000000"/>
      </w:pBdr>
      <w:tabs>
        <w:tab w:val="clear" w:pos="720"/>
        <w:tab w:val="right" w:pos="8311" w:leader="none"/>
      </w:tabs>
      <w:spacing w:lineRule="exact" w:line="220"/>
      <w:ind w:end="0"/>
      <w:jc w:val="start"/>
      <w:rPr>
        <w:color w:val="000000"/>
        <w:sz w:val="22"/>
        <w:szCs w:val="22"/>
      </w:rPr>
    </w:pPr>
    <w:r>
      <w:rPr>
        <w:color w:val="000000"/>
        <w:sz w:val="22"/>
        <w:sz w:val="22"/>
        <w:szCs w:val="22"/>
        <w:rtl w:val="true"/>
      </w:rPr>
      <w:t xml:space="preserve">עפג </w:t>
    </w:r>
    <w:r>
      <w:rPr>
        <w:color w:val="000000"/>
        <w:sz w:val="22"/>
        <w:szCs w:val="22"/>
        <w:rtl w:val="true"/>
      </w:rPr>
      <w:t>(</w:t>
    </w:r>
    <w:r>
      <w:rPr>
        <w:color w:val="000000"/>
        <w:sz w:val="22"/>
        <w:sz w:val="22"/>
        <w:szCs w:val="22"/>
        <w:rtl w:val="true"/>
      </w:rPr>
      <w:t>מרכז</w:t>
    </w:r>
    <w:r>
      <w:rPr>
        <w:color w:val="000000"/>
        <w:sz w:val="22"/>
        <w:szCs w:val="22"/>
        <w:rtl w:val="true"/>
      </w:rPr>
      <w:t xml:space="preserve">) </w:t>
    </w:r>
    <w:r>
      <w:rPr>
        <w:color w:val="000000"/>
        <w:sz w:val="22"/>
        <w:szCs w:val="22"/>
      </w:rPr>
      <w:t>37359-08-13</w:t>
    </w:r>
    <w:r>
      <w:rPr>
        <w:color w:val="000000"/>
        <w:sz w:val="22"/>
        <w:szCs w:val="22"/>
        <w:rtl w:val="true"/>
      </w:rPr>
      <w:tab/>
      <w:t xml:space="preserve"> </w:t>
    </w:r>
    <w:r>
      <w:rPr>
        <w:color w:val="000000"/>
        <w:sz w:val="22"/>
        <w:sz w:val="22"/>
        <w:szCs w:val="22"/>
        <w:rtl w:val="true"/>
      </w:rPr>
      <w:t>מדינת ישראל נ</w:t>
    </w:r>
    <w:r>
      <w:rPr>
        <w:color w:val="000000"/>
        <w:sz w:val="22"/>
        <w:szCs w:val="22"/>
        <w:rtl w:val="true"/>
      </w:rPr>
      <w:t xml:space="preserve">' </w:t>
    </w:r>
    <w:r>
      <w:rPr>
        <w:color w:val="000000"/>
        <w:sz w:val="22"/>
        <w:sz w:val="22"/>
        <w:szCs w:val="22"/>
        <w:rtl w:val="true"/>
      </w:rPr>
      <w:t>לריסה דניארוב</w:t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1"/>
  </w:compat>
  <w:docVars>
    <w:docVar w:name="MyInfo" w:val="This document was extracted from Nevo's site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IL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1"/>
    </w:pPr>
    <w:rPr>
      <w:rFonts w:ascii="David" w:hAnsi="David" w:eastAsia="David" w:cs="David"/>
      <w:color w:val="auto"/>
      <w:sz w:val="24"/>
      <w:szCs w:val="24"/>
      <w:lang w:val="en-US" w:bidi="he-IL" w:eastAsia="zh-CN"/>
    </w:rPr>
  </w:style>
  <w:style w:type="character" w:styleId="DefaultParagraphFont">
    <w:name w:val="Default Paragraph Font"/>
    <w:qFormat/>
    <w:rPr/>
  </w:style>
  <w:style w:type="character" w:styleId="PageNumber">
    <w:name w:val="page number"/>
    <w:basedOn w:val="DefaultParagraphFont"/>
    <w:rPr/>
  </w:style>
  <w:style w:type="character" w:styleId="LineNumber">
    <w:name w:val="line number"/>
    <w:basedOn w:val="DefaultParagraphFont"/>
    <w:rPr>
      <w:rFonts w:cs="Arial"/>
      <w:szCs w:val="20"/>
    </w:r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/>
    <w:rPr/>
  </w:style>
  <w:style w:type="paragraph" w:styleId="Footer">
    <w:name w:val="footer"/>
    <w:basedOn w:val="Normal"/>
    <w:pPr/>
    <w:rPr/>
  </w:style>
  <w:style w:type="paragraph" w:styleId="12">
    <w:name w:val="רגיל + ‏12 נק'"/>
    <w:basedOn w:val="Normal"/>
    <w:qFormat/>
    <w:pPr/>
    <w:rPr>
      <w:rFonts w:ascii="Times New Roman" w:hAnsi="Times New Roman" w:eastAsia="Times New Roman" w:cs="Times New Roman"/>
      <w:b/>
      <w:bCs/>
      <w:u w:val="single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www.nevo.co.il/advertisements/nevo-100.doc" TargetMode="External"/><Relationship Id="rId3" Type="http://schemas.openxmlformats.org/officeDocument/2006/relationships/header" Target="header1.xml"/><Relationship Id="rId4" Type="http://schemas.openxmlformats.org/officeDocument/2006/relationships/footer" Target="footer1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_rels/footer1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Application>LibreOffice/25.2.2.2$MacOSX_AARCH64 LibreOffice_project/7370d4be9e3cf6031a51beef54ff3bda878e3fac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2014-02-02T12:20:00Z</dcterms:created>
  <dc:creator> </dc:creator>
  <dc:description/>
  <cp:keywords/>
  <dc:language>en-IL</dc:language>
  <cp:lastModifiedBy>hofit</cp:lastModifiedBy>
  <dcterms:modified xsi:type="dcterms:W3CDTF">2014-02-02T12:20:00Z</dcterms:modified>
  <cp:revision>2</cp:revision>
  <dc:subject> </dc:subject>
  <dc:title>nevo.co.il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ELLANT">
    <vt:lpwstr>מדינת ישראל</vt:lpwstr>
  </property>
  <property fmtid="{D5CDD505-2E9C-101B-9397-08002B2CF9AE}" pid="3" name="APPELLEE">
    <vt:lpwstr>לריסה דניארוב</vt:lpwstr>
  </property>
  <property fmtid="{D5CDD505-2E9C-101B-9397-08002B2CF9AE}" pid="4" name="CITY">
    <vt:lpwstr>מרכז</vt:lpwstr>
  </property>
  <property fmtid="{D5CDD505-2E9C-101B-9397-08002B2CF9AE}" pid="5" name="DATE">
    <vt:lpwstr>20140128</vt:lpwstr>
  </property>
  <property fmtid="{D5CDD505-2E9C-101B-9397-08002B2CF9AE}" pid="6" name="JUDGE">
    <vt:lpwstr>אברהם טל;אהרון מקובר זהבה בוסתן</vt:lpwstr>
  </property>
  <property fmtid="{D5CDD505-2E9C-101B-9397-08002B2CF9AE}" pid="7" name="LAWYER">
    <vt:lpwstr>כרמל קדור</vt:lpwstr>
  </property>
  <property fmtid="{D5CDD505-2E9C-101B-9397-08002B2CF9AE}" pid="8" name="NEWPARTA">
    <vt:lpwstr>37359</vt:lpwstr>
  </property>
  <property fmtid="{D5CDD505-2E9C-101B-9397-08002B2CF9AE}" pid="9" name="NEWPARTB">
    <vt:lpwstr>08</vt:lpwstr>
  </property>
  <property fmtid="{D5CDD505-2E9C-101B-9397-08002B2CF9AE}" pid="10" name="NEWPARTC">
    <vt:lpwstr>13</vt:lpwstr>
  </property>
  <property fmtid="{D5CDD505-2E9C-101B-9397-08002B2CF9AE}" pid="11" name="NEWPROC">
    <vt:lpwstr>עפג</vt:lpwstr>
  </property>
  <property fmtid="{D5CDD505-2E9C-101B-9397-08002B2CF9AE}" pid="12" name="PSAKDIN">
    <vt:lpwstr>פסק-דין</vt:lpwstr>
  </property>
  <property fmtid="{D5CDD505-2E9C-101B-9397-08002B2CF9AE}" pid="13" name="TYPE">
    <vt:lpwstr>2</vt:lpwstr>
  </property>
  <property fmtid="{D5CDD505-2E9C-101B-9397-08002B2CF9AE}" pid="14" name="TYPE_ABS_DATE">
    <vt:lpwstr>390020140128</vt:lpwstr>
  </property>
  <property fmtid="{D5CDD505-2E9C-101B-9397-08002B2CF9AE}" pid="15" name="TYPE_N_DATE">
    <vt:lpwstr>39020140128</vt:lpwstr>
  </property>
  <property fmtid="{D5CDD505-2E9C-101B-9397-08002B2CF9AE}" pid="16" name="WORDNUMPAGES">
    <vt:lpwstr>2</vt:lpwstr>
  </property>
</Properties>
</file>