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3664"/>
      </w:tblGrid>
      <w:tr>
        <w:trPr>
          <w:trHeight w:val="670" w:hRule="exact"/>
        </w:trPr>
        <w:tc>
          <w:tcPr>
            <w:tcW w:w="8449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;Verdana" w:hAnsi="Tahoma;Verdana" w:cs="Tahoma;Verdana"/>
                <w:color w:val="000080"/>
              </w:rPr>
            </w:pPr>
            <w:r>
              <w:rPr>
                <w:rFonts w:ascii="Tahoma;Verdana" w:hAnsi="Tahoma;Verdana" w:cs="Tahoma;Verdana"/>
                <w:b/>
                <w:b/>
                <w:bCs/>
                <w:color w:val="000080"/>
                <w:rtl w:val="true"/>
              </w:rPr>
              <w:t>בית המשפט המחוזי בירושלים בשבתו כבית</w:t>
            </w:r>
            <w:r>
              <w:rPr>
                <w:rFonts w:cs="Tahoma;Verdana" w:ascii="Tahoma;Verdana" w:hAnsi="Tahoma;Verdana"/>
                <w:b/>
                <w:bCs/>
                <w:color w:val="000080"/>
                <w:rtl w:val="true"/>
              </w:rPr>
              <w:t>-</w:t>
            </w:r>
            <w:r>
              <w:rPr>
                <w:rFonts w:ascii="Tahoma;Verdana" w:hAnsi="Tahoma;Verdana" w:cs="Tahoma;Verdana"/>
                <w:b/>
                <w:b/>
                <w:bCs/>
                <w:color w:val="000080"/>
                <w:rtl w:val="true"/>
              </w:rPr>
              <w:t>משפט לערעורים פליליים</w:t>
            </w:r>
          </w:p>
        </w:tc>
      </w:tr>
      <w:tr>
        <w:trPr>
          <w:trHeight w:val="337" w:hRule="atLeast"/>
        </w:trPr>
        <w:tc>
          <w:tcPr>
            <w:tcW w:w="4785" w:type="dxa"/>
            <w:tcBorders/>
          </w:tcPr>
          <w:p>
            <w:pPr>
              <w:pStyle w:val="Normal"/>
              <w:spacing w:before="120" w:after="12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לפני כב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השופט רפי כרמל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 xml:space="preserve">,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eastAsia="David;Arial" w:cs="David;Arial" w:ascii="David;Arial" w:hAnsi="David;Arial"/>
                <w:b/>
                <w:bCs/>
                <w:sz w:val="26"/>
                <w:szCs w:val="26"/>
                <w:rtl w:val="true"/>
              </w:rPr>
              <w:t xml:space="preserve">      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השופט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אריה רומנוב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eastAsia="David;Arial" w:cs="David;Arial" w:ascii="David;Arial" w:hAnsi="David;Arial"/>
                <w:b/>
                <w:bCs/>
                <w:sz w:val="26"/>
                <w:szCs w:val="26"/>
                <w:rtl w:val="true"/>
              </w:rPr>
              <w:t xml:space="preserve">      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השופטת שירלי רנר</w:t>
            </w:r>
          </w:p>
          <w:p>
            <w:pPr>
              <w:pStyle w:val="Normal"/>
              <w:spacing w:before="120" w:after="12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64" w:type="dxa"/>
            <w:tcBorders/>
          </w:tcPr>
          <w:p>
            <w:pPr>
              <w:pStyle w:val="Header"/>
              <w:spacing w:before="120" w:after="120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עפ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ג</w:t>
            </w:r>
            <w:r>
              <w:rPr>
                <w:rFonts w:cs="Times New Roman;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39067-10-19</w:t>
            </w:r>
          </w:p>
        </w:tc>
      </w:tr>
    </w:tbl>
    <w:p>
      <w:pPr>
        <w:pStyle w:val="Header"/>
        <w:ind w:end="0"/>
        <w:jc w:val="start"/>
        <w:rPr>
          <w:rFonts w:cs="Times New Roman;Times New Roman"/>
        </w:rPr>
      </w:pPr>
      <w:bookmarkStart w:id="0" w:name="LastJudge"/>
      <w:bookmarkEnd w:id="0"/>
      <w:r>
        <w:rPr>
          <w:rFonts w:cs="Times New Roman;Times New Roman"/>
          <w:rtl w:val="true"/>
        </w:rPr>
        <w:t xml:space="preserve"> </w:t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49"/>
        <w:gridCol w:w="5571"/>
      </w:tblGrid>
      <w:tr>
        <w:trPr/>
        <w:tc>
          <w:tcPr>
            <w:tcW w:w="3249" w:type="dxa"/>
            <w:tcBorders/>
          </w:tcPr>
          <w:p>
            <w:pPr>
              <w:pStyle w:val="Normal"/>
              <w:spacing w:lineRule="auto" w:line="48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bookmarkStart w:id="1" w:name="FirstAppellant"/>
            <w:bookmarkEnd w:id="1"/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המערערת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48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מדינת ישראל</w:t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באמצעות פרקליטות מחוז ירושלים</w:t>
            </w:r>
          </w:p>
        </w:tc>
      </w:tr>
      <w:tr>
        <w:trPr/>
        <w:tc>
          <w:tcPr>
            <w:tcW w:w="8820" w:type="dxa"/>
            <w:gridSpan w:val="2"/>
            <w:tcBorders/>
          </w:tcPr>
          <w:p>
            <w:pPr>
              <w:pStyle w:val="Normal"/>
              <w:spacing w:lineRule="auto" w:line="480" w:before="240" w:after="240"/>
              <w:ind w:end="0"/>
              <w:jc w:val="center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</w:tc>
      </w:tr>
      <w:tr>
        <w:trPr/>
        <w:tc>
          <w:tcPr>
            <w:tcW w:w="3249" w:type="dxa"/>
            <w:tcBorders/>
          </w:tcPr>
          <w:p>
            <w:pPr>
              <w:pStyle w:val="Normal"/>
              <w:spacing w:lineRule="auto" w:line="48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bookmarkStart w:id="2" w:name="FirstLawyer"/>
            <w:bookmarkEnd w:id="2"/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המשיב</w:t>
            </w:r>
          </w:p>
        </w:tc>
        <w:tc>
          <w:tcPr>
            <w:tcW w:w="5571" w:type="dxa"/>
            <w:tcBorders/>
          </w:tcPr>
          <w:p>
            <w:pPr>
              <w:pStyle w:val="Normal"/>
              <w:spacing w:lineRule="auto" w:line="48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איתי זקן </w:t>
            </w:r>
          </w:p>
          <w:p>
            <w:pPr>
              <w:pStyle w:val="Normal"/>
              <w:spacing w:lineRule="auto" w:line="480"/>
              <w:ind w:end="0"/>
              <w:jc w:val="start"/>
              <w:rPr>
                <w:rFonts w:ascii="David;Arial" w:hAnsi="David;Arial" w:cs="David;Arial"/>
                <w:b/>
                <w:bCs/>
                <w:sz w:val="26"/>
                <w:szCs w:val="26"/>
              </w:rPr>
            </w:pP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י ב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כ עו</w:t>
            </w:r>
            <w:r>
              <w:rPr>
                <w:rFonts w:cs="David;Arial" w:ascii="David;Arial" w:hAnsi="David;Arial"/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rFonts w:ascii="David;Arial" w:hAnsi="David;Arial"/>
                <w:b/>
                <w:b/>
                <w:bCs/>
                <w:sz w:val="26"/>
                <w:sz w:val="26"/>
                <w:szCs w:val="26"/>
                <w:rtl w:val="true"/>
              </w:rPr>
              <w:t>ד יהודה שושן</w:t>
            </w:r>
          </w:p>
        </w:tc>
      </w:tr>
    </w:tbl>
    <w:p>
      <w:pPr>
        <w:pStyle w:val="Normal"/>
        <w:suppressLineNumbers/>
        <w:ind w:end="0"/>
        <w:jc w:val="start"/>
        <w:rPr>
          <w:spacing w:val="22"/>
        </w:rPr>
      </w:pPr>
      <w:r>
        <w:rPr>
          <w:spacing w:val="22"/>
          <w:rtl w:val="true"/>
        </w:rPr>
      </w:r>
    </w:p>
    <w:p>
      <w:pPr>
        <w:pStyle w:val="Normal"/>
        <w:suppressLineNumbers/>
        <w:ind w:end="0"/>
        <w:jc w:val="start"/>
        <w:rPr>
          <w:spacing w:val="22"/>
        </w:rPr>
      </w:pPr>
      <w:r>
        <w:rPr>
          <w:spacing w:val="22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bookmarkStart w:id="3" w:name="ABSTRACT_START"/>
      <w:bookmarkEnd w:id="3"/>
      <w:r>
        <w:rPr>
          <w:rFonts w:cs="FrankRuehl;Tahoma"/>
          <w:szCs w:val="26"/>
          <w:rtl w:val="true"/>
        </w:rPr>
        <w:t>מיני</w:t>
      </w:r>
      <w:r>
        <w:rPr>
          <w:rFonts w:cs="FrankRuehl;Tahoma"/>
          <w:szCs w:val="26"/>
          <w:rtl w:val="true"/>
        </w:rPr>
        <w:t>-</w:t>
      </w:r>
      <w:r>
        <w:rPr>
          <w:rFonts w:cs="FrankRuehl;Tahoma"/>
          <w:szCs w:val="26"/>
          <w:rtl w:val="true"/>
        </w:rPr>
        <w:t>רציו</w:t>
      </w:r>
      <w:r>
        <w:rPr>
          <w:rFonts w:cs="FrankRuehl;Tahoma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r>
        <w:rPr>
          <w:rFonts w:cs="FrankRuehl;Tahoma"/>
          <w:szCs w:val="26"/>
          <w:rtl w:val="true"/>
        </w:rPr>
        <w:t xml:space="preserve">* </w:t>
      </w:r>
      <w:r>
        <w:rPr>
          <w:rFonts w:cs="FrankRuehl;Tahoma"/>
          <w:szCs w:val="26"/>
          <w:rtl w:val="true"/>
        </w:rPr>
        <w:t>נדחה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ערעור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קולת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עונשו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המשיב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בגין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ייבוא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סם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מסוכן</w:t>
      </w:r>
      <w:r>
        <w:rPr>
          <w:rFonts w:cs="FrankRuehl;Tahoma"/>
          <w:szCs w:val="26"/>
          <w:rtl w:val="true"/>
        </w:rPr>
        <w:t xml:space="preserve">. </w:t>
      </w:r>
      <w:r>
        <w:rPr>
          <w:rFonts w:cs="FrankRuehl;Tahoma"/>
          <w:szCs w:val="26"/>
          <w:rtl w:val="true"/>
        </w:rPr>
        <w:t>בנסיבות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העניין</w:t>
      </w:r>
      <w:r>
        <w:rPr>
          <w:rFonts w:cs="FrankRuehl;Tahoma"/>
          <w:szCs w:val="26"/>
          <w:rtl w:val="true"/>
        </w:rPr>
        <w:t>,</w:t>
      </w:r>
      <w:r>
        <w:rPr>
          <w:rFonts w:cs="FrankRuehl;Tahoma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מקובלת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מסקנת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בית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משפט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קמא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לפיה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</w:t>
      </w:r>
      <w:r>
        <w:rPr>
          <w:rFonts w:cs="FrankRuehl;Tahoma"/>
          <w:szCs w:val="26"/>
          <w:rtl w:val="true"/>
        </w:rPr>
        <w:t>משיב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הכיח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שהוא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ראוי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לאמון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בית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המשפט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והחברה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בכללותה</w:t>
      </w:r>
      <w:r>
        <w:rPr>
          <w:rFonts w:cs="FrankRuehl;Tahoma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Cs w:val="26"/>
        </w:rPr>
      </w:pPr>
      <w:r>
        <w:rPr>
          <w:rFonts w:cs="FrankRuehl;Tahoma"/>
          <w:szCs w:val="26"/>
          <w:rtl w:val="true"/>
        </w:rPr>
        <w:t xml:space="preserve">* </w:t>
      </w:r>
      <w:r>
        <w:rPr>
          <w:rFonts w:cs="FrankRuehl;Tahoma"/>
          <w:szCs w:val="26"/>
          <w:rtl w:val="true"/>
        </w:rPr>
        <w:t>דיון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פלילי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–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ערעור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–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עונש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r>
        <w:rPr>
          <w:rFonts w:cs="FrankRuehl;Tahoma"/>
          <w:szCs w:val="26"/>
          <w:rtl w:val="true"/>
        </w:rPr>
        <w:t xml:space="preserve">* </w:t>
      </w:r>
      <w:r>
        <w:rPr>
          <w:rFonts w:cs="FrankRuehl;Tahoma"/>
          <w:szCs w:val="26"/>
          <w:rtl w:val="true"/>
        </w:rPr>
        <w:t>עונשין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–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ערעור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–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אי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התערבות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במידת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העונש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r>
        <w:rPr>
          <w:rFonts w:cs="FrankRuehl;Tahoma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r>
        <w:rPr>
          <w:rFonts w:cs="FrankRuehl;Tahoma"/>
          <w:szCs w:val="26"/>
          <w:rtl w:val="true"/>
        </w:rPr>
        <w:t>המשיב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הורשע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יסוד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הודאתו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בייבוא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סם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מסוכן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ונדון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</w:t>
      </w:r>
      <w:r>
        <w:rPr>
          <w:rFonts w:cs="FrankRuehl;Tahoma"/>
          <w:szCs w:val="26"/>
          <w:rtl w:val="true"/>
        </w:rPr>
        <w:t>-</w:t>
      </w:r>
      <w:r>
        <w:rPr>
          <w:rFonts w:cs="FrankRuehl;Tahoma"/>
          <w:szCs w:val="26"/>
        </w:rPr>
        <w:t>450</w:t>
      </w:r>
      <w:r>
        <w:rPr>
          <w:rFonts w:cs="FrankRuehl;Tahoma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שעות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של</w:t>
      </w:r>
      <w:r>
        <w:rPr>
          <w:rFonts w:cs="FrankRuehl;Tahoma"/>
          <w:szCs w:val="26"/>
          <w:rtl w:val="true"/>
        </w:rPr>
        <w:t>"</w:t>
      </w:r>
      <w:r>
        <w:rPr>
          <w:rFonts w:cs="FrankRuehl;Tahoma"/>
          <w:szCs w:val="26"/>
          <w:rtl w:val="true"/>
        </w:rPr>
        <w:t>צ</w:t>
      </w:r>
      <w:r>
        <w:rPr>
          <w:rFonts w:cs="FrankRuehl;Tahoma"/>
          <w:szCs w:val="26"/>
          <w:rtl w:val="true"/>
        </w:rPr>
        <w:t xml:space="preserve">, </w:t>
      </w:r>
      <w:r>
        <w:rPr>
          <w:rFonts w:cs="FrankRuehl;Tahoma"/>
          <w:szCs w:val="26"/>
          <w:rtl w:val="true"/>
        </w:rPr>
        <w:t>מאסר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תנאי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וצו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מבחן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לשנה</w:t>
      </w:r>
      <w:r>
        <w:rPr>
          <w:rFonts w:cs="FrankRuehl;Tahoma"/>
          <w:szCs w:val="26"/>
          <w:rtl w:val="true"/>
        </w:rPr>
        <w:t xml:space="preserve">. </w:t>
      </w:r>
      <w:r>
        <w:rPr>
          <w:rFonts w:cs="FrankRuehl;Tahoma"/>
          <w:szCs w:val="26"/>
          <w:rtl w:val="true"/>
        </w:rPr>
        <w:t>הערעור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מופנה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כנגד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קולת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העונש</w:t>
      </w:r>
      <w:r>
        <w:rPr>
          <w:rFonts w:cs="FrankRuehl;Tahoma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r>
        <w:rPr>
          <w:rFonts w:cs="FrankRuehl;Tahoma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;Tahoma"/>
          <w:szCs w:val="26"/>
          <w:rtl w:val="true"/>
        </w:rPr>
        <w:t>בית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המשפט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המחוזי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דחה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את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הערעור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ופסק</w:t>
      </w:r>
      <w:r>
        <w:rPr>
          <w:rFonts w:cs="FrankRuehl;Tahoma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;Tahoma"/>
          <w:szCs w:val="26"/>
        </w:rPr>
      </w:pPr>
      <w:r>
        <w:rPr>
          <w:rFonts w:cs="FrankRuehl;Tahoma"/>
          <w:szCs w:val="26"/>
          <w:rtl w:val="true"/>
        </w:rPr>
        <w:t>לחובת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המערער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נזקפת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חומרת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העבירה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שביצע</w:t>
      </w:r>
      <w:r>
        <w:rPr>
          <w:rFonts w:cs="FrankRuehl;Tahoma"/>
          <w:szCs w:val="26"/>
          <w:rtl w:val="true"/>
        </w:rPr>
        <w:t xml:space="preserve">. </w:t>
      </w:r>
      <w:r>
        <w:rPr>
          <w:rFonts w:cs="FrankRuehl;Tahoma"/>
          <w:szCs w:val="26"/>
          <w:rtl w:val="true"/>
        </w:rPr>
        <w:t>עם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זאת</w:t>
      </w:r>
      <w:r>
        <w:rPr>
          <w:rFonts w:cs="FrankRuehl;Tahoma"/>
          <w:szCs w:val="26"/>
          <w:rtl w:val="true"/>
        </w:rPr>
        <w:t xml:space="preserve">, </w:t>
      </w:r>
      <w:r>
        <w:rPr>
          <w:rFonts w:cs="FrankRuehl;Tahoma"/>
          <w:szCs w:val="26"/>
          <w:rtl w:val="true"/>
        </w:rPr>
        <w:t>הסמים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נועדו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לשימוש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האישי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המשיב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באופן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המצמצם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את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הנזק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הפוטנציאלי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מייבוא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</w:t>
      </w:r>
      <w:r>
        <w:rPr>
          <w:rFonts w:cs="FrankRuehl;Tahoma"/>
          <w:szCs w:val="26"/>
          <w:rtl w:val="true"/>
        </w:rPr>
        <w:t>סמים</w:t>
      </w:r>
      <w:r>
        <w:rPr>
          <w:rFonts w:cs="FrankRuehl;Tahoma"/>
          <w:szCs w:val="26"/>
          <w:rtl w:val="true"/>
        </w:rPr>
        <w:t xml:space="preserve">, </w:t>
      </w:r>
      <w:r>
        <w:rPr>
          <w:rFonts w:cs="FrankRuehl;Tahoma"/>
          <w:szCs w:val="26"/>
          <w:rtl w:val="true"/>
        </w:rPr>
        <w:t>אך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בעל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השפעה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מזיקה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ישירה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המשיב</w:t>
      </w:r>
      <w:r>
        <w:rPr>
          <w:rFonts w:cs="FrankRuehl;Tahoma"/>
          <w:szCs w:val="26"/>
          <w:rtl w:val="true"/>
        </w:rPr>
        <w:t>.</w:t>
      </w:r>
      <w:r>
        <w:rPr>
          <w:rFonts w:cs="FrankRuehl;Tahoma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בית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משפט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קמא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חרג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מטעמי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שיקום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ממתחם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הענישה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הנוהג</w:t>
      </w:r>
      <w:r>
        <w:rPr>
          <w:rFonts w:cs="FrankRuehl;Tahoma"/>
          <w:szCs w:val="26"/>
          <w:rtl w:val="true"/>
        </w:rPr>
        <w:t xml:space="preserve">. </w:t>
      </w:r>
      <w:r>
        <w:rPr>
          <w:rFonts w:cs="FrankRuehl;Tahoma"/>
          <w:szCs w:val="26"/>
          <w:rtl w:val="true"/>
        </w:rPr>
        <w:t>בית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משפט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התרשם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מהמשיב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כמי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שלאורך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ההליך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הוכיח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במעשיו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במשך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תקופה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ארוכה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כי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הוא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ראוי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לאמון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בית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המשפט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והחברה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בכללותה</w:t>
      </w:r>
      <w:r>
        <w:rPr>
          <w:rFonts w:cs="FrankRuehl;Tahoma"/>
          <w:szCs w:val="26"/>
          <w:rtl w:val="true"/>
        </w:rPr>
        <w:t xml:space="preserve">, </w:t>
      </w:r>
      <w:r>
        <w:rPr>
          <w:rFonts w:cs="FrankRuehl;Tahoma"/>
          <w:szCs w:val="26"/>
          <w:rtl w:val="true"/>
        </w:rPr>
        <w:t>ובנסיבות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דנן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מסקנתו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מקובלת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עלינו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ואין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מקום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להתערב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בעונשים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שהטיל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על</w:t>
      </w:r>
      <w:r>
        <w:rPr>
          <w:rFonts w:cs="Times New Roman;Times New Roman"/>
          <w:szCs w:val="26"/>
          <w:rtl w:val="true"/>
        </w:rPr>
        <w:t xml:space="preserve"> </w:t>
      </w:r>
      <w:r>
        <w:rPr>
          <w:rFonts w:cs="FrankRuehl;Tahoma"/>
          <w:szCs w:val="26"/>
          <w:rtl w:val="true"/>
        </w:rPr>
        <w:t>המשיב</w:t>
      </w:r>
      <w:r>
        <w:rPr>
          <w:rFonts w:cs="FrankRuehl;Tahoma"/>
          <w:szCs w:val="26"/>
          <w:rtl w:val="true"/>
        </w:rPr>
        <w:t>.</w:t>
      </w:r>
    </w:p>
    <w:p>
      <w:pPr>
        <w:pStyle w:val="Normal"/>
        <w:suppressLineNumbers/>
        <w:ind w:end="0"/>
        <w:jc w:val="start"/>
        <w:rPr>
          <w:rFonts w:cs="FrankRuehl;Tahoma"/>
          <w:spacing w:val="22"/>
          <w:szCs w:val="26"/>
        </w:rPr>
      </w:pPr>
      <w:r>
        <w:rPr>
          <w:rFonts w:cs="FrankRuehl;Tahoma"/>
          <w:spacing w:val="22"/>
          <w:szCs w:val="26"/>
          <w:rtl w:val="true"/>
        </w:rPr>
      </w:r>
      <w:bookmarkStart w:id="4" w:name="ABSTRACT_END"/>
      <w:bookmarkStart w:id="5" w:name="ABSTRACT_END"/>
      <w:bookmarkEnd w:id="5"/>
    </w:p>
    <w:p>
      <w:pPr>
        <w:pStyle w:val="Normal"/>
        <w:suppressLineNumbers/>
        <w:ind w:end="0"/>
        <w:jc w:val="start"/>
        <w:rPr>
          <w:spacing w:val="22"/>
        </w:rPr>
      </w:pPr>
      <w:r>
        <w:rPr>
          <w:spacing w:val="22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/>
        <w:tc>
          <w:tcPr>
            <w:tcW w:w="8820" w:type="dxa"/>
            <w:tcBorders/>
          </w:tcPr>
          <w:p>
            <w:pPr>
              <w:pStyle w:val="Normal"/>
              <w:bidi w:val="0"/>
              <w:jc w:val="center"/>
              <w:rPr>
                <w:rFonts w:ascii="Arial;Arial" w:hAnsi="Arial;Arial" w:cs="Arial;Arial"/>
                <w:b/>
                <w:bCs/>
                <w:spacing w:val="22"/>
                <w:sz w:val="28"/>
                <w:szCs w:val="28"/>
                <w:u w:val="single"/>
              </w:rPr>
            </w:pPr>
            <w:bookmarkStart w:id="6" w:name="PsakDin"/>
            <w:bookmarkEnd w:id="6"/>
            <w:r>
              <w:rPr>
                <w:rFonts w:ascii="Arial;Arial" w:hAnsi="Arial;Arial" w:cs="Arial;Arial"/>
                <w:b/>
                <w:b/>
                <w:bCs/>
                <w:spacing w:val="22"/>
                <w:sz w:val="28"/>
                <w:sz w:val="28"/>
                <w:szCs w:val="28"/>
                <w:u w:val="single"/>
                <w:rtl w:val="true"/>
              </w:rPr>
              <w:t>פסק דין</w:t>
            </w:r>
          </w:p>
          <w:p>
            <w:pPr>
              <w:pStyle w:val="Normal"/>
              <w:bidi w:val="0"/>
              <w:jc w:val="center"/>
              <w:rPr>
                <w:rFonts w:ascii="Arial;Arial" w:hAnsi="Arial;Arial" w:cs="Arial;Arial"/>
                <w:b/>
                <w:bCs/>
                <w:spacing w:val="22"/>
                <w:sz w:val="28"/>
                <w:szCs w:val="28"/>
                <w:u w:val="single"/>
              </w:rPr>
            </w:pPr>
            <w:r>
              <w:rPr>
                <w:rFonts w:cs="Arial;Arial" w:ascii="Arial;Arial" w:hAnsi="Arial;Arial"/>
                <w:b/>
                <w:bCs/>
                <w:spacing w:val="22"/>
                <w:sz w:val="28"/>
                <w:szCs w:val="28"/>
                <w:u w:val="single"/>
              </w:rPr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480"/>
        <w:ind w:firstLine="720" w:end="0"/>
        <w:jc w:val="both"/>
        <w:rPr/>
      </w:pPr>
      <w:r>
        <w:rPr>
          <w:rFonts w:ascii="Arial;Arial" w:hAnsi="Arial;Arial" w:cs="Arial;Arial"/>
          <w:b/>
          <w:b/>
          <w:bCs/>
          <w:spacing w:val="22"/>
          <w:rtl w:val="true"/>
        </w:rPr>
        <w:t xml:space="preserve">ערעור על גזר דינו של בית משפט השלום בירושלים </w:t>
      </w:r>
      <w:r>
        <w:rPr>
          <w:rFonts w:cs="Arial;Arial" w:ascii="Arial;Arial" w:hAnsi="Arial;Arial"/>
          <w:b/>
          <w:bCs/>
          <w:spacing w:val="22"/>
          <w:rtl w:val="true"/>
        </w:rPr>
        <w:t>(</w:t>
      </w:r>
      <w:r>
        <w:rPr>
          <w:rFonts w:ascii="Arial;Arial" w:hAnsi="Arial;Arial" w:cs="Arial;Arial"/>
          <w:b/>
          <w:b/>
          <w:bCs/>
          <w:spacing w:val="22"/>
          <w:rtl w:val="true"/>
        </w:rPr>
        <w:t>כב</w:t>
      </w:r>
      <w:r>
        <w:rPr>
          <w:rFonts w:cs="Arial;Arial" w:ascii="Arial;Arial" w:hAnsi="Arial;Arial"/>
          <w:b/>
          <w:bCs/>
          <w:spacing w:val="22"/>
          <w:rtl w:val="true"/>
        </w:rPr>
        <w:t xml:space="preserve">' </w:t>
      </w:r>
      <w:r>
        <w:rPr>
          <w:rFonts w:ascii="Arial;Arial" w:hAnsi="Arial;Arial" w:cs="Arial;Arial"/>
          <w:b/>
          <w:b/>
          <w:bCs/>
          <w:spacing w:val="22"/>
          <w:rtl w:val="true"/>
        </w:rPr>
        <w:t>השופט דוד גבאי ריכטר</w:t>
      </w:r>
      <w:r>
        <w:rPr>
          <w:rFonts w:cs="Arial;Arial" w:ascii="Arial;Arial" w:hAnsi="Arial;Arial"/>
          <w:b/>
          <w:bCs/>
          <w:spacing w:val="22"/>
          <w:rtl w:val="true"/>
        </w:rPr>
        <w:t xml:space="preserve">) </w:t>
      </w:r>
      <w:r>
        <w:rPr>
          <w:rFonts w:ascii="Arial;Arial" w:hAnsi="Arial;Arial" w:cs="Arial;Arial"/>
          <w:b/>
          <w:b/>
          <w:bCs/>
          <w:spacing w:val="22"/>
          <w:rtl w:val="true"/>
        </w:rPr>
        <w:t xml:space="preserve">מיום </w:t>
      </w:r>
      <w:r>
        <w:rPr>
          <w:rFonts w:cs="Arial;Arial" w:ascii="Arial;Arial" w:hAnsi="Arial;Arial"/>
          <w:b/>
          <w:bCs/>
          <w:spacing w:val="22"/>
        </w:rPr>
        <w:t>10.9.19</w:t>
      </w:r>
      <w:r>
        <w:rPr>
          <w:rFonts w:cs="Arial;Arial" w:ascii="Arial;Arial" w:hAnsi="Arial;Arial"/>
          <w:b/>
          <w:bCs/>
          <w:spacing w:val="22"/>
          <w:rtl w:val="true"/>
        </w:rPr>
        <w:t xml:space="preserve"> </w:t>
      </w:r>
      <w:r>
        <w:rPr>
          <w:rFonts w:ascii="Arial;Arial" w:hAnsi="Arial;Arial" w:cs="Arial;Arial"/>
          <w:b/>
          <w:b/>
          <w:bCs/>
          <w:spacing w:val="22"/>
          <w:rtl w:val="true"/>
        </w:rPr>
        <w:t>ב</w:t>
      </w:r>
      <w:hyperlink r:id="rId2">
        <w:r>
          <w:rPr>
            <w:rStyle w:val="Hyperlink"/>
            <w:rFonts w:ascii="Arial;Arial" w:hAnsi="Arial;Arial" w:cs="Arial;Arial"/>
            <w:b/>
            <w:b/>
            <w:bCs/>
            <w:color w:val="0000FF"/>
            <w:spacing w:val="22"/>
            <w:u w:val="single"/>
            <w:rtl w:val="true"/>
          </w:rPr>
          <w:t>ת</w:t>
        </w:r>
        <w:r>
          <w:rPr>
            <w:rStyle w:val="Hyperlink"/>
            <w:rFonts w:cs="Arial;Arial" w:ascii="Arial;Arial" w:hAnsi="Arial;Arial"/>
            <w:b/>
            <w:bCs/>
            <w:color w:val="0000FF"/>
            <w:spacing w:val="22"/>
            <w:u w:val="single"/>
            <w:rtl w:val="true"/>
          </w:rPr>
          <w:t>"</w:t>
        </w:r>
        <w:r>
          <w:rPr>
            <w:rStyle w:val="Hyperlink"/>
            <w:rFonts w:ascii="Arial;Arial" w:hAnsi="Arial;Arial" w:cs="Arial;Arial"/>
            <w:b/>
            <w:b/>
            <w:bCs/>
            <w:color w:val="0000FF"/>
            <w:spacing w:val="22"/>
            <w:u w:val="single"/>
            <w:rtl w:val="true"/>
          </w:rPr>
          <w:t xml:space="preserve">פ </w:t>
        </w:r>
        <w:r>
          <w:rPr>
            <w:rStyle w:val="Hyperlink"/>
            <w:rFonts w:cs="Arial;Arial" w:ascii="Arial;Arial" w:hAnsi="Arial;Arial"/>
            <w:b/>
            <w:bCs/>
            <w:color w:val="0000FF"/>
            <w:spacing w:val="22"/>
            <w:u w:val="single"/>
          </w:rPr>
          <w:t>49667-04-18</w:t>
        </w:r>
      </w:hyperlink>
      <w:r>
        <w:rPr>
          <w:rFonts w:cs="Arial;Arial" w:ascii="Arial;Arial" w:hAnsi="Arial;Arial"/>
          <w:b/>
          <w:bCs/>
          <w:color w:val="0000FF"/>
          <w:spacing w:val="22"/>
          <w:u w:val="single"/>
          <w:rtl w:val="true"/>
        </w:rPr>
        <w:t xml:space="preserve"> </w:t>
      </w:r>
      <w:r>
        <w:rPr>
          <w:sz w:val="22"/>
          <w:rtl w:val="true"/>
        </w:rPr>
        <w:t>[</w:t>
      </w:r>
      <w:r>
        <w:rPr>
          <w:sz w:val="22"/>
          <w:sz w:val="22"/>
          <w:rtl w:val="true"/>
        </w:rPr>
        <w:t>פורסם</w:t>
      </w:r>
      <w:r>
        <w:rPr>
          <w:rFonts w:cs="Times New Roman;Times New Roman"/>
          <w:sz w:val="22"/>
          <w:sz w:val="22"/>
          <w:rtl w:val="true"/>
        </w:rPr>
        <w:t xml:space="preserve"> </w:t>
      </w:r>
      <w:r>
        <w:rPr>
          <w:sz w:val="22"/>
          <w:sz w:val="22"/>
          <w:rtl w:val="true"/>
        </w:rPr>
        <w:t>בנבו</w:t>
      </w:r>
      <w:r>
        <w:rPr>
          <w:sz w:val="22"/>
          <w:rtl w:val="true"/>
        </w:rPr>
        <w:t>]</w:t>
      </w:r>
      <w:r>
        <w:rPr>
          <w:rFonts w:cs="Arial;Arial" w:ascii="Arial;Arial" w:hAnsi="Arial;Arial"/>
          <w:b/>
          <w:bCs/>
          <w:spacing w:val="22"/>
          <w:rtl w:val="true"/>
        </w:rPr>
        <w:t>.</w:t>
      </w:r>
    </w:p>
    <w:p>
      <w:pPr>
        <w:pStyle w:val="Normal"/>
        <w:spacing w:lineRule="auto" w:line="480"/>
        <w:ind w:end="0"/>
        <w:jc w:val="both"/>
        <w:rPr>
          <w:rFonts w:ascii="Arial;Arial" w:hAnsi="Arial;Arial" w:cs="Arial;Arial"/>
          <w:b/>
          <w:bCs/>
          <w:spacing w:val="22"/>
        </w:rPr>
      </w:pPr>
      <w:r>
        <w:rPr>
          <w:rFonts w:cs="Arial;Arial" w:ascii="Arial;Arial" w:hAnsi="Arial;Arial"/>
          <w:b/>
          <w:bCs/>
          <w:spacing w:val="22"/>
          <w:rtl w:val="true"/>
        </w:rPr>
      </w:r>
    </w:p>
    <w:p>
      <w:pPr>
        <w:pStyle w:val="Normal"/>
        <w:spacing w:lineRule="auto" w:line="480"/>
        <w:ind w:firstLine="720" w:end="0"/>
        <w:jc w:val="both"/>
        <w:rPr>
          <w:rFonts w:ascii="Miriam" w:hAnsi="Miriam" w:cs="Miriam"/>
          <w:b/>
          <w:bCs/>
          <w:spacing w:val="22"/>
        </w:rPr>
      </w:pPr>
      <w:r>
        <w:rPr>
          <w:rFonts w:ascii="Miriam" w:hAnsi="Miriam" w:cs="Miriam"/>
          <w:b/>
          <w:b/>
          <w:bCs/>
          <w:spacing w:val="22"/>
          <w:rtl w:val="true"/>
        </w:rPr>
        <w:t>כללי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</w:rPr>
        <w:t>1</w:t>
      </w:r>
      <w:r>
        <w:rPr>
          <w:rFonts w:cs="Arial;Arial" w:ascii="Arial;Arial" w:hAnsi="Arial;Arial"/>
          <w:spacing w:val="22"/>
          <w:rtl w:val="true"/>
        </w:rPr>
        <w:t>.</w:t>
        <w:tab/>
      </w:r>
      <w:r>
        <w:rPr>
          <w:rFonts w:ascii="Arial;Arial" w:hAnsi="Arial;Arial" w:cs="Arial;Arial"/>
          <w:spacing w:val="22"/>
          <w:rtl w:val="true"/>
        </w:rPr>
        <w:t xml:space="preserve">המשיב הורשע על יסוד הודאתו בייבוא סם מסוכן ונדון ל – </w:t>
      </w:r>
      <w:r>
        <w:rPr>
          <w:rFonts w:cs="Arial;Arial" w:ascii="Arial;Arial" w:hAnsi="Arial;Arial"/>
          <w:spacing w:val="22"/>
        </w:rPr>
        <w:t>450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שעות של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צ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מאסר על תנאי וצו מבחן לשנה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הערעור מופנה כנגד קולת העונש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Fonts w:cs="Arial;Arial" w:ascii="Arial;Arial" w:hAnsi="Arial;Arial"/>
          <w:spacing w:val="22"/>
        </w:rPr>
        <w:t>2</w:t>
      </w:r>
      <w:r>
        <w:rPr>
          <w:rFonts w:cs="Arial;Arial" w:ascii="Arial;Arial" w:hAnsi="Arial;Arial"/>
          <w:spacing w:val="22"/>
          <w:rtl w:val="true"/>
        </w:rPr>
        <w:t>.</w:t>
        <w:tab/>
      </w:r>
      <w:r>
        <w:rPr>
          <w:rFonts w:ascii="Arial;Arial" w:hAnsi="Arial;Arial" w:cs="Arial;Arial"/>
          <w:spacing w:val="22"/>
          <w:rtl w:val="true"/>
        </w:rPr>
        <w:t>ואלה המעשים</w:t>
      </w:r>
      <w:r>
        <w:rPr>
          <w:rFonts w:cs="Arial;Arial" w:ascii="Arial;Arial" w:hAnsi="Arial;Arial"/>
          <w:spacing w:val="22"/>
          <w:rtl w:val="true"/>
        </w:rPr>
        <w:t xml:space="preserve">: </w:t>
      </w:r>
      <w:r>
        <w:rPr>
          <w:rFonts w:ascii="Arial;Arial" w:hAnsi="Arial;Arial" w:cs="Arial;Arial"/>
          <w:spacing w:val="22"/>
          <w:rtl w:val="true"/>
        </w:rPr>
        <w:t>במהלך החודשים פברואר</w:t>
      </w:r>
      <w:r>
        <w:rPr>
          <w:rFonts w:cs="Arial;Arial" w:ascii="Arial;Arial" w:hAnsi="Arial;Arial"/>
          <w:spacing w:val="22"/>
          <w:rtl w:val="true"/>
        </w:rPr>
        <w:t>-</w:t>
      </w:r>
      <w:r>
        <w:rPr>
          <w:rFonts w:ascii="Arial;Arial" w:hAnsi="Arial;Arial" w:cs="Arial;Arial"/>
          <w:spacing w:val="22"/>
          <w:rtl w:val="true"/>
        </w:rPr>
        <w:t xml:space="preserve">מרץ </w:t>
      </w:r>
      <w:r>
        <w:rPr>
          <w:rFonts w:cs="Arial;Arial" w:ascii="Arial;Arial" w:hAnsi="Arial;Arial"/>
          <w:spacing w:val="22"/>
        </w:rPr>
        <w:t>2018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עת שהה המשיב בהודו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רכש המשיב בהודו סם מסוכן מסוג קטמין בנפח כולל של </w:t>
      </w:r>
      <w:r>
        <w:rPr>
          <w:rFonts w:cs="Arial;Arial" w:ascii="Arial;Arial" w:hAnsi="Arial;Arial"/>
          <w:spacing w:val="22"/>
        </w:rPr>
        <w:t>311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מיליליטר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אותו איחסן בבקבוקונים עליהם נרשם 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cs="Arial;Arial" w:ascii="Arial;Arial" w:hAnsi="Arial;Arial"/>
          <w:spacing w:val="22"/>
        </w:rPr>
        <w:t>coconut oil</w:t>
      </w:r>
      <w:r>
        <w:rPr>
          <w:rFonts w:cs="Arial;Arial" w:ascii="Arial;Arial" w:hAnsi="Arial;Arial"/>
          <w:spacing w:val="22"/>
          <w:rtl w:val="true"/>
        </w:rPr>
        <w:t xml:space="preserve">" </w:t>
      </w:r>
      <w:r>
        <w:rPr>
          <w:rFonts w:ascii="Arial;Arial" w:hAnsi="Arial;Arial" w:cs="Arial;Arial"/>
          <w:spacing w:val="22"/>
          <w:rtl w:val="true"/>
        </w:rPr>
        <w:t>וכדומה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וכן סם מסוג חשיש במשקל </w:t>
      </w:r>
      <w:r>
        <w:rPr>
          <w:rFonts w:cs="Arial;Arial" w:ascii="Arial;Arial" w:hAnsi="Arial;Arial"/>
          <w:spacing w:val="22"/>
        </w:rPr>
        <w:t>6.75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גרם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את הסמים הטמין המשיב בין חפציו האישיים ובגדיו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אותם ארז לחבילה ושלח אותם לישראל לכתובת בית הוריו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ומיען את החבילה לאימו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 xml:space="preserve">ביום </w:t>
      </w:r>
      <w:r>
        <w:rPr>
          <w:rFonts w:cs="Arial;Arial" w:ascii="Arial;Arial" w:hAnsi="Arial;Arial"/>
          <w:spacing w:val="22"/>
        </w:rPr>
        <w:t>8.3.18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 xml:space="preserve">הגיעה החבילה לישראל והמשיב אסף אותה ביום </w:t>
      </w:r>
      <w:r>
        <w:rPr>
          <w:rFonts w:cs="Arial;Arial" w:ascii="Arial;Arial" w:hAnsi="Arial;Arial"/>
          <w:spacing w:val="22"/>
        </w:rPr>
        <w:t>16.4.18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באמצעות ייפוי כוח מאימו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rFonts w:ascii="Miriam" w:hAnsi="Miriam" w:cs="Miriam"/>
          <w:b/>
          <w:b/>
          <w:bCs/>
          <w:spacing w:val="22"/>
          <w:rtl w:val="true"/>
        </w:rPr>
        <w:t>טענות</w:t>
      </w:r>
      <w:r>
        <w:rPr>
          <w:rFonts w:ascii="Miriam" w:hAnsi="Miriam" w:cs="Miriam"/>
          <w:b/>
          <w:b/>
          <w:bCs/>
          <w:spacing w:val="22"/>
          <w:rtl w:val="true"/>
        </w:rPr>
        <w:t xml:space="preserve"> </w:t>
      </w:r>
      <w:r>
        <w:rPr>
          <w:rFonts w:ascii="Miriam" w:hAnsi="Miriam" w:cs="Miriam"/>
          <w:b/>
          <w:b/>
          <w:bCs/>
          <w:spacing w:val="22"/>
          <w:rtl w:val="true"/>
        </w:rPr>
        <w:t>הצדדים</w:t>
      </w:r>
      <w:r>
        <w:rPr>
          <w:rFonts w:cs="Miriam" w:ascii="Miriam" w:hAnsi="Miriam"/>
          <w:b/>
          <w:bCs/>
          <w:spacing w:val="22"/>
          <w:rtl w:val="true"/>
        </w:rPr>
        <w:tab/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</w:rPr>
        <w:t>3</w:t>
      </w:r>
      <w:r>
        <w:rPr>
          <w:rFonts w:cs="Arial;Arial" w:ascii="Arial;Arial" w:hAnsi="Arial;Arial"/>
          <w:spacing w:val="22"/>
          <w:rtl w:val="true"/>
        </w:rPr>
        <w:t>.</w:t>
        <w:tab/>
        <w:t xml:space="preserve"> </w:t>
      </w:r>
      <w:r>
        <w:rPr>
          <w:rFonts w:ascii="Arial;Arial" w:hAnsi="Arial;Arial" w:cs="Arial;Arial"/>
          <w:spacing w:val="22"/>
          <w:rtl w:val="true"/>
        </w:rPr>
        <w:t>המערערת טוענת כי העונש שהוטל על המשיב אינו תואם את חומרת מעשיו ועותרת להחמרתו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לטענתה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מדובר בסם מסוג קטמין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שרבה מסוכנותו לחברה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ולו תופעות לוואי רבות ואף קטלניות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אות</w:t>
      </w:r>
      <w:r>
        <w:rPr>
          <w:rFonts w:ascii="Arial;Arial" w:hAnsi="Arial;Arial" w:cs="Arial;Arial"/>
          <w:spacing w:val="22"/>
          <w:rtl w:val="true"/>
        </w:rPr>
        <w:t>ן</w:t>
      </w:r>
      <w:r>
        <w:rPr>
          <w:rFonts w:ascii="Arial;Arial" w:hAnsi="Arial;Arial" w:cs="Arial;Arial"/>
          <w:spacing w:val="22"/>
          <w:rtl w:val="true"/>
        </w:rPr>
        <w:t xml:space="preserve"> פירטה המערערת בנימוקיה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והוא הוכר גם כסם אונס נפוץ שזיהויו קשה בדיעבד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מדובר בסם חדש בפקודת הסמים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נטען כי אין זה סם קל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אלא סם מסוכן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ממכר ובעל פוטנציאל המתה כבר בשימוש חד פעמי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לפיכך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לטענת המערערת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שגה בית משפט קמא כאשר שלל באופן מוחלט את עובדת היות הקטמין סם אונס</w:t>
      </w:r>
      <w:r>
        <w:rPr>
          <w:rFonts w:cs="Arial;Arial" w:ascii="Arial;Arial" w:hAnsi="Arial;Arial"/>
          <w:spacing w:val="22"/>
          <w:rtl w:val="true"/>
        </w:rPr>
        <w:t>,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ולא לקח בחשבון את חומרתו הרבה של הסם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המערערת סבורה כי מבחינת חומרתו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משתווה סם זה להרואין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בנוסף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במקרה דנן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העבירה בוצעה בתחכום רב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תוך שימוש באמצעי הסוואה של בקבוקונים וחפצים אישיים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לטענת המערערת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בהתאם לפסיקה הנוהגת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עונש של שירות לתועלת הציבור אינו הולם את עבירות הסמים ואינו מבטא את השיקול ההרתעתי הנדרש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המערערת הסכימה להתחשב בשיקום המשמעותי שעבר המשיב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שלקח אחריות על מעשיו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הודה ובחר מיד בדרך של תיקון ושיקום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וביקשה באופן חריג לחרוג לקולה ממתחם הענישה ההולם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כך שיוטלו עליו </w:t>
      </w:r>
      <w:r>
        <w:rPr>
          <w:rFonts w:cs="Arial;Arial" w:ascii="Arial;Arial" w:hAnsi="Arial;Arial"/>
          <w:spacing w:val="22"/>
        </w:rPr>
        <w:t>9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חודשי עבודות שירות בלבד ויתאפשר לו להמשיך בדרך השיקום ומבלי לרצות מאסר מאחורי סורג ובריח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לשיטתה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מדובר בחריגה מידתית שנתמכת בפסיקה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ואילו בית משפט קמא שגה בכך שחרג באופן קיצוני לקולה והשית על המשיב עונש של של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צ בלבד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מדובר ב</w:t>
      </w:r>
      <w:r>
        <w:rPr>
          <w:rFonts w:ascii="Arial;Arial" w:hAnsi="Arial;Arial" w:cs="Arial;Arial"/>
          <w:spacing w:val="22"/>
          <w:rtl w:val="true"/>
        </w:rPr>
        <w:t>עונש הנמוך משמעותית אף מהפסיקה המקלה ביותר בגין שיקולי שיקום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והוא פוגע באופן קשה בהרתעת הציבור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בייחוד נוכח חומרת הסם והקלות בה ניתן לייבאו לישראל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על כן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עותרת המערערת להחמיר בעונשו של המשיב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הוסף כי אף שנכון הדבר שלא נסתרה טענת צריכה עצמית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אך יכול שייעשה שימוש על ידי מי מחבריו של המשיב וזו משמעות ההגנה על הציבור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  <w:tab/>
      </w:r>
      <w:r>
        <w:rPr>
          <w:rFonts w:ascii="Arial;Arial" w:hAnsi="Arial;Arial" w:cs="Arial;Arial"/>
          <w:spacing w:val="22"/>
          <w:rtl w:val="true"/>
        </w:rPr>
        <w:t>ב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כ המשיב הפנה לכך שעם המשיב נעצרו שני הוריו ונטען שהמשיב הביא הסם על מנת להפיצו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האמא נעצרה כי החבילה הייתה מיועדת אליה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 xml:space="preserve">אין מחלוקת כי סם הקטמין נכלל בתוספת השנייה </w:t>
      </w:r>
      <w:r>
        <w:rPr>
          <w:rFonts w:cs="Arial;Arial" w:ascii="Arial;Arial" w:hAnsi="Arial;Arial"/>
          <w:spacing w:val="22"/>
        </w:rPr>
        <w:t>3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ימים לפני המשלוח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עובדתית  ביום המשלוח אכן היה מדובר בסם ועל כן המשיב הודה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מדובר בסם לשימוש עצמי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המשיב שהה במעצר ממש </w:t>
      </w:r>
      <w:r>
        <w:rPr>
          <w:rFonts w:cs="Arial;Arial" w:ascii="Arial;Arial" w:hAnsi="Arial;Arial"/>
          <w:spacing w:val="22"/>
        </w:rPr>
        <w:t>11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יום ולאחר מכן במעצר בית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 xml:space="preserve">המשיב אכן 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נפל</w:t>
      </w:r>
      <w:r>
        <w:rPr>
          <w:rFonts w:cs="Arial;Arial" w:ascii="Arial;Arial" w:hAnsi="Arial;Arial"/>
          <w:spacing w:val="22"/>
          <w:rtl w:val="true"/>
        </w:rPr>
        <w:t xml:space="preserve">" </w:t>
      </w:r>
      <w:r>
        <w:rPr>
          <w:rFonts w:ascii="Arial;Arial" w:hAnsi="Arial;Arial" w:cs="Arial;Arial"/>
          <w:spacing w:val="22"/>
          <w:rtl w:val="true"/>
        </w:rPr>
        <w:t>לסמים אך הוא בא ממשפחה מאוד נורמטיבית הדואגת לו ונרתמה לשיקומו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המשיב עבר תהליך שיקומי ארוך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בכל מקרה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לא משנה באיזה סם מדובר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שכן מדובר בסם לצריכה עצמית ועל כן אין סכנה לציבור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המשיב נמצא בתהליך ממושך ביחידה להתמכרויות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בקשר עם שירות המבחן </w:t>
      </w:r>
      <w:r>
        <w:rPr>
          <w:rFonts w:cs="Arial;Arial" w:ascii="Arial;Arial" w:hAnsi="Arial;Arial"/>
          <w:spacing w:val="22"/>
          <w:rtl w:val="true"/>
        </w:rPr>
        <w:t>(</w:t>
      </w:r>
      <w:r>
        <w:rPr>
          <w:rFonts w:ascii="Arial;Arial" w:hAnsi="Arial;Arial" w:cs="Arial;Arial"/>
          <w:spacing w:val="22"/>
          <w:rtl w:val="true"/>
        </w:rPr>
        <w:t>הוגש מסמך</w:t>
      </w:r>
      <w:r>
        <w:rPr>
          <w:rFonts w:cs="Arial;Arial" w:ascii="Arial;Arial" w:hAnsi="Arial;Arial"/>
          <w:spacing w:val="22"/>
          <w:rtl w:val="true"/>
        </w:rPr>
        <w:t xml:space="preserve">), </w:t>
      </w:r>
      <w:r>
        <w:rPr>
          <w:rFonts w:ascii="Arial;Arial" w:hAnsi="Arial;Arial" w:cs="Arial;Arial"/>
          <w:spacing w:val="22"/>
          <w:rtl w:val="true"/>
        </w:rPr>
        <w:t xml:space="preserve">נרשם ללימודים גבוהים ועובד כמורה באשכולות חשיבה  </w:t>
      </w:r>
      <w:r>
        <w:rPr>
          <w:rFonts w:cs="Arial;Arial" w:ascii="Arial;Arial" w:hAnsi="Arial;Arial"/>
          <w:spacing w:val="22"/>
          <w:rtl w:val="true"/>
        </w:rPr>
        <w:t>(</w:t>
      </w:r>
      <w:r>
        <w:rPr>
          <w:rFonts w:ascii="Arial;Arial" w:hAnsi="Arial;Arial" w:cs="Arial;Arial"/>
          <w:spacing w:val="22"/>
          <w:rtl w:val="true"/>
        </w:rPr>
        <w:t>הוגש מסמך</w:t>
      </w:r>
      <w:r>
        <w:rPr>
          <w:rFonts w:cs="Arial;Arial" w:ascii="Arial;Arial" w:hAnsi="Arial;Arial"/>
          <w:spacing w:val="22"/>
          <w:rtl w:val="true"/>
        </w:rPr>
        <w:t xml:space="preserve">). </w:t>
      </w:r>
      <w:r>
        <w:rPr>
          <w:rFonts w:ascii="Arial;Arial" w:hAnsi="Arial;Arial" w:cs="Arial;Arial"/>
          <w:spacing w:val="22"/>
          <w:rtl w:val="true"/>
        </w:rPr>
        <w:t>המשיב יכול לשמש כשגריר להליך שיקומי נכון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עבודות שירות הנן מאסר לכל דבר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עובדה שתפגע בו בעתיד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כמו כן ייקטע ההליך השיקומי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לו היה נדון עניינו של המשיב כיום בבית משפט קמא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יש להניח שעניינו היה מתברר בבית משפט קהילתי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שם לא היה מתבקש יותר משל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צ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Arial;Arial" w:hAnsi="Arial;Arial" w:cs="Arial;Arial"/>
          <w:spacing w:val="22"/>
        </w:rPr>
      </w:pPr>
      <w:r>
        <w:rPr>
          <w:rFonts w:ascii="Arial;Arial" w:hAnsi="Arial;Arial" w:cs="Arial;Arial"/>
          <w:spacing w:val="22"/>
          <w:rtl w:val="true"/>
        </w:rPr>
        <w:t>על כן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יש לדחות הערעור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  <w:tab/>
      </w:r>
    </w:p>
    <w:p>
      <w:pPr>
        <w:pStyle w:val="Normal"/>
        <w:spacing w:lineRule="auto" w:line="360"/>
        <w:ind w:firstLine="720" w:end="0"/>
        <w:jc w:val="both"/>
        <w:rPr>
          <w:rFonts w:ascii="Arial;Arial" w:hAnsi="Arial;Arial" w:cs="Arial;Arial"/>
          <w:b/>
          <w:bCs/>
          <w:spacing w:val="22"/>
        </w:rPr>
      </w:pPr>
      <w:r>
        <w:rPr>
          <w:rFonts w:ascii="Arial;Arial" w:hAnsi="Arial;Arial" w:cs="Arial;Arial"/>
          <w:b/>
          <w:b/>
          <w:bCs/>
          <w:spacing w:val="22"/>
          <w:rtl w:val="true"/>
        </w:rPr>
        <w:t>תסקיר שירות המבחן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Arial;Arial" w:ascii="Arial;Arial" w:hAnsi="Arial;Arial"/>
          <w:spacing w:val="22"/>
        </w:rPr>
        <w:t>4</w:t>
      </w:r>
      <w:r>
        <w:rPr>
          <w:rFonts w:cs="Arial;Arial" w:ascii="Arial;Arial" w:hAnsi="Arial;Arial"/>
          <w:spacing w:val="22"/>
          <w:rtl w:val="true"/>
        </w:rPr>
        <w:t>.</w:t>
        <w:tab/>
      </w:r>
      <w:r>
        <w:rPr>
          <w:rFonts w:ascii="Arial;Arial" w:hAnsi="Arial;Arial" w:cs="Arial;Arial"/>
          <w:spacing w:val="22"/>
          <w:rtl w:val="true"/>
        </w:rPr>
        <w:t xml:space="preserve">מתסקיר שירות המבחן שנערך בעניינו של המערער עולה כי הינו בן </w:t>
      </w:r>
      <w:r>
        <w:rPr>
          <w:rFonts w:cs="Arial;Arial" w:ascii="Arial;Arial" w:hAnsi="Arial;Arial"/>
          <w:spacing w:val="22"/>
        </w:rPr>
        <w:t>23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שנים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רווק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מתגורר בבית הוריו בבית נקופה ועובד בבית קפה </w:t>
      </w:r>
      <w:r>
        <w:rPr>
          <w:rFonts w:ascii="Arial;Arial" w:hAnsi="Arial;Arial" w:cs="Arial;Arial"/>
          <w:spacing w:val="22"/>
          <w:rtl w:val="true"/>
        </w:rPr>
        <w:t>ש</w:t>
      </w:r>
      <w:r>
        <w:rPr>
          <w:rFonts w:ascii="Arial;Arial" w:hAnsi="Arial;Arial" w:cs="Arial;Arial"/>
          <w:spacing w:val="22"/>
          <w:rtl w:val="true"/>
        </w:rPr>
        <w:t>בבעלות משפחתו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ללא הרשעות קודמות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המשיב לקח אחריות מלאה על מעשיו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הביע חרטה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ביטא הבנה לחומרת מעשיו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 xml:space="preserve">שירות המבחן התרשם כי אין לו קווים עבריינים מגובשים באישיותו וביצוע העבירה </w:t>
      </w:r>
      <w:r>
        <w:rPr>
          <w:rFonts w:ascii="Arial;Arial" w:hAnsi="Arial;Arial" w:cs="Arial;Arial"/>
          <w:spacing w:val="22"/>
          <w:rtl w:val="true"/>
        </w:rPr>
        <w:t>היה</w:t>
      </w:r>
      <w:r>
        <w:rPr>
          <w:rFonts w:ascii="Arial;Arial" w:hAnsi="Arial;Arial" w:cs="Arial;Arial"/>
          <w:spacing w:val="22"/>
          <w:rtl w:val="true"/>
        </w:rPr>
        <w:t xml:space="preserve"> על רקע התמכרותו של המשיב לסמים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הוא שולב בטיפול ייעודי להתמכרויות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נרתם להליך הטיפולי</w:t>
      </w:r>
      <w:r>
        <w:rPr>
          <w:rFonts w:cs="Arial;Arial" w:ascii="Arial;Arial" w:hAnsi="Arial;Arial"/>
          <w:spacing w:val="22"/>
          <w:rtl w:val="true"/>
        </w:rPr>
        <w:t>,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שיתף פעולה באופן מלא והוערך כי הוא עשה שינוי משמעותי מאוד בעקבות הטיפול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שמר על ניקיון מסמים במשך שנה וחודשיים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שינה דפוסי חשיבה והתנהגות ועלה על מסלול תפקודי נורמטיבי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 xml:space="preserve">הומלץ על הטלת </w:t>
      </w:r>
      <w:r>
        <w:rPr>
          <w:rFonts w:cs="Arial;Arial" w:ascii="Arial;Arial" w:hAnsi="Arial;Arial"/>
          <w:spacing w:val="22"/>
        </w:rPr>
        <w:t>450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שעות של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צ וצו מבחן לשנה</w:t>
      </w:r>
      <w:r>
        <w:rPr>
          <w:rFonts w:cs="Arial;Arial" w:ascii="Arial;Arial" w:hAnsi="Arial;Arial"/>
          <w:spacing w:val="22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Miriam" w:hAnsi="Miriam" w:cs="Miriam"/>
          <w:b/>
          <w:bCs/>
          <w:spacing w:val="22"/>
        </w:rPr>
      </w:pPr>
      <w:r>
        <w:rPr>
          <w:rFonts w:ascii="Miriam" w:hAnsi="Miriam" w:cs="Miriam"/>
          <w:b/>
          <w:b/>
          <w:bCs/>
          <w:spacing w:val="22"/>
          <w:rtl w:val="true"/>
        </w:rPr>
        <w:t>דיון</w:t>
      </w:r>
    </w:p>
    <w:p>
      <w:pPr>
        <w:pStyle w:val="Normal"/>
        <w:spacing w:lineRule="auto" w:line="360"/>
        <w:ind w:end="0"/>
        <w:jc w:val="both"/>
        <w:rPr/>
      </w:pPr>
      <w:r>
        <w:rPr>
          <w:rFonts w:cs="Arial;Arial" w:ascii="Arial;Arial" w:hAnsi="Arial;Arial"/>
          <w:spacing w:val="22"/>
        </w:rPr>
        <w:t>5</w:t>
      </w:r>
      <w:r>
        <w:rPr>
          <w:rFonts w:cs="Arial;Arial" w:ascii="Arial;Arial" w:hAnsi="Arial;Arial"/>
          <w:spacing w:val="22"/>
          <w:rtl w:val="true"/>
        </w:rPr>
        <w:t>.</w:t>
        <w:tab/>
      </w:r>
      <w:r>
        <w:rPr>
          <w:rFonts w:ascii="Arial;Arial" w:hAnsi="Arial;Arial" w:cs="Arial;Arial"/>
          <w:spacing w:val="22"/>
          <w:rtl w:val="true"/>
        </w:rPr>
        <w:t>לחובת המערער נזקפת חומרת העבירה שביצע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בית משפט קמא עמד על הערכים המוגנים שנפגעו כתוצאה ממעשיו של המשיב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וקבע כי מידת הפגיעה בהם אינה מבוטלת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בהתחשב בסוג הסמים ובכמותם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כמו כן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במקרה דנן מדובר בעבירה מתוכננת שבוצעה בתחכום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בדרך של הסתרת הסם בבקבוקונים בעלי שם המעיד על תכולה לגיטימית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והסתרתם בתוך חפציו ובגדיו האישיים של המשיב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אשר שלח אותם לאימו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עם זאת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הסמים נועדו לשימוש האישי של המשיב באופן המצמצם את הנזק הפוטנציאלי מייבוא </w:t>
      </w:r>
      <w:r>
        <w:rPr>
          <w:rFonts w:ascii="Arial;Arial" w:hAnsi="Arial;Arial" w:cs="Arial;Arial"/>
          <w:spacing w:val="22"/>
          <w:rtl w:val="true"/>
        </w:rPr>
        <w:t>ה</w:t>
      </w:r>
      <w:r>
        <w:rPr>
          <w:rFonts w:ascii="Arial;Arial" w:hAnsi="Arial;Arial" w:cs="Arial;Arial"/>
          <w:spacing w:val="22"/>
          <w:rtl w:val="true"/>
        </w:rPr>
        <w:t>סמים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אך בעל השפעה מזיקה ישירה על המשיב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בית משפט קמא חרג מטעמי שיקום ממתחם הענישה הנוהג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 xml:space="preserve">אותו קבע כנע בין מאסר קצר לרבות בעבודות שירות ועד ל – </w:t>
      </w:r>
      <w:r>
        <w:rPr>
          <w:rFonts w:cs="Arial;Arial" w:ascii="Arial;Arial" w:hAnsi="Arial;Arial"/>
          <w:spacing w:val="22"/>
        </w:rPr>
        <w:t>7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חודשי מאסר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המשיב הודה במיוחס לו בהזדמנות הראשונה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לקח אחריות על מעשיו והביע חרטה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שירות המבחן התרשם כי הוא נעדר דפוסים עברייניים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נמצא בתחילת מסלול חייו כבגיר ועד כה התנהל בנורמטיביות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המערער נרתם להליך טיפולי ארוך טווח ונראה כי עבר שיקום משמעותי ומוצלח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המעיד על ניקיון מסמים במשך תקופה ארוכה וכן דווח על שינוי חשיבתי ותפיסתי שעבר המשיב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למשיב אין הרשעות קודמות ולא נפתחו לו תיקים נוספים מעת ביצוע העבירה דנן</w:t>
      </w:r>
      <w:r>
        <w:rPr>
          <w:rFonts w:cs="Arial;Arial" w:ascii="Arial;Arial" w:hAnsi="Arial;Arial"/>
          <w:spacing w:val="22"/>
          <w:rtl w:val="true"/>
        </w:rPr>
        <w:t xml:space="preserve">. </w:t>
      </w:r>
      <w:r>
        <w:rPr>
          <w:rFonts w:ascii="Arial;Arial" w:hAnsi="Arial;Arial" w:cs="Arial;Arial"/>
          <w:spacing w:val="22"/>
          <w:rtl w:val="true"/>
        </w:rPr>
        <w:t>בית משפט התרשם מהמשיב כמי שלאורך ההליך הוכיח במעשיו במשך תקופה ארוכה כי הוא ראוי לאמון בית המשפט והחברה בכללותה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ובנסיבות דנן מסקנתו מקובלת עלינו ולא מצאנו מקום להתערב בעונשים שהטיל על המשיב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;Arial" w:hAnsi="Arial;Arial" w:cs="Arial;Arial"/>
          <w:spacing w:val="22"/>
        </w:rPr>
      </w:pPr>
      <w:r>
        <w:rPr>
          <w:rFonts w:ascii="Arial;Arial" w:hAnsi="Arial;Arial" w:cs="Arial;Arial"/>
          <w:spacing w:val="22"/>
          <w:rtl w:val="true"/>
        </w:rPr>
        <w:t>אשר</w:t>
      </w:r>
      <w:r>
        <w:rPr>
          <w:rFonts w:cs="Arial;Arial" w:ascii="Arial;Arial" w:hAnsi="Arial;Arial"/>
          <w:spacing w:val="22"/>
          <w:rtl w:val="true"/>
        </w:rPr>
        <w:t>-</w:t>
      </w:r>
      <w:r>
        <w:rPr>
          <w:rFonts w:ascii="Arial;Arial" w:hAnsi="Arial;Arial" w:cs="Arial;Arial"/>
          <w:spacing w:val="22"/>
          <w:rtl w:val="true"/>
        </w:rPr>
        <w:t>על כן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הערעור נדחה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spacing w:lineRule="auto" w:line="360"/>
        <w:ind w:firstLine="720" w:end="0"/>
        <w:jc w:val="both"/>
        <w:rPr>
          <w:rFonts w:ascii="Arial;Arial" w:hAnsi="Arial;Arial" w:cs="Arial;Arial"/>
          <w:spacing w:val="22"/>
        </w:rPr>
      </w:pPr>
      <w:bookmarkStart w:id="7" w:name="Nitan"/>
      <w:r>
        <w:rPr>
          <w:rFonts w:ascii="Arial;Arial" w:hAnsi="Arial;Arial" w:cs="Arial;Arial"/>
          <w:spacing w:val="22"/>
          <w:rtl w:val="true"/>
        </w:rPr>
        <w:t>ניתנה היום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כד</w:t>
      </w:r>
      <w:r>
        <w:rPr>
          <w:rFonts w:cs="Arial;Arial" w:ascii="Arial;Arial" w:hAnsi="Arial;Arial"/>
          <w:spacing w:val="22"/>
          <w:rtl w:val="true"/>
        </w:rPr>
        <w:t xml:space="preserve">' </w:t>
      </w:r>
      <w:r>
        <w:rPr>
          <w:rFonts w:ascii="Arial;Arial" w:hAnsi="Arial;Arial" w:cs="Arial;Arial"/>
          <w:spacing w:val="22"/>
          <w:rtl w:val="true"/>
        </w:rPr>
        <w:t>בשבט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תש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פ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cs="Arial;Arial" w:ascii="Arial;Arial" w:hAnsi="Arial;Arial"/>
          <w:spacing w:val="22"/>
        </w:rPr>
        <w:t>19</w:t>
      </w:r>
      <w:r>
        <w:rPr>
          <w:rFonts w:cs="Arial;Arial" w:ascii="Arial;Arial" w:hAnsi="Arial;Arial"/>
          <w:spacing w:val="22"/>
          <w:rtl w:val="true"/>
        </w:rPr>
        <w:t xml:space="preserve"> </w:t>
      </w:r>
      <w:r>
        <w:rPr>
          <w:rFonts w:ascii="Arial;Arial" w:hAnsi="Arial;Arial" w:cs="Arial;Arial"/>
          <w:spacing w:val="22"/>
          <w:rtl w:val="true"/>
        </w:rPr>
        <w:t>בפברואר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cs="Arial;Arial" w:ascii="Arial;Arial" w:hAnsi="Arial;Arial"/>
          <w:spacing w:val="22"/>
        </w:rPr>
        <w:t>2020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במעמד ב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 xml:space="preserve">כ </w:t>
      </w:r>
      <w:bookmarkEnd w:id="7"/>
      <w:r>
        <w:rPr>
          <w:rFonts w:ascii="Arial;Arial" w:hAnsi="Arial;Arial" w:cs="Arial;Arial"/>
          <w:spacing w:val="22"/>
          <w:rtl w:val="true"/>
        </w:rPr>
        <w:t>המערערת</w:t>
      </w:r>
      <w:r>
        <w:rPr>
          <w:rFonts w:cs="Arial;Arial" w:ascii="Arial;Arial" w:hAnsi="Arial;Arial"/>
          <w:spacing w:val="22"/>
          <w:rtl w:val="true"/>
        </w:rPr>
        <w:t xml:space="preserve">, </w:t>
      </w:r>
      <w:r>
        <w:rPr>
          <w:rFonts w:ascii="Arial;Arial" w:hAnsi="Arial;Arial" w:cs="Arial;Arial"/>
          <w:spacing w:val="22"/>
          <w:rtl w:val="true"/>
        </w:rPr>
        <w:t>ב</w:t>
      </w:r>
      <w:r>
        <w:rPr>
          <w:rFonts w:cs="Arial;Arial" w:ascii="Arial;Arial" w:hAnsi="Arial;Arial"/>
          <w:spacing w:val="22"/>
          <w:rtl w:val="true"/>
        </w:rPr>
        <w:t>"</w:t>
      </w:r>
      <w:r>
        <w:rPr>
          <w:rFonts w:ascii="Arial;Arial" w:hAnsi="Arial;Arial" w:cs="Arial;Arial"/>
          <w:spacing w:val="22"/>
          <w:rtl w:val="true"/>
        </w:rPr>
        <w:t>כ המשיב והמשיב עצמו</w:t>
      </w:r>
      <w:r>
        <w:rPr>
          <w:rFonts w:cs="Arial;Arial" w:ascii="Arial;Arial" w:hAnsi="Arial;Arial"/>
          <w:spacing w:val="22"/>
          <w:rtl w:val="true"/>
        </w:rPr>
        <w:t xml:space="preserve">. </w:t>
      </w:r>
    </w:p>
    <w:p>
      <w:pPr>
        <w:pStyle w:val="Normal"/>
        <w:spacing w:lineRule="auto" w:line="360"/>
        <w:ind w:firstLine="720" w:end="0"/>
        <w:jc w:val="both"/>
        <w:rPr>
          <w:rFonts w:ascii="Arial;Arial" w:hAnsi="Arial;Arial" w:cs="Arial;Arial"/>
          <w:spacing w:val="22"/>
        </w:rPr>
      </w:pPr>
      <w:r>
        <w:rPr>
          <w:rFonts w:cs="Arial;Arial" w:ascii="Arial;Arial" w:hAnsi="Arial;Arial"/>
          <w:spacing w:val="22"/>
          <w:rtl w:val="true"/>
        </w:rPr>
      </w:r>
    </w:p>
    <w:p>
      <w:pPr>
        <w:pStyle w:val="Normal"/>
        <w:ind w:end="0"/>
        <w:jc w:val="start"/>
        <w:rPr>
          <w:color w:val="FFFFFF"/>
          <w:spacing w:val="22"/>
          <w:sz w:val="2"/>
          <w:szCs w:val="2"/>
        </w:rPr>
      </w:pPr>
      <w:r>
        <w:rPr>
          <w:color w:val="FFFFFF"/>
          <w:spacing w:val="22"/>
          <w:sz w:val="2"/>
          <w:szCs w:val="2"/>
        </w:rPr>
        <w:t>5129371</w:t>
      </w:r>
    </w:p>
    <w:tbl>
      <w:tblPr>
        <w:bidiVisual w:val="true"/>
        <w:tblW w:w="10260" w:type="dxa"/>
        <w:jc w:val="start"/>
        <w:tblInd w:w="-123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3420"/>
        <w:gridCol w:w="3420"/>
      </w:tblGrid>
      <w:tr>
        <w:trPr/>
        <w:tc>
          <w:tcPr>
            <w:tcW w:w="3420" w:type="dxa"/>
            <w:tcBorders/>
          </w:tcPr>
          <w:p>
            <w:pPr>
              <w:pStyle w:val="Normal"/>
              <w:ind w:end="0"/>
              <w:jc w:val="center"/>
              <w:rPr>
                <w:color w:val="FFFFFF"/>
                <w:spacing w:val="22"/>
                <w:sz w:val="2"/>
                <w:szCs w:val="2"/>
              </w:rPr>
            </w:pPr>
            <w:r>
              <w:rPr>
                <w:color w:val="FFFFFF"/>
                <w:spacing w:val="22"/>
                <w:sz w:val="2"/>
                <w:szCs w:val="2"/>
              </w:rPr>
              <w:t>54678313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color w:val="FFFFFF"/>
                <w:spacing w:val="22"/>
                <w:sz w:val="2"/>
                <w:szCs w:val="2"/>
              </w:rPr>
            </w:pPr>
            <w:r>
              <w:rPr>
                <w:color w:val="FFFFFF"/>
                <w:spacing w:val="22"/>
                <w:sz w:val="2"/>
                <w:szCs w:val="2"/>
                <w:rtl w:val="true"/>
              </w:rPr>
            </w:r>
          </w:p>
        </w:tc>
        <w:tc>
          <w:tcPr>
            <w:tcW w:w="3420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spacing w:val="22"/>
              </w:rPr>
            </w:pPr>
            <w:r>
              <w:rPr>
                <w:spacing w:val="22"/>
                <w:rtl w:val="true"/>
              </w:rPr>
            </w:r>
          </w:p>
        </w:tc>
      </w:tr>
      <w:tr>
        <w:trPr/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David;Arial" w:hAnsi="David;Arial" w:cs="David;Arial"/>
                <w:b/>
                <w:bCs/>
                <w:spacing w:val="22"/>
              </w:rPr>
            </w:pP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רפי  כרמל</w:t>
            </w:r>
            <w:r>
              <w:rPr>
                <w:rFonts w:cs="David;Arial" w:ascii="David;Arial" w:hAnsi="David;Arial"/>
                <w:b/>
                <w:bCs/>
                <w:spacing w:val="22"/>
                <w:rtl w:val="true"/>
              </w:rPr>
              <w:t xml:space="preserve">, </w:t>
            </w: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שופט</w:t>
            </w:r>
            <w:r>
              <w:rPr>
                <w:rFonts w:cs="David;Arial" w:ascii="David;Arial" w:hAnsi="David;Arial"/>
                <w:b/>
                <w:bCs/>
                <w:spacing w:val="22"/>
                <w:rtl w:val="true"/>
              </w:rPr>
              <w:t xml:space="preserve">, </w:t>
            </w: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אב</w:t>
            </w:r>
            <w:r>
              <w:rPr>
                <w:rFonts w:cs="David;Arial" w:ascii="David;Arial" w:hAnsi="David;Arial"/>
                <w:b/>
                <w:bCs/>
                <w:spacing w:val="22"/>
                <w:rtl w:val="true"/>
              </w:rPr>
              <w:t>"</w:t>
            </w: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 xml:space="preserve">ד 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David;Arial" w:hAnsi="David;Arial" w:cs="David;Arial"/>
                <w:b/>
                <w:bCs/>
                <w:spacing w:val="22"/>
              </w:rPr>
            </w:pP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אריה רומנוב</w:t>
            </w:r>
            <w:r>
              <w:rPr>
                <w:rFonts w:cs="David;Arial" w:ascii="David;Arial" w:hAnsi="David;Arial"/>
                <w:b/>
                <w:bCs/>
                <w:spacing w:val="22"/>
                <w:rtl w:val="true"/>
              </w:rPr>
              <w:t xml:space="preserve">, </w:t>
            </w: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שופט</w:t>
            </w:r>
          </w:p>
        </w:tc>
        <w:tc>
          <w:tcPr>
            <w:tcW w:w="3420" w:type="dxa"/>
            <w:tcBorders/>
          </w:tcPr>
          <w:p>
            <w:pPr>
              <w:pStyle w:val="Normal"/>
              <w:spacing w:lineRule="auto" w:line="360"/>
              <w:ind w:end="0"/>
              <w:jc w:val="center"/>
              <w:rPr>
                <w:rFonts w:ascii="David;Arial" w:hAnsi="David;Arial" w:cs="David;Arial"/>
                <w:b/>
                <w:bCs/>
                <w:spacing w:val="22"/>
              </w:rPr>
            </w:pP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שירלי רנר</w:t>
            </w:r>
            <w:r>
              <w:rPr>
                <w:rFonts w:cs="David;Arial" w:ascii="David;Arial" w:hAnsi="David;Arial"/>
                <w:b/>
                <w:bCs/>
                <w:spacing w:val="22"/>
                <w:rtl w:val="true"/>
              </w:rPr>
              <w:t xml:space="preserve">, </w:t>
            </w:r>
            <w:r>
              <w:rPr>
                <w:rFonts w:ascii="David;Arial" w:hAnsi="David;Arial"/>
                <w:b/>
                <w:b/>
                <w:bCs/>
                <w:spacing w:val="22"/>
                <w:rtl w:val="true"/>
              </w:rPr>
              <w:t>שופטת</w:t>
            </w:r>
          </w:p>
        </w:tc>
      </w:tr>
    </w:tbl>
    <w:p>
      <w:pPr>
        <w:pStyle w:val="Normal"/>
        <w:spacing w:lineRule="auto" w:line="360"/>
        <w:ind w:end="0"/>
        <w:jc w:val="both"/>
        <w:rPr>
          <w:rFonts w:ascii="Arial;Arial" w:hAnsi="Arial;Arial" w:cs="Arial;Arial"/>
          <w:color w:val="FFFFFF"/>
          <w:spacing w:val="22"/>
          <w:sz w:val="2"/>
          <w:szCs w:val="2"/>
        </w:rPr>
      </w:pPr>
      <w:r>
        <w:rPr>
          <w:rFonts w:cs="Arial;Arial" w:ascii="Arial;Arial" w:hAnsi="Arial;Arial"/>
          <w:color w:val="FFFFFF"/>
          <w:spacing w:val="22"/>
          <w:sz w:val="2"/>
          <w:szCs w:val="2"/>
        </w:rPr>
        <w:t>5129371</w:t>
      </w:r>
    </w:p>
    <w:p>
      <w:pPr>
        <w:pStyle w:val="Normal"/>
        <w:keepNext w:val="true"/>
        <w:ind w:end="0"/>
        <w:jc w:val="start"/>
        <w:rPr>
          <w:rFonts w:ascii="David;Arial" w:hAnsi="David;Arial" w:cs="David;Arial"/>
          <w:color w:val="FFFFFF"/>
          <w:sz w:val="2"/>
          <w:szCs w:val="2"/>
        </w:rPr>
      </w:pPr>
      <w:r>
        <w:rPr>
          <w:rFonts w:cs="David;Arial" w:ascii="David;Arial" w:hAnsi="David;Arial"/>
          <w:color w:val="FFFFFF"/>
          <w:sz w:val="2"/>
          <w:szCs w:val="2"/>
        </w:rPr>
        <w:t>54678313</w:t>
      </w:r>
    </w:p>
    <w:p>
      <w:pPr>
        <w:pStyle w:val="Normal"/>
        <w:ind w:end="0"/>
        <w:jc w:val="start"/>
        <w:rPr>
          <w:rFonts w:ascii="David;Arial" w:hAnsi="David;Arial" w:cs="David;Arial"/>
          <w:color w:val="FFFFFF"/>
          <w:sz w:val="2"/>
          <w:szCs w:val="2"/>
        </w:rPr>
      </w:pPr>
      <w:r>
        <w:rPr>
          <w:rFonts w:cs="David;Arial" w:ascii="David;Arial" w:hAnsi="David;Arial"/>
          <w:color w:val="FFFFFF"/>
          <w:sz w:val="2"/>
          <w:szCs w:val="2"/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hyperlink r:id="rId3">
        <w:r>
          <w:rPr>
            <w:rStyle w:val="Hyperlink"/>
            <w:color w:val="0000FF"/>
            <w:u w:val="single"/>
            <w:rtl w:val="true"/>
          </w:rPr>
          <w:t>בעניין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עריכה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ושינויים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במסמכי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ועוד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באתר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נבו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–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הקש</w:t>
        </w:r>
        <w:r>
          <w:rPr>
            <w:rStyle w:val="Hyperlink"/>
            <w:rFonts w:cs="Times New Roman;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  <w:rtl w:val="true"/>
          </w:rPr>
          <w:t>כאן</w:t>
        </w:r>
      </w:hyperlink>
    </w:p>
    <w:p>
      <w:pPr>
        <w:pStyle w:val="Normal"/>
        <w:keepNext w:val="true"/>
        <w:ind w:end="0"/>
        <w:jc w:val="start"/>
        <w:rPr>
          <w:rFonts w:ascii="David;Arial" w:hAnsi="David;Arial" w:cs="David;Arial"/>
          <w:color w:val="000000"/>
          <w:sz w:val="22"/>
          <w:szCs w:val="22"/>
          <w:u w:val="single"/>
        </w:rPr>
      </w:pPr>
      <w:r>
        <w:rPr>
          <w:rFonts w:cs="David;Arial" w:ascii="David;Arial" w:hAnsi="David;Arial"/>
          <w:color w:val="000000"/>
          <w:sz w:val="22"/>
          <w:szCs w:val="22"/>
          <w:u w:val="single"/>
          <w:rtl w:val="true"/>
        </w:rPr>
      </w:r>
    </w:p>
    <w:p>
      <w:pPr>
        <w:pStyle w:val="Normal"/>
        <w:keepNext w:val="true"/>
        <w:ind w:end="0"/>
        <w:jc w:val="start"/>
        <w:rPr>
          <w:rFonts w:ascii="David;Arial" w:hAnsi="David;Arial" w:cs="David;Arial"/>
          <w:color w:val="000000"/>
          <w:sz w:val="22"/>
          <w:szCs w:val="22"/>
        </w:rPr>
      </w:pPr>
      <w:r>
        <w:rPr>
          <w:rFonts w:ascii="David;Arial" w:hAnsi="David;Arial"/>
          <w:color w:val="000000"/>
          <w:sz w:val="22"/>
          <w:sz w:val="22"/>
          <w:szCs w:val="22"/>
          <w:rtl w:val="true"/>
        </w:rPr>
        <w:t xml:space="preserve">רפי כרמל </w:t>
      </w:r>
      <w:r>
        <w:rPr>
          <w:rFonts w:cs="David;Arial" w:ascii="David;Arial" w:hAnsi="David;Arial"/>
          <w:color w:val="000000"/>
          <w:sz w:val="22"/>
          <w:szCs w:val="22"/>
        </w:rPr>
        <w:t>54678313</w:t>
      </w:r>
      <w:r>
        <w:rPr>
          <w:rFonts w:cs="David;Arial" w:ascii="David;Arial" w:hAnsi="David;Arial"/>
          <w:color w:val="000000"/>
          <w:sz w:val="22"/>
          <w:szCs w:val="22"/>
          <w:rtl w:val="true"/>
        </w:rPr>
        <w:t>-/</w:t>
      </w:r>
    </w:p>
    <w:p>
      <w:pPr>
        <w:pStyle w:val="Normal"/>
        <w:ind w:end="0"/>
        <w:jc w:val="start"/>
        <w:rPr>
          <w:color w:val="000000"/>
          <w:u w:val="single"/>
        </w:rPr>
      </w:pPr>
      <w:r>
        <w:rPr>
          <w:color w:val="000000"/>
          <w:u w:val="single"/>
          <w:rtl w:val="true"/>
        </w:rPr>
        <w:t>נוסח</w:t>
      </w:r>
      <w:r>
        <w:rPr>
          <w:rFonts w:cs="Times New Roman;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מסמך</w:t>
      </w:r>
      <w:r>
        <w:rPr>
          <w:rFonts w:cs="Times New Roman;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זה</w:t>
      </w:r>
      <w:r>
        <w:rPr>
          <w:rFonts w:cs="Times New Roman;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כפוף</w:t>
      </w:r>
      <w:r>
        <w:rPr>
          <w:rFonts w:cs="Times New Roman;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לשינויי</w:t>
      </w:r>
      <w:r>
        <w:rPr>
          <w:rFonts w:cs="Times New Roman;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ניסוח</w:t>
      </w:r>
      <w:r>
        <w:rPr>
          <w:rFonts w:cs="Times New Roman;Times New Roman"/>
          <w:color w:val="000000"/>
          <w:u w:val="single"/>
          <w:rtl w:val="true"/>
        </w:rPr>
        <w:t xml:space="preserve"> </w:t>
      </w:r>
      <w:r>
        <w:rPr>
          <w:color w:val="000000"/>
          <w:u w:val="single"/>
          <w:rtl w:val="true"/>
        </w:rPr>
        <w:t>ועריכה</w:t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720" w:top="1701" w:footer="73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altName w:val="Verdana"/>
    <w:charset w:val="00" w:characterSet="windows-1252"/>
    <w:family w:val="swiss"/>
    <w:pitch w:val="variable"/>
  </w:font>
  <w:font w:name="David">
    <w:altName w:val="Arial"/>
    <w:charset w:val="00" w:characterSet="windows-1252"/>
    <w:family w:val="swiss"/>
    <w:pitch w:val="variable"/>
  </w:font>
  <w:font w:name="Arial">
    <w:charset w:val="00" w:characterSet="windows-1252"/>
    <w:family w:val="swiss"/>
    <w:pitch w:val="variable"/>
  </w:font>
  <w:font w:name="Miriam">
    <w:charset w:val="00" w:characterSet="windows-1252"/>
    <w:family w:val="swiss"/>
    <w:pitch w:val="variable"/>
  </w:font>
  <w:font w:name="FrankRuehl">
    <w:altName w:val="Tahoma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Style w:val="PageNumber"/>
        <w:rFonts w:ascii="FrankRuehl;Tahoma" w:hAnsi="FrankRuehl;Tahoma" w:cs="FrankRuehl;Tahoma"/>
      </w:rPr>
    </w:pPr>
    <w:r>
      <w:rPr>
        <w:rStyle w:val="PageNumber"/>
        <w:rFonts w:cs="FrankRuehl;Tahoma" w:ascii="FrankRuehl;Tahoma" w:hAnsi="FrankRuehl;Tahoma"/>
        <w:rtl w:val="true"/>
      </w:rPr>
      <w:fldChar w:fldCharType="begin"/>
    </w:r>
    <w:r>
      <w:rPr>
        <w:rtl w:val="true"/>
        <w:rStyle w:val="PageNumber"/>
        <w:rFonts w:cs="FrankRuehl;Tahoma" w:ascii="FrankRuehl;Tahoma" w:hAnsi="FrankRuehl;Tahoma"/>
      </w:rPr>
      <w:instrText xml:space="preserve"> PAGE </w:instrText>
    </w:r>
    <w:r>
      <w:rPr>
        <w:rtl w:val="true"/>
        <w:rStyle w:val="PageNumber"/>
        <w:rFonts w:cs="FrankRuehl;Tahoma" w:ascii="FrankRuehl;Tahoma" w:hAnsi="FrankRuehl;Tahoma"/>
      </w:rPr>
      <w:fldChar w:fldCharType="separate"/>
    </w:r>
    <w:r>
      <w:rPr>
        <w:rtl w:val="true"/>
        <w:rStyle w:val="PageNumber"/>
        <w:rFonts w:cs="FrankRuehl;Tahoma" w:ascii="FrankRuehl;Tahoma" w:hAnsi="FrankRuehl;Tahoma"/>
      </w:rPr>
      <w:t>5</w:t>
    </w:r>
    <w:r>
      <w:rPr>
        <w:rtl w:val="true"/>
        <w:rStyle w:val="PageNumber"/>
        <w:rFonts w:cs="FrankRuehl;Tahoma" w:ascii="FrankRuehl;Tahoma" w:hAnsi="FrankRuehl;Tahoma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/>
    </w:pPr>
    <w:r>
      <w:rPr>
        <w:rStyle w:val="PageNumber"/>
        <w:rFonts w:cs="FrankRuehl;Tahoma" w:ascii="FrankRuehl;Tahoma" w:hAnsi="FrankRuehl;Tahoma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;Arial" w:hAnsi="David;Arial" w:cs="David;Arial"/>
        <w:color w:val="000000"/>
        <w:sz w:val="22"/>
        <w:szCs w:val="22"/>
      </w:rPr>
    </w:pPr>
    <w:r>
      <w:rPr>
        <w:rFonts w:ascii="David;Arial" w:hAnsi="David;Arial"/>
        <w:color w:val="000000"/>
        <w:sz w:val="22"/>
        <w:sz w:val="22"/>
        <w:szCs w:val="22"/>
        <w:rtl w:val="true"/>
      </w:rPr>
      <w:t xml:space="preserve">עפג </w:t>
    </w:r>
    <w:r>
      <w:rPr>
        <w:rFonts w:cs="David;Arial" w:ascii="David;Arial" w:hAnsi="David;Arial"/>
        <w:color w:val="000000"/>
        <w:sz w:val="22"/>
        <w:szCs w:val="22"/>
        <w:rtl w:val="true"/>
      </w:rPr>
      <w:t>(</w:t>
    </w:r>
    <w:r>
      <w:rPr>
        <w:rFonts w:ascii="David;Arial" w:hAnsi="David;Arial"/>
        <w:color w:val="000000"/>
        <w:sz w:val="22"/>
        <w:sz w:val="22"/>
        <w:szCs w:val="22"/>
        <w:rtl w:val="true"/>
      </w:rPr>
      <w:t>י</w:t>
    </w:r>
    <w:r>
      <w:rPr>
        <w:rFonts w:cs="David;Arial" w:ascii="David;Arial" w:hAnsi="David;Arial"/>
        <w:color w:val="000000"/>
        <w:sz w:val="22"/>
        <w:szCs w:val="22"/>
        <w:rtl w:val="true"/>
      </w:rPr>
      <w:t>-</w:t>
    </w:r>
    <w:r>
      <w:rPr>
        <w:rFonts w:ascii="David;Arial" w:hAnsi="David;Arial"/>
        <w:color w:val="000000"/>
        <w:sz w:val="22"/>
        <w:sz w:val="22"/>
        <w:szCs w:val="22"/>
        <w:rtl w:val="true"/>
      </w:rPr>
      <w:t>ם</w:t>
    </w:r>
    <w:r>
      <w:rPr>
        <w:rFonts w:cs="David;Arial" w:ascii="David;Arial" w:hAnsi="David;Arial"/>
        <w:color w:val="000000"/>
        <w:sz w:val="22"/>
        <w:szCs w:val="22"/>
        <w:rtl w:val="true"/>
      </w:rPr>
      <w:t xml:space="preserve">) </w:t>
    </w:r>
    <w:r>
      <w:rPr>
        <w:rFonts w:cs="David;Arial" w:ascii="David;Arial" w:hAnsi="David;Arial"/>
        <w:color w:val="000000"/>
        <w:sz w:val="22"/>
        <w:szCs w:val="22"/>
      </w:rPr>
      <w:t>39067-10-19</w:t>
    </w:r>
    <w:r>
      <w:rPr>
        <w:rFonts w:cs="David;Arial" w:ascii="David;Arial" w:hAnsi="David;Arial"/>
        <w:color w:val="000000"/>
        <w:sz w:val="22"/>
        <w:szCs w:val="22"/>
        <w:rtl w:val="true"/>
      </w:rPr>
      <w:tab/>
      <w:t xml:space="preserve"> </w:t>
    </w:r>
    <w:r>
      <w:rPr>
        <w:rFonts w:ascii="David;Arial" w:hAnsi="David;Arial"/>
        <w:color w:val="000000"/>
        <w:sz w:val="22"/>
        <w:sz w:val="22"/>
        <w:szCs w:val="22"/>
        <w:rtl w:val="true"/>
      </w:rPr>
      <w:t>מדינת ישראל נ</w:t>
    </w:r>
    <w:r>
      <w:rPr>
        <w:rFonts w:cs="David;Arial" w:ascii="David;Arial" w:hAnsi="David;Arial"/>
        <w:color w:val="000000"/>
        <w:sz w:val="22"/>
        <w:szCs w:val="22"/>
        <w:rtl w:val="true"/>
      </w:rPr>
      <w:t xml:space="preserve">' </w:t>
    </w:r>
    <w:r>
      <w:rPr>
        <w:rFonts w:ascii="David;Arial" w:hAnsi="David;Arial"/>
        <w:color w:val="000000"/>
        <w:sz w:val="22"/>
        <w:sz w:val="22"/>
        <w:szCs w:val="22"/>
        <w:rtl w:val="true"/>
      </w:rPr>
      <w:t>איתי זקן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;Times New Roman" w:hAnsi="Times New Roman;Times New Roman" w:eastAsia="Times New Roman;Times New Roman" w:cs="David;Arial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CharChar1">
    <w:name w:val=" Char Char1"/>
    <w:qFormat/>
    <w:rPr>
      <w:rFonts w:ascii="Times New Roman;Times New Roman" w:hAnsi="Times New Roman;Times New Roman" w:eastAsia="Times New Roman;Times New Roman" w:cs="David;Arial"/>
      <w:sz w:val="24"/>
      <w:szCs w:val="24"/>
    </w:rPr>
  </w:style>
  <w:style w:type="character" w:styleId="CharChar">
    <w:name w:val=" Char Char"/>
    <w:qFormat/>
    <w:rPr>
      <w:rFonts w:ascii="Times New Roman;Times New Roman" w:hAnsi="Times New Roman;Times New Roman" w:eastAsia="Times New Roman;Times New Roman" w:cs="David;Arial"/>
      <w:sz w:val="24"/>
      <w:szCs w:val="24"/>
    </w:rPr>
  </w:style>
  <w:style w:type="character" w:styleId="PageNumber">
    <w:name w:val="page number"/>
    <w:rPr/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3892687" TargetMode="External"/><Relationship Id="rId3" Type="http://schemas.openxmlformats.org/officeDocument/2006/relationships/hyperlink" Target="http://www.nevo.co.il/advertisements/nevo-100.doc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2020-04-23T09:14:00Z</dcterms:created>
  <dc:creator> </dc:creator>
  <dc:description/>
  <cp:keywords/>
  <dc:language>en-IL</dc:language>
  <cp:lastModifiedBy>orly</cp:lastModifiedBy>
  <dcterms:modified xsi:type="dcterms:W3CDTF">2020-04-23T09:14:00Z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איתי זקן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23892687</vt:lpwstr>
  </property>
  <property fmtid="{D5CDD505-2E9C-101B-9397-08002B2CF9AE}" pid="9" name="CITY">
    <vt:lpwstr>י-ם</vt:lpwstr>
  </property>
  <property fmtid="{D5CDD505-2E9C-101B-9397-08002B2CF9AE}" pid="10" name="DATE">
    <vt:lpwstr>20200219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רפי כרמל;אריה רומנוב;שירלי רנר</vt:lpwstr>
  </property>
  <property fmtid="{D5CDD505-2E9C-101B-9397-08002B2CF9AE}" pid="14" name="LAWYER">
    <vt:lpwstr>יהודה שושן</vt:lpwstr>
  </property>
  <property fmtid="{D5CDD505-2E9C-101B-9397-08002B2CF9AE}" pid="15" name="LINKK1">
    <vt:lpwstr/>
  </property>
  <property fmtid="{D5CDD505-2E9C-101B-9397-08002B2CF9AE}" pid="16" name="LINKK2">
    <vt:lpwstr/>
  </property>
  <property fmtid="{D5CDD505-2E9C-101B-9397-08002B2CF9AE}" pid="17" name="LINKK3">
    <vt:lpwstr/>
  </property>
  <property fmtid="{D5CDD505-2E9C-101B-9397-08002B2CF9AE}" pid="18" name="LINKK4">
    <vt:lpwstr/>
  </property>
  <property fmtid="{D5CDD505-2E9C-101B-9397-08002B2CF9AE}" pid="19" name="LINKK5">
    <vt:lpwstr/>
  </property>
  <property fmtid="{D5CDD505-2E9C-101B-9397-08002B2CF9AE}" pid="20" name="METAKZER">
    <vt:lpwstr>מיכל</vt:lpwstr>
  </property>
  <property fmtid="{D5CDD505-2E9C-101B-9397-08002B2CF9AE}" pid="21" name="NEWPARTA">
    <vt:lpwstr>39067</vt:lpwstr>
  </property>
  <property fmtid="{D5CDD505-2E9C-101B-9397-08002B2CF9AE}" pid="22" name="NEWPARTB">
    <vt:lpwstr>10</vt:lpwstr>
  </property>
  <property fmtid="{D5CDD505-2E9C-101B-9397-08002B2CF9AE}" pid="23" name="NEWPARTC">
    <vt:lpwstr>19</vt:lpwstr>
  </property>
  <property fmtid="{D5CDD505-2E9C-101B-9397-08002B2CF9AE}" pid="24" name="NEWPROC">
    <vt:lpwstr>עפג</vt:lpwstr>
  </property>
  <property fmtid="{D5CDD505-2E9C-101B-9397-08002B2CF9AE}" pid="25" name="NOSE11">
    <vt:lpwstr>דיון פלילי</vt:lpwstr>
  </property>
  <property fmtid="{D5CDD505-2E9C-101B-9397-08002B2CF9AE}" pid="26" name="NOSE110">
    <vt:lpwstr/>
  </property>
  <property fmtid="{D5CDD505-2E9C-101B-9397-08002B2CF9AE}" pid="27" name="NOSE12">
    <vt:lpwstr>עונשין</vt:lpwstr>
  </property>
  <property fmtid="{D5CDD505-2E9C-101B-9397-08002B2CF9AE}" pid="28" name="NOSE13">
    <vt:lpwstr/>
  </property>
  <property fmtid="{D5CDD505-2E9C-101B-9397-08002B2CF9AE}" pid="29" name="NOSE14">
    <vt:lpwstr/>
  </property>
  <property fmtid="{D5CDD505-2E9C-101B-9397-08002B2CF9AE}" pid="30" name="NOSE15">
    <vt:lpwstr/>
  </property>
  <property fmtid="{D5CDD505-2E9C-101B-9397-08002B2CF9AE}" pid="31" name="NOSE16">
    <vt:lpwstr/>
  </property>
  <property fmtid="{D5CDD505-2E9C-101B-9397-08002B2CF9AE}" pid="32" name="NOSE17">
    <vt:lpwstr/>
  </property>
  <property fmtid="{D5CDD505-2E9C-101B-9397-08002B2CF9AE}" pid="33" name="NOSE18">
    <vt:lpwstr/>
  </property>
  <property fmtid="{D5CDD505-2E9C-101B-9397-08002B2CF9AE}" pid="34" name="NOSE19">
    <vt:lpwstr/>
  </property>
  <property fmtid="{D5CDD505-2E9C-101B-9397-08002B2CF9AE}" pid="35" name="NOSE1ID">
    <vt:lpwstr>18;77</vt:lpwstr>
  </property>
  <property fmtid="{D5CDD505-2E9C-101B-9397-08002B2CF9AE}" pid="36" name="NOSE21">
    <vt:lpwstr>ערעור</vt:lpwstr>
  </property>
  <property fmtid="{D5CDD505-2E9C-101B-9397-08002B2CF9AE}" pid="37" name="NOSE210">
    <vt:lpwstr/>
  </property>
  <property fmtid="{D5CDD505-2E9C-101B-9397-08002B2CF9AE}" pid="38" name="NOSE22">
    <vt:lpwstr>ערעור</vt:lpwstr>
  </property>
  <property fmtid="{D5CDD505-2E9C-101B-9397-08002B2CF9AE}" pid="39" name="NOSE23">
    <vt:lpwstr/>
  </property>
  <property fmtid="{D5CDD505-2E9C-101B-9397-08002B2CF9AE}" pid="40" name="NOSE24">
    <vt:lpwstr/>
  </property>
  <property fmtid="{D5CDD505-2E9C-101B-9397-08002B2CF9AE}" pid="41" name="NOSE25">
    <vt:lpwstr/>
  </property>
  <property fmtid="{D5CDD505-2E9C-101B-9397-08002B2CF9AE}" pid="42" name="NOSE26">
    <vt:lpwstr/>
  </property>
  <property fmtid="{D5CDD505-2E9C-101B-9397-08002B2CF9AE}" pid="43" name="NOSE27">
    <vt:lpwstr/>
  </property>
  <property fmtid="{D5CDD505-2E9C-101B-9397-08002B2CF9AE}" pid="44" name="NOSE28">
    <vt:lpwstr/>
  </property>
  <property fmtid="{D5CDD505-2E9C-101B-9397-08002B2CF9AE}" pid="45" name="NOSE29">
    <vt:lpwstr/>
  </property>
  <property fmtid="{D5CDD505-2E9C-101B-9397-08002B2CF9AE}" pid="46" name="NOSE2ID">
    <vt:lpwstr>504;15235</vt:lpwstr>
  </property>
  <property fmtid="{D5CDD505-2E9C-101B-9397-08002B2CF9AE}" pid="47" name="NOSE31">
    <vt:lpwstr>עונש</vt:lpwstr>
  </property>
  <property fmtid="{D5CDD505-2E9C-101B-9397-08002B2CF9AE}" pid="48" name="NOSE310">
    <vt:lpwstr/>
  </property>
  <property fmtid="{D5CDD505-2E9C-101B-9397-08002B2CF9AE}" pid="49" name="NOSE32">
    <vt:lpwstr>אי התערבות במידת העונש</vt:lpwstr>
  </property>
  <property fmtid="{D5CDD505-2E9C-101B-9397-08002B2CF9AE}" pid="50" name="NOSE33">
    <vt:lpwstr/>
  </property>
  <property fmtid="{D5CDD505-2E9C-101B-9397-08002B2CF9AE}" pid="51" name="NOSE34">
    <vt:lpwstr/>
  </property>
  <property fmtid="{D5CDD505-2E9C-101B-9397-08002B2CF9AE}" pid="52" name="NOSE35">
    <vt:lpwstr/>
  </property>
  <property fmtid="{D5CDD505-2E9C-101B-9397-08002B2CF9AE}" pid="53" name="NOSE36">
    <vt:lpwstr/>
  </property>
  <property fmtid="{D5CDD505-2E9C-101B-9397-08002B2CF9AE}" pid="54" name="NOSE37">
    <vt:lpwstr/>
  </property>
  <property fmtid="{D5CDD505-2E9C-101B-9397-08002B2CF9AE}" pid="55" name="NOSE38">
    <vt:lpwstr/>
  </property>
  <property fmtid="{D5CDD505-2E9C-101B-9397-08002B2CF9AE}" pid="56" name="NOSE39">
    <vt:lpwstr/>
  </property>
  <property fmtid="{D5CDD505-2E9C-101B-9397-08002B2CF9AE}" pid="57" name="NOSE3ID">
    <vt:lpwstr>3864;17647</vt:lpwstr>
  </property>
  <property fmtid="{D5CDD505-2E9C-101B-9397-08002B2CF9AE}" pid="58" name="PADIDATE">
    <vt:lpwstr>20200423</vt:lpwstr>
  </property>
  <property fmtid="{D5CDD505-2E9C-101B-9397-08002B2CF9AE}" pid="59" name="PADIMAIL">
    <vt:lpwstr>YES</vt:lpwstr>
  </property>
  <property fmtid="{D5CDD505-2E9C-101B-9397-08002B2CF9AE}" pid="60" name="PAGE">
    <vt:lpwstr/>
  </property>
  <property fmtid="{D5CDD505-2E9C-101B-9397-08002B2CF9AE}" pid="61" name="PART">
    <vt:lpwstr/>
  </property>
  <property fmtid="{D5CDD505-2E9C-101B-9397-08002B2CF9AE}" pid="62" name="PROCESS">
    <vt:lpwstr/>
  </property>
  <property fmtid="{D5CDD505-2E9C-101B-9397-08002B2CF9AE}" pid="63" name="PROCNUM">
    <vt:lpwstr/>
  </property>
  <property fmtid="{D5CDD505-2E9C-101B-9397-08002B2CF9AE}" pid="64" name="PROCYEAR">
    <vt:lpwstr/>
  </property>
  <property fmtid="{D5CDD505-2E9C-101B-9397-08002B2CF9AE}" pid="65" name="PSAKDIN">
    <vt:lpwstr>פסק-דין</vt:lpwstr>
  </property>
  <property fmtid="{D5CDD505-2E9C-101B-9397-08002B2CF9AE}" pid="66" name="TYPE">
    <vt:lpwstr>2</vt:lpwstr>
  </property>
  <property fmtid="{D5CDD505-2E9C-101B-9397-08002B2CF9AE}" pid="67" name="TYPE_ABS_DATE">
    <vt:lpwstr>390120200219</vt:lpwstr>
  </property>
  <property fmtid="{D5CDD505-2E9C-101B-9397-08002B2CF9AE}" pid="68" name="TYPE_N_DATE">
    <vt:lpwstr>39020200219</vt:lpwstr>
  </property>
  <property fmtid="{D5CDD505-2E9C-101B-9397-08002B2CF9AE}" pid="69" name="VOLUME">
    <vt:lpwstr/>
  </property>
  <property fmtid="{D5CDD505-2E9C-101B-9397-08002B2CF9AE}" pid="70" name="WORDNUMPAGES">
    <vt:lpwstr>4</vt:lpwstr>
  </property>
</Properties>
</file>