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96"/>
        <w:gridCol w:w="239"/>
        <w:gridCol w:w="2085"/>
      </w:tblGrid>
      <w:tr>
        <w:trPr>
          <w:trHeight w:val="418" w:hRule="exact"/>
        </w:trPr>
        <w:tc>
          <w:tcPr>
            <w:tcW w:w="8720" w:type="dxa"/>
            <w:gridSpan w:val="3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center"/>
              <w:rPr>
                <w:rFonts w:ascii="Tahoma" w:hAnsi="Tahoma" w:cs="Tahoma"/>
                <w:b/>
                <w:bCs/>
                <w:color w:val="000080"/>
                <w:sz w:val="20"/>
                <w:szCs w:val="20"/>
              </w:rPr>
            </w:pPr>
            <w:bookmarkStart w:id="0" w:name="FirstLawyer"/>
            <w:bookmarkEnd w:id="0"/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בית המשפט המחוזי מרכז</w:t>
            </w:r>
            <w:r>
              <w:rPr>
                <w:rFonts w:cs="Tahoma" w:ascii="Tahoma" w:hAnsi="Tahoma"/>
                <w:b/>
                <w:bCs/>
                <w:color w:val="000080"/>
                <w:sz w:val="20"/>
                <w:szCs w:val="20"/>
                <w:rtl w:val="true"/>
              </w:rPr>
              <w:t>-</w:t>
            </w: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לוד</w:t>
            </w:r>
          </w:p>
        </w:tc>
      </w:tr>
      <w:tr>
        <w:trPr>
          <w:trHeight w:val="337" w:hRule="atLeast"/>
        </w:trPr>
        <w:tc>
          <w:tcPr>
            <w:tcW w:w="6396" w:type="dxa"/>
            <w:tcBorders/>
          </w:tcPr>
          <w:p>
            <w:pPr>
              <w:pStyle w:val="Normal"/>
              <w:ind w:end="0"/>
              <w:jc w:val="start"/>
              <w:rPr/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ג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41900-11-16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מדינת ישראל נ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דרור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239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2085" w:type="dxa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12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פברואר </w:t>
            </w:r>
            <w:r>
              <w:rPr>
                <w:b/>
                <w:bCs/>
                <w:sz w:val="26"/>
                <w:szCs w:val="26"/>
              </w:rPr>
              <w:t>2017</w:t>
            </w:r>
          </w:p>
        </w:tc>
      </w:tr>
    </w:tbl>
    <w:p>
      <w:pPr>
        <w:pStyle w:val="Header"/>
        <w:ind w:end="0"/>
        <w:jc w:val="center"/>
        <w:rPr>
          <w:rFonts w:ascii="Tahoma" w:hAnsi="Tahoma" w:cs="Tahoma"/>
          <w:b/>
          <w:bCs/>
          <w:color w:val="000080"/>
          <w:sz w:val="20"/>
          <w:szCs w:val="20"/>
        </w:rPr>
      </w:pPr>
      <w:r>
        <w:rPr>
          <w:rFonts w:cs="Tahoma" w:ascii="Tahoma" w:hAnsi="Tahoma"/>
          <w:b/>
          <w:bCs/>
          <w:color w:val="000080"/>
          <w:sz w:val="20"/>
          <w:szCs w:val="20"/>
          <w:rtl w:val="true"/>
        </w:rPr>
      </w:r>
    </w:p>
    <w:p>
      <w:pPr>
        <w:pStyle w:val="Normal"/>
        <w:suppressLineNumbers/>
        <w:spacing w:lineRule="auto" w:line="360"/>
        <w:ind w:end="0"/>
        <w:jc w:val="start"/>
        <w:rPr>
          <w:rFonts w:ascii="Arial" w:hAnsi="Arial" w:cs="Arial"/>
          <w:b/>
          <w:bCs/>
          <w:color w:val="000080"/>
          <w:sz w:val="20"/>
          <w:szCs w:val="20"/>
        </w:rPr>
      </w:pPr>
      <w:r>
        <w:rPr>
          <w:rFonts w:cs="Arial" w:ascii="Arial" w:hAnsi="Arial"/>
          <w:b/>
          <w:bCs/>
          <w:color w:val="000080"/>
          <w:sz w:val="20"/>
          <w:szCs w:val="20"/>
          <w:rtl w:val="true"/>
        </w:rPr>
      </w:r>
    </w:p>
    <w:tbl>
      <w:tblPr>
        <w:bidiVisual w:val="true"/>
        <w:tblW w:w="8802" w:type="dxa"/>
        <w:jc w:val="start"/>
        <w:tblInd w:w="-162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4"/>
        <w:gridCol w:w="2796"/>
        <w:gridCol w:w="5922"/>
      </w:tblGrid>
      <w:tr>
        <w:trPr/>
        <w:tc>
          <w:tcPr>
            <w:tcW w:w="84" w:type="dxa"/>
            <w:tcBorders/>
          </w:tcPr>
          <w:p>
            <w:pPr>
              <w:pStyle w:val="TableHeading"/>
              <w:rPr/>
            </w:pPr>
            <w:r>
              <w:rPr>
                <w:rtl w:val="true"/>
              </w:rPr>
            </w:r>
          </w:p>
        </w:tc>
        <w:tc>
          <w:tcPr>
            <w:tcW w:w="8718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both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לפני</w:t>
            </w: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  <w:rtl w:val="true"/>
              </w:rPr>
              <w:t>:</w:t>
            </w:r>
          </w:p>
          <w:p>
            <w:pPr>
              <w:pStyle w:val="Normal"/>
              <w:ind w:end="0"/>
              <w:jc w:val="start"/>
              <w:rPr>
                <w:rStyle w:val="TimesNewRomanTimesNewRoman"/>
                <w:rFonts w:eastAsia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כבוד ה</w:t>
            </w:r>
            <w:r>
              <w:rPr>
                <w:rFonts w:ascii="Times New Roman" w:hAnsi="Times New Roman" w:eastAsia="Times New Roman" w:cs="Times New Roman"/>
                <w:rtl w:val="true"/>
              </w:rPr>
              <w:t>נשיא אברהם טל – אב</w:t>
            </w:r>
            <w:r>
              <w:rPr>
                <w:rFonts w:eastAsia="Times New Roman" w:cs="Times New Roman" w:ascii="Times New Roman" w:hAnsi="Times New Roman"/>
                <w:rtl w:val="true"/>
              </w:rPr>
              <w:t>"</w:t>
            </w:r>
            <w:r>
              <w:rPr>
                <w:rFonts w:ascii="Times New Roman" w:hAnsi="Times New Roman" w:eastAsia="Times New Roman" w:cs="Times New Roman"/>
                <w:rtl w:val="true"/>
              </w:rPr>
              <w:t>ד</w:t>
            </w:r>
            <w:r>
              <w:rPr>
                <w:rFonts w:eastAsia="Times New Roman" w:cs="Times New Roman" w:ascii="Times New Roman" w:hAnsi="Times New Roman"/>
                <w:rtl w:val="true"/>
              </w:rPr>
              <w:br/>
            </w:r>
            <w:r>
              <w:rPr>
                <w:rFonts w:ascii="Times New Roman" w:hAnsi="Times New Roman" w:eastAsia="Times New Roman" w:cs="Times New Roman"/>
                <w:rtl w:val="true"/>
              </w:rPr>
              <w:t>כבוד השופטת זהבה בוסתן</w:t>
            </w:r>
            <w:r>
              <w:rPr>
                <w:rFonts w:eastAsia="Times New Roman" w:cs="Times New Roman" w:ascii="Times New Roman" w:hAnsi="Times New Roman"/>
                <w:rtl w:val="true"/>
              </w:rPr>
              <w:br/>
            </w:r>
            <w:r>
              <w:rPr>
                <w:rFonts w:ascii="Times New Roman" w:hAnsi="Times New Roman" w:eastAsia="Times New Roman" w:cs="Times New Roman"/>
                <w:rtl w:val="true"/>
              </w:rPr>
              <w:t>כבוד השופט ד</w:t>
            </w:r>
            <w:r>
              <w:rPr>
                <w:rFonts w:eastAsia="Times New Roman" w:cs="Times New Roman" w:ascii="Times New Roman" w:hAnsi="Times New Roman"/>
                <w:rtl w:val="true"/>
              </w:rPr>
              <w:t>"</w:t>
            </w:r>
            <w:r>
              <w:rPr>
                <w:rFonts w:ascii="Times New Roman" w:hAnsi="Times New Roman" w:eastAsia="Times New Roman" w:cs="Times New Roman"/>
                <w:rtl w:val="true"/>
              </w:rPr>
              <w:t>ר שמואל בורנשטין</w:t>
            </w:r>
            <w:r>
              <w:rPr>
                <w:rStyle w:val="TimesNewRomanTimesNewRoman"/>
                <w:rFonts w:eastAsia="Times New Roman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Style w:val="TimesNewRomanTimesNewRoman"/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tl w:val="true"/>
              </w:rPr>
            </w:r>
          </w:p>
        </w:tc>
      </w:tr>
      <w:tr>
        <w:trPr>
          <w:trHeight w:val="724" w:hRule="atLeast"/>
          <w:cantSplit w:val="true"/>
        </w:trPr>
        <w:tc>
          <w:tcPr>
            <w:tcW w:w="288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start="26"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bookmarkStart w:id="1" w:name="LastJudge"/>
            <w:bookmarkStart w:id="2" w:name="FirstAppellant"/>
            <w:bookmarkEnd w:id="1"/>
            <w:bookmarkEnd w:id="2"/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המערערת</w:t>
            </w:r>
          </w:p>
        </w:tc>
        <w:tc>
          <w:tcPr>
            <w:tcW w:w="5922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מדינת ישראל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</w:p>
        </w:tc>
      </w:tr>
      <w:tr>
        <w:trPr/>
        <w:tc>
          <w:tcPr>
            <w:tcW w:w="8802" w:type="dxa"/>
            <w:gridSpan w:val="3"/>
            <w:tcBorders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eastAsia="Times New Roman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b/>
                <w:b/>
                <w:bCs/>
                <w:sz w:val="26"/>
                <w:sz w:val="26"/>
                <w:szCs w:val="26"/>
                <w:rtl w:val="true"/>
              </w:rPr>
              <w:t>נגד</w:t>
            </w:r>
          </w:p>
          <w:p>
            <w:pPr>
              <w:pStyle w:val="Normal"/>
              <w:ind w:end="0"/>
              <w:jc w:val="start"/>
              <w:rPr>
                <w:rFonts w:ascii="Arial" w:hAnsi="Arial" w:eastAsia="Times New Roman" w:cs="Arial"/>
                <w:b/>
                <w:bCs/>
                <w:sz w:val="26"/>
                <w:szCs w:val="26"/>
              </w:rPr>
            </w:pPr>
            <w:r>
              <w:rPr>
                <w:rFonts w:eastAsia="Times New Roman" w:cs="Arial" w:ascii="Arial" w:hAnsi="Arial"/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288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start="26"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המשיב</w:t>
            </w:r>
          </w:p>
        </w:tc>
        <w:tc>
          <w:tcPr>
            <w:tcW w:w="5922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rtl w:val="true"/>
              </w:rPr>
              <w:t>ניסים דרור</w:t>
            </w:r>
          </w:p>
          <w:p>
            <w:pPr>
              <w:pStyle w:val="Normal"/>
              <w:ind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  <w:rtl w:val="true"/>
              </w:rPr>
            </w:r>
          </w:p>
        </w:tc>
      </w:tr>
    </w:tbl>
    <w:p>
      <w:pPr>
        <w:pStyle w:val="Normal"/>
        <w:suppressLineNumbers/>
        <w:spacing w:lineRule="auto" w:line="360"/>
        <w:ind w:end="0"/>
        <w:jc w:val="start"/>
        <w:rPr>
          <w:rFonts w:ascii="Arial" w:hAnsi="Arial" w:cs="Arial"/>
          <w:color w:val="FFFFFF"/>
          <w:sz w:val="2"/>
          <w:szCs w:val="2"/>
        </w:rPr>
      </w:pPr>
      <w:r>
        <w:rPr>
          <w:rFonts w:cs="Arial" w:ascii="Arial" w:hAnsi="Arial"/>
          <w:color w:val="FFFFFF"/>
          <w:sz w:val="2"/>
          <w:szCs w:val="2"/>
        </w:rPr>
        <w:t>5129371</w:t>
      </w:r>
    </w:p>
    <w:p>
      <w:pPr>
        <w:pStyle w:val="Normal"/>
        <w:spacing w:lineRule="auto" w:line="360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54678313</w:t>
      </w:r>
    </w:p>
    <w:p>
      <w:pPr>
        <w:pStyle w:val="Normal"/>
        <w:spacing w:lineRule="auto" w:line="360"/>
        <w:ind w:end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true"/>
        </w:rPr>
        <w:t>נוכחים</w:t>
      </w:r>
      <w:r>
        <w:rPr>
          <w:rFonts w:eastAsia="Times New Roman" w:cs="Times New Roman" w:ascii="Times New Roman" w:hAnsi="Times New Roman"/>
          <w:rtl w:val="true"/>
        </w:rPr>
        <w:t xml:space="preserve">: </w:t>
      </w:r>
      <w:r>
        <w:rPr>
          <w:rFonts w:ascii="Times New Roman" w:hAnsi="Times New Roman" w:eastAsia="Times New Roman" w:cs="Times New Roman"/>
          <w:rtl w:val="true"/>
        </w:rPr>
        <w:t>ב</w:t>
      </w:r>
      <w:r>
        <w:rPr>
          <w:rFonts w:eastAsia="Times New Roman" w:cs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 w:cs="Times New Roman"/>
          <w:rtl w:val="true"/>
        </w:rPr>
        <w:t>כ המערערת עו</w:t>
      </w:r>
      <w:r>
        <w:rPr>
          <w:rFonts w:eastAsia="Times New Roman" w:cs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 w:cs="Times New Roman"/>
          <w:rtl w:val="true"/>
        </w:rPr>
        <w:t xml:space="preserve">ד אורלי שרגנהיים  </w:t>
      </w:r>
    </w:p>
    <w:p>
      <w:pPr>
        <w:pStyle w:val="Normal"/>
        <w:spacing w:lineRule="auto" w:line="360"/>
        <w:ind w:end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true"/>
        </w:rPr>
        <w:t>המשיב ובא כוחו עו</w:t>
      </w:r>
      <w:r>
        <w:rPr>
          <w:rFonts w:eastAsia="Times New Roman" w:cs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 w:cs="Times New Roman"/>
          <w:rtl w:val="true"/>
        </w:rPr>
        <w:t xml:space="preserve">ד מירון רוזנטל   </w:t>
      </w:r>
    </w:p>
    <w:p>
      <w:pPr>
        <w:pStyle w:val="Normal"/>
        <w:spacing w:lineRule="auto" w:line="360"/>
        <w:ind w:end="0"/>
        <w:jc w:val="center"/>
        <w:rPr>
          <w:rFonts w:ascii="Times New Roman" w:hAnsi="Times New Roman" w:eastAsia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rtl w:val="true"/>
        </w:rPr>
        <w:t>במסמך זה הושמטו פרוטוקולים</w:t>
      </w:r>
    </w:p>
    <w:p>
      <w:pPr>
        <w:pStyle w:val="Normal"/>
        <w:spacing w:lineRule="auto" w:line="360"/>
        <w:ind w:end="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bookmarkStart w:id="3" w:name="PsakDin"/>
      <w:bookmarkEnd w:id="3"/>
      <w:r>
        <w:rPr>
          <w:rFonts w:ascii="Times New Roman" w:hAnsi="Times New Roman" w:eastAsia="Times New Roman" w:cs="Times New Roman"/>
          <w:b/>
          <w:b/>
          <w:bCs/>
          <w:sz w:val="32"/>
          <w:sz w:val="32"/>
          <w:szCs w:val="32"/>
          <w:u w:val="single"/>
          <w:rtl w:val="true"/>
        </w:rPr>
        <w:t>פסק דין</w:t>
      </w:r>
    </w:p>
    <w:p>
      <w:pPr>
        <w:pStyle w:val="Normal"/>
        <w:spacing w:lineRule="auto" w:line="360"/>
        <w:ind w:end="0"/>
        <w:jc w:val="both"/>
        <w:rPr>
          <w:rFonts w:ascii="Times New Roman" w:hAnsi="Times New Roman" w:eastAsia="Times New Roman" w:cs="Times New Roman"/>
        </w:rPr>
      </w:pPr>
      <w:bookmarkStart w:id="4" w:name="PsakDin"/>
      <w:bookmarkEnd w:id="4"/>
      <w:r>
        <w:rPr>
          <w:rFonts w:eastAsia="Times New Roman" w:cs="Times New Roman" w:ascii="Times New Roman" w:hAnsi="Times New Roman"/>
          <w:rtl w:val="true"/>
        </w:rPr>
        <w:t xml:space="preserve">  </w:t>
      </w:r>
      <w:bookmarkStart w:id="5" w:name="ABSTRACT_START"/>
      <w:bookmarkEnd w:id="5"/>
      <w:r>
        <w:rPr>
          <w:rFonts w:ascii="Times New Roman" w:hAnsi="Times New Roman" w:eastAsia="Times New Roman" w:cs="Times New Roman"/>
          <w:rtl w:val="true"/>
        </w:rPr>
        <w:t>המשיב הורשע על פי הודאתו בת</w:t>
      </w:r>
      <w:r>
        <w:rPr>
          <w:rFonts w:eastAsia="Times New Roman" w:cs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 w:cs="Times New Roman"/>
          <w:rtl w:val="true"/>
        </w:rPr>
        <w:t xml:space="preserve">פ </w:t>
      </w:r>
      <w:r>
        <w:rPr>
          <w:rFonts w:eastAsia="Times New Roman" w:cs="Times New Roman" w:ascii="Times New Roman" w:hAnsi="Times New Roman"/>
        </w:rPr>
        <w:t>6897-04-15</w:t>
      </w:r>
      <w:r>
        <w:rPr>
          <w:rFonts w:eastAsia="Times New Roman"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eastAsia="Times New Roman" w:cs="Times New Roman"/>
          <w:rtl w:val="true"/>
        </w:rPr>
        <w:t>בגידול מעבדה לייצור קנביס בביתו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 xml:space="preserve">כאשר בביתו נמצאו </w:t>
      </w:r>
      <w:r>
        <w:rPr>
          <w:rFonts w:eastAsia="Times New Roman" w:cs="Times New Roman" w:ascii="Times New Roman" w:hAnsi="Times New Roman"/>
        </w:rPr>
        <w:t>12</w:t>
      </w:r>
      <w:r>
        <w:rPr>
          <w:rFonts w:eastAsia="Times New Roman"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eastAsia="Times New Roman" w:cs="Times New Roman"/>
          <w:rtl w:val="true"/>
        </w:rPr>
        <w:t xml:space="preserve">שתילי קנביס במשקל של </w:t>
      </w:r>
      <w:r>
        <w:rPr>
          <w:rFonts w:eastAsia="Times New Roman" w:cs="Times New Roman" w:ascii="Times New Roman" w:hAnsi="Times New Roman"/>
        </w:rPr>
        <w:t>17</w:t>
      </w:r>
      <w:r>
        <w:rPr>
          <w:rFonts w:eastAsia="Times New Roman"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eastAsia="Times New Roman" w:cs="Times New Roman"/>
          <w:rtl w:val="true"/>
        </w:rPr>
        <w:t xml:space="preserve">קילוגרם נטו ובחדר השינה נמצא קנביס במשקל </w:t>
      </w:r>
      <w:r>
        <w:rPr>
          <w:rFonts w:eastAsia="Times New Roman" w:cs="Times New Roman" w:ascii="Times New Roman" w:hAnsi="Times New Roman"/>
        </w:rPr>
        <w:t>21</w:t>
      </w:r>
      <w:r>
        <w:rPr>
          <w:rFonts w:eastAsia="Times New Roman"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eastAsia="Times New Roman" w:cs="Times New Roman"/>
          <w:rtl w:val="true"/>
        </w:rPr>
        <w:t>גרם נטו</w:t>
      </w:r>
      <w:r>
        <w:rPr>
          <w:rFonts w:eastAsia="Times New Roman" w:cs="Times New Roman" w:ascii="Times New Roman" w:hAnsi="Times New Roman"/>
          <w:rtl w:val="true"/>
        </w:rPr>
        <w:t xml:space="preserve">.  </w:t>
      </w:r>
      <w:bookmarkStart w:id="6" w:name="ABSTRACT_END"/>
      <w:bookmarkEnd w:id="6"/>
      <w:r>
        <w:rPr>
          <w:rFonts w:ascii="Times New Roman" w:hAnsi="Times New Roman" w:eastAsia="Times New Roman" w:cs="Times New Roman"/>
          <w:rtl w:val="true"/>
        </w:rPr>
        <w:t>המשיב נידון ל</w:t>
      </w:r>
      <w:r>
        <w:rPr>
          <w:rFonts w:eastAsia="Times New Roman" w:cs="Times New Roman" w:ascii="Times New Roman" w:hAnsi="Times New Roman"/>
          <w:rtl w:val="true"/>
        </w:rPr>
        <w:t>-</w:t>
      </w:r>
      <w:r>
        <w:rPr>
          <w:rFonts w:eastAsia="Times New Roman" w:cs="Times New Roman" w:ascii="Times New Roman" w:hAnsi="Times New Roman"/>
        </w:rPr>
        <w:t>6</w:t>
      </w:r>
      <w:r>
        <w:rPr>
          <w:rFonts w:eastAsia="Times New Roman"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eastAsia="Times New Roman" w:cs="Times New Roman"/>
          <w:rtl w:val="true"/>
        </w:rPr>
        <w:t>חודשי מאסר על תנאי בתנאים המפורטים בגזר הדין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ל</w:t>
      </w:r>
      <w:r>
        <w:rPr>
          <w:rFonts w:eastAsia="Times New Roman" w:cs="Times New Roman" w:ascii="Times New Roman" w:hAnsi="Times New Roman"/>
          <w:rtl w:val="true"/>
        </w:rPr>
        <w:t>-</w:t>
      </w:r>
      <w:r>
        <w:rPr>
          <w:rFonts w:eastAsia="Times New Roman" w:cs="Times New Roman" w:ascii="Times New Roman" w:hAnsi="Times New Roman"/>
        </w:rPr>
        <w:t>300</w:t>
      </w:r>
      <w:r>
        <w:rPr>
          <w:rFonts w:eastAsia="Times New Roman"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eastAsia="Times New Roman" w:cs="Times New Roman"/>
          <w:rtl w:val="true"/>
        </w:rPr>
        <w:t>שעות של</w:t>
      </w:r>
      <w:r>
        <w:rPr>
          <w:rFonts w:eastAsia="Times New Roman" w:cs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 w:cs="Times New Roman"/>
          <w:rtl w:val="true"/>
        </w:rPr>
        <w:t xml:space="preserve">צ ולקנס בסך </w:t>
      </w:r>
      <w:r>
        <w:rPr>
          <w:rFonts w:eastAsia="Times New Roman" w:cs="Times New Roman" w:ascii="Times New Roman" w:hAnsi="Times New Roman"/>
        </w:rPr>
        <w:t>1,000</w:t>
      </w:r>
      <w:r>
        <w:rPr>
          <w:rFonts w:eastAsia="Times New Roman" w:cs="Times New Roman" w:ascii="Times New Roman" w:hAnsi="Times New Roman"/>
          <w:rtl w:val="true"/>
        </w:rPr>
        <w:t xml:space="preserve"> ₪. </w:t>
      </w:r>
      <w:r>
        <w:rPr>
          <w:rFonts w:ascii="Times New Roman" w:hAnsi="Times New Roman" w:eastAsia="Times New Roman" w:cs="Times New Roman"/>
          <w:rtl w:val="true"/>
        </w:rPr>
        <w:t>הערעור מכוון כלפי קולת העונש והמערערת טוענת בהודעת הערעור כי שגה בית משפט קמא בכך שלא נתן משקל ראוי לחומרת העבירות נושא הרשעתו של המשיב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בכך שנמנע מלקבוע מתחם ענישה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התעלם מכמות הקנביס הגדולה שנתפסה שגידל המשיב במעבדה מצוידת היטב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וכאשר קבע שמשקל השתילים הוא פי כמה וכמה ממשקל החומר הפעיל שדרוש לשימוש בקנביס</w:t>
      </w:r>
      <w:r>
        <w:rPr>
          <w:rFonts w:eastAsia="Times New Roman" w:cs="Times New Roman" w:ascii="Times New Roman" w:hAnsi="Times New Roman"/>
          <w:rtl w:val="true"/>
        </w:rPr>
        <w:t xml:space="preserve">.  </w:t>
      </w:r>
      <w:r>
        <w:rPr>
          <w:rFonts w:ascii="Times New Roman" w:hAnsi="Times New Roman" w:eastAsia="Times New Roman" w:cs="Times New Roman"/>
          <w:rtl w:val="true"/>
        </w:rPr>
        <w:t>עוד טענה ב</w:t>
      </w:r>
      <w:r>
        <w:rPr>
          <w:rFonts w:eastAsia="Times New Roman" w:cs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 w:cs="Times New Roman"/>
          <w:rtl w:val="true"/>
        </w:rPr>
        <w:t>כ המערערת ששגה בית משפט כאשר הקל בעונשו של המשיב לאחר שקבע שהסיבה היא מחלת האפילפסיה ממנה הוא סובל והתעלם מהרשעותיו הקודמות של המשיב</w:t>
      </w:r>
      <w:r>
        <w:rPr>
          <w:rFonts w:eastAsia="Times New Roman" w:cs="Times New Roman" w:ascii="Times New Roman" w:hAnsi="Times New Roman"/>
          <w:rtl w:val="true"/>
        </w:rPr>
        <w:t xml:space="preserve">.   </w:t>
      </w:r>
      <w:r>
        <w:rPr>
          <w:rFonts w:ascii="Times New Roman" w:hAnsi="Times New Roman" w:eastAsia="Times New Roman" w:cs="Times New Roman"/>
          <w:rtl w:val="true"/>
        </w:rPr>
        <w:t>לאחר הדיון הקודם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ובהסכמת ב</w:t>
      </w:r>
      <w:r>
        <w:rPr>
          <w:rFonts w:eastAsia="Times New Roman" w:cs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 w:cs="Times New Roman"/>
          <w:rtl w:val="true"/>
        </w:rPr>
        <w:t>כ הצדדים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הפנה בית המשפט את המשיב לממונה על עבודות שירות על מנת שיחווה דעתו בדבר אפשרות ריצוי מאסר בעבודות שירות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מקום ומועד תחילת ביצוען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בהתחשב במחלת האפילפסיה ממנה סובל המשיב על פי מסמכים רפואיים שהוצגו בפנינו</w:t>
      </w:r>
      <w:r>
        <w:rPr>
          <w:rFonts w:eastAsia="Times New Roman" w:cs="Times New Roman" w:ascii="Times New Roman" w:hAnsi="Times New Roman"/>
          <w:rtl w:val="true"/>
        </w:rPr>
        <w:t xml:space="preserve">.   </w:t>
      </w:r>
      <w:r>
        <w:rPr>
          <w:rFonts w:ascii="Times New Roman" w:hAnsi="Times New Roman" w:eastAsia="Times New Roman" w:cs="Times New Roman"/>
          <w:rtl w:val="true"/>
        </w:rPr>
        <w:t>ב</w:t>
      </w:r>
      <w:r>
        <w:rPr>
          <w:rFonts w:eastAsia="Times New Roman" w:cs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 w:cs="Times New Roman"/>
          <w:rtl w:val="true"/>
        </w:rPr>
        <w:t>כ הצדדים לא חלקו כי העונש הראוי למשיב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בהתחשב בכל הנסיבות המקלות שהוצגו בפני בית משפט קמא ובפנינו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לרבות מחלת האפילפסיה ממנה סובל המשיב והאישור שקיבל להשתמש בקנביס מסיבות רפואיות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הוא עונש מאסר לריצוי בעבודות שירות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כאשר הצדדים חלוקים באשר למשך תקופת המאסר לריצוי בעבודות שירות</w:t>
      </w:r>
      <w:r>
        <w:rPr>
          <w:rFonts w:eastAsia="Times New Roman" w:cs="Times New Roman" w:ascii="Times New Roman" w:hAnsi="Times New Roman"/>
          <w:rtl w:val="true"/>
        </w:rPr>
        <w:t xml:space="preserve">.   </w:t>
      </w:r>
      <w:r>
        <w:rPr>
          <w:rFonts w:ascii="Times New Roman" w:hAnsi="Times New Roman" w:eastAsia="Times New Roman" w:cs="Times New Roman"/>
          <w:rtl w:val="true"/>
        </w:rPr>
        <w:t>לאחר שעיינו בגזר הדין של בית משפט קמא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בנימוקי הערעור ובטיעוני ב</w:t>
      </w:r>
      <w:r>
        <w:rPr>
          <w:rFonts w:eastAsia="Times New Roman" w:cs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 w:cs="Times New Roman"/>
          <w:rtl w:val="true"/>
        </w:rPr>
        <w:t>כ המשיב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ולאחר שהתקבלה חוות דעת של הממונה על עבודות שירות לפיה המשיב מתאים לרצות מאסר בעבודות שירות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אנו מקבלים את הערעור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ובהתחשב בכלל שערכאת ערעור לא ממצה את הדין עם נאשם שהחליטה להחמיר בעונשו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אנו קובעים כי חלף עבודות השל</w:t>
      </w:r>
      <w:r>
        <w:rPr>
          <w:rFonts w:eastAsia="Times New Roman" w:cs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 w:cs="Times New Roman"/>
          <w:rtl w:val="true"/>
        </w:rPr>
        <w:t>צ שהוטלו על המשיב על ידי בית משפט קמא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ירצה המשיב חודש מאסר בעבודות שירות על פי חוות דעת הממונה על עבודות שירות</w:t>
      </w:r>
      <w:r>
        <w:rPr>
          <w:rFonts w:eastAsia="Times New Roman" w:cs="Times New Roman" w:ascii="Times New Roman" w:hAnsi="Times New Roman"/>
          <w:rtl w:val="true"/>
        </w:rPr>
        <w:t xml:space="preserve">.  </w:t>
      </w:r>
      <w:r>
        <w:rPr>
          <w:rFonts w:ascii="Times New Roman" w:hAnsi="Times New Roman" w:eastAsia="Times New Roman" w:cs="Times New Roman"/>
          <w:rtl w:val="true"/>
        </w:rPr>
        <w:t xml:space="preserve">המשיב יתייצב לקליטה והצבה במוסד </w:t>
      </w:r>
      <w:r>
        <w:rPr>
          <w:rFonts w:eastAsia="Times New Roman" w:cs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 w:cs="Times New Roman"/>
          <w:rtl w:val="true"/>
        </w:rPr>
        <w:t>דורות</w:t>
      </w:r>
      <w:r>
        <w:rPr>
          <w:rFonts w:eastAsia="Times New Roman" w:cs="Times New Roman" w:ascii="Times New Roman" w:hAnsi="Times New Roman"/>
          <w:rtl w:val="true"/>
        </w:rPr>
        <w:t xml:space="preserve">" </w:t>
      </w:r>
      <w:r>
        <w:rPr>
          <w:rFonts w:ascii="Times New Roman" w:hAnsi="Times New Roman" w:eastAsia="Times New Roman" w:cs="Times New Roman"/>
          <w:rtl w:val="true"/>
        </w:rPr>
        <w:t>בשכונת דורה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רח</w:t>
      </w:r>
      <w:r>
        <w:rPr>
          <w:rFonts w:eastAsia="Times New Roman" w:cs="Times New Roman" w:ascii="Times New Roman" w:hAnsi="Times New Roman"/>
          <w:rtl w:val="true"/>
        </w:rPr>
        <w:t xml:space="preserve">' </w:t>
      </w:r>
      <w:r>
        <w:rPr>
          <w:rFonts w:ascii="Times New Roman" w:hAnsi="Times New Roman" w:eastAsia="Times New Roman" w:cs="Times New Roman"/>
          <w:rtl w:val="true"/>
        </w:rPr>
        <w:t xml:space="preserve">הנביאים </w:t>
      </w:r>
      <w:r>
        <w:rPr>
          <w:rFonts w:eastAsia="Times New Roman" w:cs="Times New Roman" w:ascii="Times New Roman" w:hAnsi="Times New Roman"/>
        </w:rPr>
        <w:t>22</w:t>
      </w:r>
      <w:r>
        <w:rPr>
          <w:rFonts w:eastAsia="Times New Roman"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eastAsia="Times New Roman" w:cs="Times New Roman"/>
          <w:rtl w:val="true"/>
        </w:rPr>
        <w:t>בנתניה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ללא צורך בהחלטה שיפוטית נוספת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 xml:space="preserve">ביום </w:t>
      </w:r>
      <w:r>
        <w:rPr>
          <w:rFonts w:eastAsia="Times New Roman" w:cs="Times New Roman" w:ascii="Times New Roman" w:hAnsi="Times New Roman"/>
        </w:rPr>
        <w:t>19.3.17</w:t>
      </w:r>
      <w:r>
        <w:rPr>
          <w:rFonts w:eastAsia="Times New Roman"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eastAsia="Times New Roman" w:cs="Times New Roman"/>
          <w:rtl w:val="true"/>
        </w:rPr>
        <w:t xml:space="preserve">בשעה </w:t>
      </w:r>
      <w:r>
        <w:rPr>
          <w:rFonts w:eastAsia="Times New Roman" w:cs="Times New Roman" w:ascii="Times New Roman" w:hAnsi="Times New Roman"/>
        </w:rPr>
        <w:t>08:00</w:t>
      </w:r>
      <w:r>
        <w:rPr>
          <w:rFonts w:eastAsia="Times New Roman" w:cs="Times New Roman" w:ascii="Times New Roman" w:hAnsi="Times New Roman"/>
          <w:rtl w:val="true"/>
        </w:rPr>
        <w:t xml:space="preserve">   </w:t>
      </w:r>
      <w:r>
        <w:rPr>
          <w:rFonts w:ascii="Times New Roman" w:hAnsi="Times New Roman" w:eastAsia="Times New Roman" w:cs="Times New Roman"/>
          <w:rtl w:val="true"/>
        </w:rPr>
        <w:t>המשיב הוזהר כי אם לא יתייצב בפני הממונה על עבודות שירות בנציבות שב</w:t>
      </w:r>
      <w:r>
        <w:rPr>
          <w:rFonts w:eastAsia="Times New Roman" w:cs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 w:cs="Times New Roman"/>
          <w:rtl w:val="true"/>
        </w:rPr>
        <w:t>ס ברמלה במועד הנ</w:t>
      </w:r>
      <w:r>
        <w:rPr>
          <w:rFonts w:eastAsia="Times New Roman" w:cs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 w:cs="Times New Roman"/>
          <w:rtl w:val="true"/>
        </w:rPr>
        <w:t>ל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ייעצר ויועבר למשמורת שב</w:t>
      </w:r>
      <w:r>
        <w:rPr>
          <w:rFonts w:eastAsia="Times New Roman" w:cs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 w:cs="Times New Roman"/>
          <w:rtl w:val="true"/>
        </w:rPr>
        <w:t>ס לריצוי המאסר מאחורי סורג ובריח</w:t>
      </w:r>
      <w:r>
        <w:rPr>
          <w:rFonts w:eastAsia="Times New Roman" w:cs="Times New Roman" w:ascii="Times New Roman" w:hAnsi="Times New Roman"/>
          <w:rtl w:val="true"/>
        </w:rPr>
        <w:t xml:space="preserve">.   </w:t>
      </w:r>
      <w:r>
        <w:rPr>
          <w:rFonts w:ascii="Times New Roman" w:hAnsi="Times New Roman" w:eastAsia="Times New Roman" w:cs="Times New Roman"/>
          <w:rtl w:val="true"/>
        </w:rPr>
        <w:t>יתר חלקי גזר הדין ב</w:t>
      </w:r>
      <w:hyperlink r:id="rId2">
        <w:r>
          <w:rPr>
            <w:rStyle w:val="Hyperlink"/>
            <w:rFonts w:ascii="Times New Roman" w:hAnsi="Times New Roman" w:eastAsia="Times New Roman" w:cs="Times New Roman"/>
            <w:rtl w:val="true"/>
          </w:rPr>
          <w:t>ת</w:t>
        </w:r>
        <w:r>
          <w:rPr>
            <w:rStyle w:val="Hyperlink"/>
            <w:rFonts w:eastAsia="Times New Roman" w:cs="Times New Roman" w:ascii="Times New Roman" w:hAnsi="Times New Roman"/>
            <w:rtl w:val="true"/>
          </w:rPr>
          <w:t>"</w:t>
        </w:r>
        <w:r>
          <w:rPr>
            <w:rStyle w:val="Hyperlink"/>
            <w:rFonts w:ascii="Times New Roman" w:hAnsi="Times New Roman" w:eastAsia="Times New Roman" w:cs="Times New Roman"/>
            <w:rtl w:val="true"/>
          </w:rPr>
          <w:t xml:space="preserve">פ </w:t>
        </w:r>
        <w:r>
          <w:rPr>
            <w:rStyle w:val="Hyperlink"/>
            <w:rFonts w:eastAsia="Times New Roman" w:cs="Times New Roman" w:ascii="Times New Roman" w:hAnsi="Times New Roman"/>
          </w:rPr>
          <w:t>35647-04-15</w:t>
        </w:r>
      </w:hyperlink>
      <w:r>
        <w:rPr>
          <w:rFonts w:eastAsia="Times New Roman" w:cs="Times New Roman" w:ascii="Times New Roman" w:hAnsi="Times New Roman"/>
          <w:rtl w:val="true"/>
        </w:rPr>
        <w:t xml:space="preserve"> (</w:t>
      </w:r>
      <w:r>
        <w:rPr>
          <w:rFonts w:ascii="Times New Roman" w:hAnsi="Times New Roman" w:eastAsia="Times New Roman" w:cs="Times New Roman"/>
          <w:rtl w:val="true"/>
        </w:rPr>
        <w:t>בית משפט השלום בנתניה</w:t>
      </w:r>
      <w:r>
        <w:rPr>
          <w:rFonts w:eastAsia="Times New Roman" w:cs="Times New Roman" w:ascii="Times New Roman" w:hAnsi="Times New Roman"/>
          <w:rtl w:val="true"/>
        </w:rPr>
        <w:t xml:space="preserve">) </w:t>
      </w:r>
      <w:r>
        <w:rPr>
          <w:rFonts w:ascii="Times New Roman" w:hAnsi="Times New Roman" w:eastAsia="Times New Roman" w:cs="Times New Roman"/>
          <w:rtl w:val="true"/>
        </w:rPr>
        <w:t>יעמדו בתוקפם</w:t>
      </w:r>
      <w:r>
        <w:rPr>
          <w:rFonts w:eastAsia="Times New Roman" w:cs="Times New Roman" w:ascii="Times New Roman" w:hAnsi="Times New Roman"/>
          <w:rtl w:val="true"/>
        </w:rPr>
        <w:t xml:space="preserve">.     </w:t>
      </w:r>
    </w:p>
    <w:p>
      <w:pPr>
        <w:pStyle w:val="Normal"/>
        <w:spacing w:lineRule="auto" w:line="360"/>
        <w:ind w:end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true"/>
        </w:rPr>
        <w:t>ניתן והודע היום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ט</w:t>
      </w:r>
      <w:r>
        <w:rPr>
          <w:rFonts w:eastAsia="Times New Roman" w:cs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 w:cs="Times New Roman"/>
          <w:rtl w:val="true"/>
        </w:rPr>
        <w:t>ז שבט תשע</w:t>
      </w:r>
      <w:r>
        <w:rPr>
          <w:rFonts w:eastAsia="Times New Roman" w:cs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 w:cs="Times New Roman"/>
          <w:rtl w:val="true"/>
        </w:rPr>
        <w:t>ז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eastAsia="Times New Roman" w:cs="Times New Roman" w:ascii="Times New Roman" w:hAnsi="Times New Roman"/>
        </w:rPr>
        <w:t>12</w:t>
      </w:r>
      <w:r>
        <w:rPr>
          <w:rFonts w:eastAsia="Times New Roman"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eastAsia="Times New Roman" w:cs="Times New Roman"/>
          <w:rtl w:val="true"/>
        </w:rPr>
        <w:t xml:space="preserve">פברואר </w:t>
      </w:r>
      <w:r>
        <w:rPr>
          <w:rFonts w:eastAsia="Times New Roman" w:cs="Times New Roman" w:ascii="Times New Roman" w:hAnsi="Times New Roman"/>
        </w:rPr>
        <w:t>2017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במעמד ב</w:t>
      </w:r>
      <w:r>
        <w:rPr>
          <w:rFonts w:eastAsia="Times New Roman" w:cs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 w:cs="Times New Roman"/>
          <w:rtl w:val="true"/>
        </w:rPr>
        <w:t>כ הצדדים והמשיב</w:t>
      </w:r>
      <w:r>
        <w:rPr>
          <w:rFonts w:eastAsia="Times New Roman" w:cs="Times New Roman" w:ascii="Times New Roman" w:hAnsi="Times New Roman"/>
          <w:rtl w:val="true"/>
        </w:rPr>
        <w:t xml:space="preserve">.  </w:t>
      </w:r>
    </w:p>
    <w:p>
      <w:pPr>
        <w:pStyle w:val="Normal"/>
        <w:spacing w:lineRule="auto" w:line="360"/>
        <w:ind w:end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rtl w:val="true"/>
        </w:rPr>
        <w:t xml:space="preserve">-- </w:t>
      </w:r>
      <w:r>
        <w:rPr>
          <w:rFonts w:ascii="Times New Roman" w:hAnsi="Times New Roman" w:eastAsia="Times New Roman" w:cs="Times New Roman"/>
          <w:rtl w:val="true"/>
        </w:rPr>
        <w:t>אברהם טל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נשיא אב</w:t>
      </w:r>
      <w:r>
        <w:rPr>
          <w:rFonts w:eastAsia="Times New Roman" w:cs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 w:cs="Times New Roman"/>
          <w:rtl w:val="true"/>
        </w:rPr>
        <w:t>ד</w:t>
      </w:r>
    </w:p>
    <w:p>
      <w:pPr>
        <w:pStyle w:val="Normal"/>
        <w:spacing w:lineRule="auto" w:line="360"/>
        <w:ind w:end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rtl w:val="true"/>
        </w:rPr>
        <w:t>-</w:t>
      </w:r>
      <w:r>
        <w:rPr>
          <w:rFonts w:ascii="Times New Roman" w:hAnsi="Times New Roman" w:eastAsia="Times New Roman" w:cs="Times New Roman"/>
          <w:rtl w:val="true"/>
        </w:rPr>
        <w:t>זהבה בוסתן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>שופטת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eastAsia="Times New Roman" w:cs="Times New Roman" w:ascii="Times New Roman" w:hAnsi="Times New Roman"/>
          <w:rtl w:val="true"/>
        </w:rPr>
        <w:t>--</w:t>
      </w:r>
      <w:r>
        <w:rPr>
          <w:rFonts w:ascii="Times New Roman" w:hAnsi="Times New Roman" w:eastAsia="Times New Roman" w:cs="Times New Roman"/>
          <w:rtl w:val="true"/>
        </w:rPr>
        <w:t>שמואל בורנשטיין</w:t>
      </w:r>
      <w:r>
        <w:rPr>
          <w:rFonts w:eastAsia="Times New Roman"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 w:cs="Times New Roman"/>
          <w:rtl w:val="true"/>
        </w:rPr>
        <w:t xml:space="preserve">שופט               </w:t>
      </w:r>
    </w:p>
    <w:p>
      <w:pPr>
        <w:pStyle w:val="Normal"/>
        <w:spacing w:lineRule="auto" w:line="360"/>
        <w:ind w:end="0"/>
        <w:jc w:val="both"/>
        <w:rPr/>
      </w:pPr>
      <w:r>
        <w:rPr>
          <w:color w:val="FFFFFF"/>
          <w:sz w:val="2"/>
          <w:szCs w:val="2"/>
        </w:rPr>
        <w:t>5129371</w:t>
      </w:r>
      <w:r>
        <w:rPr>
          <w:color w:val="FFFFFF"/>
          <w:sz w:val="2"/>
          <w:szCs w:val="2"/>
          <w:rtl w:val="true"/>
        </w:rPr>
        <w:t xml:space="preserve"> </w:t>
      </w:r>
    </w:p>
    <w:p>
      <w:pPr>
        <w:pStyle w:val="Normal"/>
        <w:keepNext w:val="true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512937154678313</w:t>
      </w:r>
    </w:p>
    <w:p>
      <w:pPr>
        <w:pStyle w:val="Normal"/>
        <w:keepNext w:val="true"/>
        <w:ind w:end="0"/>
        <w:jc w:val="start"/>
        <w:rPr/>
      </w:pPr>
      <w:r>
        <w:rPr>
          <w:color w:val="FFFFFF"/>
          <w:sz w:val="2"/>
          <w:szCs w:val="2"/>
        </w:rPr>
        <w:t>54678313</w:t>
      </w:r>
      <w:r>
        <w:rPr>
          <w:color w:val="000000"/>
          <w:sz w:val="22"/>
          <w:sz w:val="22"/>
          <w:szCs w:val="22"/>
          <w:rtl w:val="true"/>
        </w:rPr>
        <w:t>אברהם טל זהבה בוסתן ד</w:t>
      </w:r>
      <w:r>
        <w:rPr>
          <w:color w:val="000000"/>
          <w:sz w:val="22"/>
          <w:szCs w:val="22"/>
          <w:rtl w:val="true"/>
        </w:rPr>
        <w:t>"</w:t>
      </w:r>
      <w:r>
        <w:rPr>
          <w:color w:val="000000"/>
          <w:sz w:val="22"/>
          <w:sz w:val="22"/>
          <w:szCs w:val="22"/>
          <w:rtl w:val="true"/>
        </w:rPr>
        <w:t xml:space="preserve">ר שמואל בורנשטין </w:t>
      </w:r>
      <w:r>
        <w:rPr>
          <w:color w:val="000000"/>
          <w:sz w:val="22"/>
          <w:szCs w:val="22"/>
        </w:rPr>
        <w:t>54678313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3">
        <w:r>
          <w:rPr>
            <w:rStyle w:val="Hyperlink"/>
            <w:rtl w:val="true"/>
          </w:rPr>
          <w:t>בעניין עריכה ושינויים במסמכי פסיקה</w:t>
        </w:r>
        <w:r>
          <w:rPr>
            <w:rStyle w:val="Hyperlink"/>
            <w:rtl w:val="true"/>
          </w:rPr>
          <w:t xml:space="preserve">, </w:t>
        </w:r>
        <w:r>
          <w:rPr>
            <w:rStyle w:val="Hyperlink"/>
            <w:rtl w:val="true"/>
          </w:rPr>
          <w:t>חקיקה ועוד באתר נבו – הקש כאן</w:t>
        </w:r>
      </w:hyperlink>
    </w:p>
    <w:p>
      <w:pPr>
        <w:pStyle w:val="Normal"/>
        <w:ind w:end="0"/>
        <w:jc w:val="start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4"/>
      <w:footerReference w:type="default" r:id="rId5"/>
      <w:type w:val="nextPage"/>
      <w:pgSz w:w="11906" w:h="16838"/>
      <w:pgMar w:left="1701" w:right="1701" w:gutter="0" w:header="1077" w:top="1701" w:footer="1157" w:bottom="1440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avid">
    <w:charset w:val="b1" w:characterSet="windows-1255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FrankRuehl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2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</w:rPr>
    </w:pPr>
    <w:r>
      <w:rPr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color w:val="000000"/>
        <w:sz w:val="22"/>
        <w:szCs w:val="22"/>
      </w:rPr>
    </w:pPr>
    <w:r>
      <w:rPr>
        <w:color w:val="000000"/>
        <w:sz w:val="22"/>
        <w:sz w:val="22"/>
        <w:szCs w:val="22"/>
        <w:rtl w:val="true"/>
      </w:rPr>
      <w:t xml:space="preserve">עפג </w:t>
    </w:r>
    <w:r>
      <w:rPr>
        <w:color w:val="000000"/>
        <w:sz w:val="22"/>
        <w:szCs w:val="22"/>
        <w:rtl w:val="true"/>
      </w:rPr>
      <w:t>(</w:t>
    </w:r>
    <w:r>
      <w:rPr>
        <w:color w:val="000000"/>
        <w:sz w:val="22"/>
        <w:sz w:val="22"/>
        <w:szCs w:val="22"/>
        <w:rtl w:val="true"/>
      </w:rPr>
      <w:t>מרכז</w:t>
    </w:r>
    <w:r>
      <w:rPr>
        <w:color w:val="000000"/>
        <w:sz w:val="22"/>
        <w:szCs w:val="22"/>
        <w:rtl w:val="true"/>
      </w:rPr>
      <w:t xml:space="preserve">) </w:t>
    </w:r>
    <w:r>
      <w:rPr>
        <w:color w:val="000000"/>
        <w:sz w:val="22"/>
        <w:szCs w:val="22"/>
      </w:rPr>
      <w:t>41900-11-16</w:t>
    </w:r>
    <w:r>
      <w:rPr>
        <w:color w:val="000000"/>
        <w:sz w:val="22"/>
        <w:szCs w:val="22"/>
        <w:rtl w:val="true"/>
      </w:rPr>
      <w:tab/>
      <w:t xml:space="preserve"> </w:t>
    </w:r>
    <w:r>
      <w:rPr>
        <w:color w:val="000000"/>
        <w:sz w:val="22"/>
        <w:sz w:val="22"/>
        <w:szCs w:val="22"/>
        <w:rtl w:val="true"/>
      </w:rPr>
      <w:t>מדינת ישראל נ</w:t>
    </w:r>
    <w:r>
      <w:rPr>
        <w:color w:val="000000"/>
        <w:sz w:val="22"/>
        <w:szCs w:val="22"/>
        <w:rtl w:val="true"/>
      </w:rPr>
      <w:t xml:space="preserve">' </w:t>
    </w:r>
    <w:r>
      <w:rPr>
        <w:color w:val="000000"/>
        <w:sz w:val="22"/>
        <w:sz w:val="22"/>
        <w:szCs w:val="22"/>
        <w:rtl w:val="true"/>
      </w:rPr>
      <w:t>ניסים דרור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</w:pPr>
    <w:rPr>
      <w:rFonts w:ascii="David" w:hAnsi="David" w:eastAsia="David" w:cs="David"/>
      <w:color w:val="auto"/>
      <w:sz w:val="24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LineNumber">
    <w:name w:val="line number"/>
    <w:basedOn w:val="DefaultParagraphFont"/>
    <w:rPr/>
  </w:style>
  <w:style w:type="character" w:styleId="PageNumber">
    <w:name w:val="page number"/>
    <w:basedOn w:val="DefaultParagraphFont"/>
    <w:rPr/>
  </w:style>
  <w:style w:type="character" w:styleId="TimesNewRomanTimesNewRoman">
    <w:name w:val="סגנון (לטיני) Times New Roman (עברית ושפות אחרות) Times New Roman..."/>
    <w:qFormat/>
    <w:rPr>
      <w:rFonts w:ascii="Times New Roman" w:hAnsi="Times New Roman" w:cs="David"/>
      <w:b/>
      <w:bCs/>
      <w:sz w:val="26"/>
      <w:szCs w:val="26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12">
    <w:name w:val="רגיל + ‏12 נק'"/>
    <w:basedOn w:val="Normal"/>
    <w:qFormat/>
    <w:pPr/>
    <w:rPr>
      <w:rFonts w:ascii="Times New Roman" w:hAnsi="Times New Roman" w:eastAsia="Times New Roman" w:cs="Times New Roman"/>
      <w:b/>
      <w:bCs/>
      <w:u w:val="single"/>
    </w:rPr>
  </w:style>
  <w:style w:type="paragraph" w:styleId="David">
    <w:name w:val="סגנון (עברית ושפות אחרות) David מיושר לשני הצדדים מרווח בין שורות..."/>
    <w:basedOn w:val="Normal"/>
    <w:qFormat/>
    <w:pPr>
      <w:spacing w:lineRule="auto" w:line="360"/>
      <w:jc w:val="both"/>
    </w:pPr>
    <w:rPr>
      <w:rFonts w:ascii="Times New Roman" w:hAnsi="Times New Roman" w:eastAsia="Times New Roman" w:cs="Times New Roma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0211957" TargetMode="External"/><Relationship Id="rId3" Type="http://schemas.openxmlformats.org/officeDocument/2006/relationships/hyperlink" Target="http://www.nevo.co.il/advertisements/nevo-100.doc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2017-02-19T09:38:00Z</dcterms:created>
  <dc:creator> </dc:creator>
  <dc:description/>
  <cp:keywords/>
  <dc:language>en-IL</dc:language>
  <cp:lastModifiedBy>hofit</cp:lastModifiedBy>
  <dcterms:modified xsi:type="dcterms:W3CDTF">2017-02-19T09:38:00Z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ניסים דרור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APPELLEE3">
    <vt:lpwstr>יתייצב לקליטה והצבה במוסד "דורות" בשכונת דורה, רח' הנביאים 22 בנתניה, ללא צורך בהחלטה שיפוטית נוספת, ביום 19.3.17 בשעה 0800;הוזהר כי אם לא יתייצב הממונה על עבודות שירות בנציבות שב"ס ברמלה במועד הנ"ל, ייעצר ויועבר למשמורת שב"ס לריצוי המאסר מאחורי סורג וברי</vt:lpwstr>
  </property>
  <property fmtid="{D5CDD505-2E9C-101B-9397-08002B2CF9AE}" pid="9" name="APPELLEE4">
    <vt:lpwstr>ניתן והודע היום, ט"ז שבט תשע"ז, 12 פברואר 2017, במעמד;אב"ד--זהבה בוסתן, --שמואל בורנשטיין</vt:lpwstr>
  </property>
  <property fmtid="{D5CDD505-2E9C-101B-9397-08002B2CF9AE}" pid="10" name="CASENOTES1">
    <vt:lpwstr>ProcID=209&amp;PartA=6897&amp;PartB=04&amp;PartC=15</vt:lpwstr>
  </property>
  <property fmtid="{D5CDD505-2E9C-101B-9397-08002B2CF9AE}" pid="11" name="CASESLISTTMP1">
    <vt:lpwstr>20211957</vt:lpwstr>
  </property>
  <property fmtid="{D5CDD505-2E9C-101B-9397-08002B2CF9AE}" pid="12" name="CITY">
    <vt:lpwstr>מרכז</vt:lpwstr>
  </property>
  <property fmtid="{D5CDD505-2E9C-101B-9397-08002B2CF9AE}" pid="13" name="DATE">
    <vt:lpwstr>20170212</vt:lpwstr>
  </property>
  <property fmtid="{D5CDD505-2E9C-101B-9397-08002B2CF9AE}" pid="14" name="DELEMATA">
    <vt:lpwstr/>
  </property>
  <property fmtid="{D5CDD505-2E9C-101B-9397-08002B2CF9AE}" pid="15" name="ISABSTRACT">
    <vt:lpwstr>Y</vt:lpwstr>
  </property>
  <property fmtid="{D5CDD505-2E9C-101B-9397-08002B2CF9AE}" pid="16" name="JUDGE">
    <vt:lpwstr>אברהם טל;זהבה בוסתן;שמואל בורנשטין</vt:lpwstr>
  </property>
  <property fmtid="{D5CDD505-2E9C-101B-9397-08002B2CF9AE}" pid="17" name="LAWYER">
    <vt:lpwstr>אורלי שרגנהיים;מירון רוזנטל</vt:lpwstr>
  </property>
  <property fmtid="{D5CDD505-2E9C-101B-9397-08002B2CF9AE}" pid="18" name="LINKK1">
    <vt:lpwstr/>
  </property>
  <property fmtid="{D5CDD505-2E9C-101B-9397-08002B2CF9AE}" pid="19" name="LINKK2">
    <vt:lpwstr/>
  </property>
  <property fmtid="{D5CDD505-2E9C-101B-9397-08002B2CF9AE}" pid="20" name="LINKK3">
    <vt:lpwstr/>
  </property>
  <property fmtid="{D5CDD505-2E9C-101B-9397-08002B2CF9AE}" pid="21" name="LINKK4">
    <vt:lpwstr/>
  </property>
  <property fmtid="{D5CDD505-2E9C-101B-9397-08002B2CF9AE}" pid="22" name="LINKK5">
    <vt:lpwstr/>
  </property>
  <property fmtid="{D5CDD505-2E9C-101B-9397-08002B2CF9AE}" pid="23" name="NEWPARTA">
    <vt:lpwstr>41900</vt:lpwstr>
  </property>
  <property fmtid="{D5CDD505-2E9C-101B-9397-08002B2CF9AE}" pid="24" name="NEWPARTB">
    <vt:lpwstr>11</vt:lpwstr>
  </property>
  <property fmtid="{D5CDD505-2E9C-101B-9397-08002B2CF9AE}" pid="25" name="NEWPARTC">
    <vt:lpwstr>16</vt:lpwstr>
  </property>
  <property fmtid="{D5CDD505-2E9C-101B-9397-08002B2CF9AE}" pid="26" name="NEWPROC">
    <vt:lpwstr>עפג</vt:lpwstr>
  </property>
  <property fmtid="{D5CDD505-2E9C-101B-9397-08002B2CF9AE}" pid="27" name="PADIMAIL">
    <vt:lpwstr/>
  </property>
  <property fmtid="{D5CDD505-2E9C-101B-9397-08002B2CF9AE}" pid="28" name="PAGE">
    <vt:lpwstr/>
  </property>
  <property fmtid="{D5CDD505-2E9C-101B-9397-08002B2CF9AE}" pid="29" name="PART">
    <vt:lpwstr/>
  </property>
  <property fmtid="{D5CDD505-2E9C-101B-9397-08002B2CF9AE}" pid="30" name="PROCESS">
    <vt:lpwstr/>
  </property>
  <property fmtid="{D5CDD505-2E9C-101B-9397-08002B2CF9AE}" pid="31" name="PROCNUM">
    <vt:lpwstr/>
  </property>
  <property fmtid="{D5CDD505-2E9C-101B-9397-08002B2CF9AE}" pid="32" name="PROCYEAR">
    <vt:lpwstr/>
  </property>
  <property fmtid="{D5CDD505-2E9C-101B-9397-08002B2CF9AE}" pid="33" name="PSAKDIN">
    <vt:lpwstr>פסק-דין</vt:lpwstr>
  </property>
  <property fmtid="{D5CDD505-2E9C-101B-9397-08002B2CF9AE}" pid="34" name="TYPE">
    <vt:lpwstr>2</vt:lpwstr>
  </property>
  <property fmtid="{D5CDD505-2E9C-101B-9397-08002B2CF9AE}" pid="35" name="TYPE_ABS_DATE">
    <vt:lpwstr>390020170212</vt:lpwstr>
  </property>
  <property fmtid="{D5CDD505-2E9C-101B-9397-08002B2CF9AE}" pid="36" name="TYPE_N_DATE">
    <vt:lpwstr>39020170212</vt:lpwstr>
  </property>
  <property fmtid="{D5CDD505-2E9C-101B-9397-08002B2CF9AE}" pid="37" name="VOLUME">
    <vt:lpwstr/>
  </property>
  <property fmtid="{D5CDD505-2E9C-101B-9397-08002B2CF9AE}" pid="38" name="WORDNUMPAGES">
    <vt:lpwstr>2</vt:lpwstr>
  </property>
</Properties>
</file>