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87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396"/>
        <w:gridCol w:w="239"/>
        <w:gridCol w:w="2085"/>
      </w:tblGrid>
      <w:tr>
        <w:trPr>
          <w:trHeight w:val="418" w:hRule="exact"/>
        </w:trPr>
        <w:tc>
          <w:tcPr>
            <w:tcW w:w="8720" w:type="dxa"/>
            <w:gridSpan w:val="3"/>
            <w:tcBorders/>
          </w:tcPr>
          <w:p>
            <w:pPr>
              <w:pStyle w:val="Header"/>
              <w:tabs>
                <w:tab w:val="clear" w:pos="720"/>
              </w:tabs>
              <w:ind w:end="0"/>
              <w:jc w:val="center"/>
              <w:rPr>
                <w:rFonts w:ascii="Tahoma" w:hAnsi="Tahoma" w:cs="Tahoma"/>
                <w:b/>
                <w:bCs/>
                <w:color w:val="000080"/>
                <w:sz w:val="20"/>
                <w:szCs w:val="20"/>
              </w:rPr>
            </w:pPr>
            <w:r>
              <w:rPr>
                <w:rFonts w:ascii="Tahoma" w:hAnsi="Tahoma" w:cs="Tahoma"/>
                <w:b/>
                <w:b/>
                <w:bCs/>
                <w:color w:val="000080"/>
                <w:sz w:val="20"/>
                <w:sz w:val="20"/>
                <w:szCs w:val="20"/>
                <w:rtl w:val="true"/>
              </w:rPr>
              <w:t xml:space="preserve">בית המשפט המחוזי בתל אביב </w:t>
            </w:r>
            <w:r>
              <w:rPr>
                <w:rFonts w:cs="Tahoma" w:ascii="Tahoma" w:hAnsi="Tahoma"/>
                <w:b/>
                <w:bCs/>
                <w:color w:val="000080"/>
                <w:sz w:val="20"/>
                <w:szCs w:val="20"/>
                <w:rtl w:val="true"/>
              </w:rPr>
              <w:t xml:space="preserve">- </w:t>
            </w:r>
            <w:r>
              <w:rPr>
                <w:rFonts w:ascii="Tahoma" w:hAnsi="Tahoma" w:cs="Tahoma"/>
                <w:b/>
                <w:b/>
                <w:bCs/>
                <w:color w:val="000080"/>
                <w:sz w:val="20"/>
                <w:sz w:val="20"/>
                <w:szCs w:val="20"/>
                <w:rtl w:val="true"/>
              </w:rPr>
              <w:t>יפו בשבתו כבית</w:t>
            </w:r>
            <w:r>
              <w:rPr>
                <w:rFonts w:cs="Tahoma" w:ascii="Tahoma" w:hAnsi="Tahoma"/>
                <w:b/>
                <w:bCs/>
                <w:color w:val="000080"/>
                <w:sz w:val="20"/>
                <w:szCs w:val="20"/>
                <w:rtl w:val="true"/>
              </w:rPr>
              <w:t>-</w:t>
            </w:r>
            <w:r>
              <w:rPr>
                <w:rFonts w:ascii="Tahoma" w:hAnsi="Tahoma" w:cs="Tahoma"/>
                <w:b/>
                <w:b/>
                <w:bCs/>
                <w:color w:val="000080"/>
                <w:sz w:val="20"/>
                <w:sz w:val="20"/>
                <w:szCs w:val="20"/>
                <w:rtl w:val="true"/>
              </w:rPr>
              <w:t>משפט לערעורים פליליים</w:t>
            </w:r>
          </w:p>
        </w:tc>
      </w:tr>
      <w:tr>
        <w:trPr>
          <w:trHeight w:val="337" w:hRule="atLeast"/>
        </w:trPr>
        <w:tc>
          <w:tcPr>
            <w:tcW w:w="6396" w:type="dxa"/>
            <w:tcBorders/>
          </w:tcPr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עפ</w:t>
            </w:r>
            <w:r>
              <w:rPr>
                <w:b/>
                <w:bCs/>
                <w:sz w:val="26"/>
                <w:szCs w:val="26"/>
                <w:rtl w:val="true"/>
              </w:rPr>
              <w:t>"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ג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42358-10-14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גיא נ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'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מדינת ישראל</w:t>
            </w:r>
          </w:p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true"/>
              </w:rPr>
            </w:r>
          </w:p>
        </w:tc>
        <w:tc>
          <w:tcPr>
            <w:tcW w:w="239" w:type="dxa"/>
            <w:tcBorders/>
          </w:tcPr>
          <w:p>
            <w:pPr>
              <w:pStyle w:val="Header"/>
              <w:snapToGrid w:val="false"/>
              <w:ind w:end="0"/>
              <w:jc w:val="end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true"/>
              </w:rPr>
            </w:r>
          </w:p>
        </w:tc>
        <w:tc>
          <w:tcPr>
            <w:tcW w:w="2085" w:type="dxa"/>
            <w:tcBorders/>
          </w:tcPr>
          <w:p>
            <w:pPr>
              <w:pStyle w:val="Header"/>
              <w:tabs>
                <w:tab w:val="clear" w:pos="720"/>
              </w:tabs>
              <w:ind w:end="0"/>
              <w:jc w:val="end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18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פברואר </w:t>
            </w:r>
            <w:r>
              <w:rPr>
                <w:b/>
                <w:bCs/>
                <w:sz w:val="26"/>
                <w:szCs w:val="26"/>
              </w:rPr>
              <w:t>2015</w:t>
            </w:r>
          </w:p>
        </w:tc>
      </w:tr>
    </w:tbl>
    <w:p>
      <w:pPr>
        <w:pStyle w:val="Header"/>
        <w:ind w:end="0"/>
        <w:jc w:val="center"/>
        <w:rPr>
          <w:rFonts w:ascii="Tahoma" w:hAnsi="Tahoma" w:cs="Tahoma"/>
          <w:b/>
          <w:bCs/>
          <w:color w:val="000080"/>
          <w:sz w:val="20"/>
          <w:szCs w:val="20"/>
        </w:rPr>
      </w:pPr>
      <w:r>
        <w:rPr>
          <w:rFonts w:cs="Tahoma" w:ascii="Tahoma" w:hAnsi="Tahoma"/>
          <w:b/>
          <w:bCs/>
          <w:color w:val="000080"/>
          <w:sz w:val="20"/>
          <w:szCs w:val="20"/>
          <w:rtl w:val="true"/>
        </w:rPr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/>
          <w:bCs/>
          <w:rtl w:val="true"/>
        </w:rPr>
        <w:t>בפני</w:t>
      </w:r>
      <w:r>
        <w:rPr>
          <w:rFonts w:cs="Arial" w:ascii="Arial" w:hAnsi="Arial"/>
          <w:b/>
          <w:bCs/>
          <w:rtl w:val="true"/>
        </w:rPr>
        <w:t>:</w:t>
        <w:tab/>
      </w:r>
      <w:r>
        <w:rPr>
          <w:rFonts w:ascii="Arial" w:hAnsi="Arial" w:cs="Arial"/>
          <w:b/>
          <w:b/>
          <w:bCs/>
          <w:rtl w:val="true"/>
        </w:rPr>
        <w:t>כב</w:t>
      </w:r>
      <w:r>
        <w:rPr>
          <w:rFonts w:cs="Arial" w:ascii="Arial" w:hAnsi="Arial"/>
          <w:b/>
          <w:bCs/>
          <w:rtl w:val="true"/>
        </w:rPr>
        <w:t xml:space="preserve">' </w:t>
      </w:r>
      <w:r>
        <w:rPr>
          <w:rFonts w:ascii="Arial" w:hAnsi="Arial" w:cs="Arial"/>
          <w:b/>
          <w:b/>
          <w:bCs/>
          <w:rtl w:val="true"/>
        </w:rPr>
        <w:t>הנשיאה דבורה ברלינר</w:t>
      </w:r>
      <w:r>
        <w:rPr>
          <w:rFonts w:cs="Arial" w:ascii="Arial" w:hAnsi="Arial"/>
          <w:b/>
          <w:bCs/>
          <w:rtl w:val="true"/>
        </w:rPr>
        <w:t xml:space="preserve">, </w:t>
      </w:r>
      <w:r>
        <w:rPr>
          <w:rFonts w:ascii="Arial" w:hAnsi="Arial" w:cs="Arial"/>
          <w:b/>
          <w:b/>
          <w:bCs/>
          <w:rtl w:val="true"/>
        </w:rPr>
        <w:t>אב</w:t>
      </w:r>
      <w:r>
        <w:rPr>
          <w:rFonts w:cs="Arial" w:ascii="Arial" w:hAnsi="Arial"/>
          <w:b/>
          <w:bCs/>
          <w:rtl w:val="true"/>
        </w:rPr>
        <w:t>"</w:t>
      </w:r>
      <w:r>
        <w:rPr>
          <w:rFonts w:ascii="Arial" w:hAnsi="Arial" w:cs="Arial"/>
          <w:b/>
          <w:b/>
          <w:bCs/>
          <w:rtl w:val="true"/>
        </w:rPr>
        <w:t>ד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  <w:rtl w:val="true"/>
        </w:rPr>
        <w:tab/>
      </w:r>
      <w:r>
        <w:rPr>
          <w:rFonts w:ascii="Arial" w:hAnsi="Arial" w:cs="Arial"/>
          <w:b/>
          <w:b/>
          <w:bCs/>
          <w:rtl w:val="true"/>
        </w:rPr>
        <w:t>כב</w:t>
      </w:r>
      <w:r>
        <w:rPr>
          <w:rFonts w:cs="Arial" w:ascii="Arial" w:hAnsi="Arial"/>
          <w:b/>
          <w:bCs/>
          <w:rtl w:val="true"/>
        </w:rPr>
        <w:t xml:space="preserve">' </w:t>
      </w:r>
      <w:r>
        <w:rPr>
          <w:rFonts w:ascii="Arial" w:hAnsi="Arial" w:cs="Arial"/>
          <w:b/>
          <w:b/>
          <w:bCs/>
          <w:rtl w:val="true"/>
        </w:rPr>
        <w:t>השופט ג</w:t>
      </w:r>
      <w:r>
        <w:rPr>
          <w:rFonts w:cs="Arial" w:ascii="Arial" w:hAnsi="Arial"/>
          <w:b/>
          <w:bCs/>
          <w:rtl w:val="true"/>
        </w:rPr>
        <w:t>'</w:t>
      </w:r>
      <w:r>
        <w:rPr>
          <w:rFonts w:ascii="Arial" w:hAnsi="Arial" w:cs="Arial"/>
          <w:b/>
          <w:b/>
          <w:bCs/>
          <w:rtl w:val="true"/>
        </w:rPr>
        <w:t>ורג</w:t>
      </w:r>
      <w:r>
        <w:rPr>
          <w:rFonts w:cs="Arial" w:ascii="Arial" w:hAnsi="Arial"/>
          <w:b/>
          <w:bCs/>
          <w:rtl w:val="true"/>
        </w:rPr>
        <w:t xml:space="preserve">' </w:t>
      </w:r>
      <w:r>
        <w:rPr>
          <w:rFonts w:ascii="Arial" w:hAnsi="Arial" w:cs="Arial"/>
          <w:b/>
          <w:b/>
          <w:bCs/>
          <w:rtl w:val="true"/>
        </w:rPr>
        <w:t>קרא</w:t>
      </w:r>
      <w:r>
        <w:rPr>
          <w:rFonts w:cs="Arial" w:ascii="Arial" w:hAnsi="Arial"/>
          <w:b/>
          <w:bCs/>
          <w:rtl w:val="true"/>
        </w:rPr>
        <w:t xml:space="preserve">, </w:t>
      </w:r>
      <w:r>
        <w:rPr>
          <w:rFonts w:ascii="Arial" w:hAnsi="Arial" w:cs="Arial"/>
          <w:b/>
          <w:b/>
          <w:bCs/>
          <w:rtl w:val="true"/>
        </w:rPr>
        <w:t>ס</w:t>
      </w:r>
      <w:r>
        <w:rPr>
          <w:rFonts w:cs="Arial" w:ascii="Arial" w:hAnsi="Arial"/>
          <w:b/>
          <w:bCs/>
          <w:rtl w:val="true"/>
        </w:rPr>
        <w:t>"</w:t>
      </w:r>
      <w:r>
        <w:rPr>
          <w:rFonts w:ascii="Arial" w:hAnsi="Arial" w:cs="Arial"/>
          <w:b/>
          <w:b/>
          <w:bCs/>
          <w:rtl w:val="true"/>
        </w:rPr>
        <w:t>נ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  <w:rtl w:val="true"/>
        </w:rPr>
        <w:tab/>
      </w:r>
      <w:r>
        <w:rPr>
          <w:rFonts w:ascii="Arial" w:hAnsi="Arial" w:cs="Arial"/>
          <w:b/>
          <w:b/>
          <w:bCs/>
          <w:rtl w:val="true"/>
        </w:rPr>
        <w:t>כב</w:t>
      </w:r>
      <w:r>
        <w:rPr>
          <w:rFonts w:cs="Arial" w:ascii="Arial" w:hAnsi="Arial"/>
          <w:b/>
          <w:bCs/>
          <w:rtl w:val="true"/>
        </w:rPr>
        <w:t xml:space="preserve">' </w:t>
      </w:r>
      <w:r>
        <w:rPr>
          <w:rFonts w:ascii="Arial" w:hAnsi="Arial" w:cs="Arial"/>
          <w:b/>
          <w:b/>
          <w:bCs/>
          <w:rtl w:val="true"/>
        </w:rPr>
        <w:t xml:space="preserve">השופטת </w:t>
      </w:r>
      <w:bookmarkStart w:id="0" w:name="LastJudge"/>
      <w:r>
        <w:rPr>
          <w:rFonts w:ascii="Arial" w:hAnsi="Arial" w:cs="Arial"/>
          <w:b/>
          <w:b/>
          <w:bCs/>
          <w:rtl w:val="true"/>
        </w:rPr>
        <w:t>מרים סוקולוב</w:t>
      </w:r>
      <w:bookmarkEnd w:id="0"/>
    </w:p>
    <w:tbl>
      <w:tblPr>
        <w:bidiVisual w:val="true"/>
        <w:tblW w:w="8802" w:type="dxa"/>
        <w:jc w:val="start"/>
        <w:tblInd w:w="-162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83"/>
        <w:gridCol w:w="2797"/>
        <w:gridCol w:w="5922"/>
      </w:tblGrid>
      <w:tr>
        <w:trPr/>
        <w:tc>
          <w:tcPr>
            <w:tcW w:w="83" w:type="dxa"/>
            <w:tcBorders/>
          </w:tcPr>
          <w:p>
            <w:pPr>
              <w:pStyle w:val="TableHeading"/>
              <w:rPr/>
            </w:pPr>
            <w:r>
              <w:rPr>
                <w:rtl w:val="true"/>
              </w:rPr>
            </w:r>
          </w:p>
        </w:tc>
        <w:tc>
          <w:tcPr>
            <w:tcW w:w="8719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360"/>
              <w:ind w:end="0"/>
              <w:jc w:val="start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6"/>
                <w:szCs w:val="26"/>
                <w:rtl w:val="true"/>
              </w:rPr>
            </w:r>
          </w:p>
        </w:tc>
      </w:tr>
      <w:tr>
        <w:trPr/>
        <w:tc>
          <w:tcPr>
            <w:tcW w:w="2880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ind w:start="26" w:end="0"/>
              <w:jc w:val="start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bookmarkStart w:id="1" w:name="FirstAppellant"/>
            <w:bookmarkEnd w:id="1"/>
            <w:r>
              <w:rPr>
                <w:rFonts w:ascii="Times New Roman" w:hAnsi="Times New Roman" w:eastAsia="Times New Roman"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>ה</w:t>
            </w:r>
            <w:r>
              <w:rPr>
                <w:rFonts w:ascii="Times New Roman" w:hAnsi="Times New Roman" w:eastAsia="Times New Roman" w:cs="Times New Roman"/>
                <w:rtl w:val="true"/>
              </w:rPr>
              <w:t>מערער</w:t>
            </w:r>
            <w:r>
              <w:rPr>
                <w:rFonts w:eastAsia="Times New Roman" w:cs="Times New Roman" w:ascii="Times New Roman" w:hAnsi="Times New Roman"/>
                <w:rtl w:val="true"/>
              </w:rPr>
              <w:t>:</w:t>
            </w:r>
          </w:p>
        </w:tc>
        <w:tc>
          <w:tcPr>
            <w:tcW w:w="5922" w:type="dxa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ind w:end="0"/>
              <w:jc w:val="start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rtl w:val="true"/>
              </w:rPr>
              <w:t>אבי גיא</w:t>
            </w:r>
          </w:p>
          <w:p>
            <w:pPr>
              <w:pStyle w:val="Normal"/>
              <w:ind w:end="0"/>
              <w:jc w:val="start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6"/>
                <w:szCs w:val="26"/>
                <w:rtl w:val="true"/>
              </w:rPr>
            </w:r>
          </w:p>
        </w:tc>
      </w:tr>
      <w:tr>
        <w:trPr/>
        <w:tc>
          <w:tcPr>
            <w:tcW w:w="8802" w:type="dxa"/>
            <w:gridSpan w:val="3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ind w:end="0"/>
              <w:jc w:val="center"/>
              <w:rPr>
                <w:rFonts w:ascii="Arial" w:hAnsi="Arial" w:eastAsia="Times New Roman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b/>
                <w:b/>
                <w:bCs/>
                <w:sz w:val="26"/>
                <w:sz w:val="26"/>
                <w:szCs w:val="26"/>
                <w:rtl w:val="true"/>
              </w:rPr>
              <w:t>נגד</w:t>
            </w:r>
          </w:p>
          <w:p>
            <w:pPr>
              <w:pStyle w:val="Normal"/>
              <w:ind w:end="0"/>
              <w:jc w:val="center"/>
              <w:rPr>
                <w:rFonts w:ascii="Arial" w:hAnsi="Arial" w:eastAsia="Times New Roman" w:cs="Arial"/>
                <w:b/>
                <w:bCs/>
                <w:sz w:val="26"/>
                <w:szCs w:val="26"/>
              </w:rPr>
            </w:pPr>
            <w:r>
              <w:rPr>
                <w:rFonts w:eastAsia="Times New Roman" w:cs="Arial" w:ascii="Arial" w:hAnsi="Arial"/>
                <w:b/>
                <w:bCs/>
                <w:sz w:val="26"/>
                <w:szCs w:val="26"/>
                <w:rtl w:val="true"/>
              </w:rPr>
            </w:r>
          </w:p>
        </w:tc>
      </w:tr>
      <w:tr>
        <w:trPr/>
        <w:tc>
          <w:tcPr>
            <w:tcW w:w="2880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ind w:start="26" w:end="0"/>
              <w:jc w:val="start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>ה</w:t>
            </w:r>
            <w:r>
              <w:rPr>
                <w:rFonts w:ascii="Times New Roman" w:hAnsi="Times New Roman" w:eastAsia="Times New Roman" w:cs="Times New Roman"/>
                <w:rtl w:val="true"/>
              </w:rPr>
              <w:t>משיבה</w:t>
            </w:r>
            <w:r>
              <w:rPr>
                <w:rFonts w:eastAsia="Times New Roman" w:cs="Times New Roman" w:ascii="Times New Roman" w:hAnsi="Times New Roman"/>
                <w:rtl w:val="true"/>
              </w:rPr>
              <w:t>:</w:t>
            </w:r>
          </w:p>
        </w:tc>
        <w:tc>
          <w:tcPr>
            <w:tcW w:w="5922" w:type="dxa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ind w:end="0"/>
              <w:jc w:val="start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rtl w:val="true"/>
              </w:rPr>
              <w:t>מדינת ישראל</w:t>
            </w:r>
          </w:p>
          <w:p>
            <w:pPr>
              <w:pStyle w:val="Normal"/>
              <w:ind w:end="0"/>
              <w:jc w:val="start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6"/>
                <w:szCs w:val="26"/>
                <w:rtl w:val="true"/>
              </w:rPr>
            </w:r>
          </w:p>
        </w:tc>
      </w:tr>
    </w:tbl>
    <w:p>
      <w:pPr>
        <w:pStyle w:val="12"/>
        <w:ind w:end="0"/>
        <w:jc w:val="start"/>
        <w:rPr>
          <w:u w:val="none"/>
        </w:rPr>
      </w:pPr>
      <w:r>
        <w:rPr>
          <w:u w:val="none"/>
          <w:rtl w:val="true"/>
        </w:rPr>
        <w:t>נוכחים</w:t>
      </w:r>
      <w:r>
        <w:rPr>
          <w:u w:val="none"/>
          <w:rtl w:val="true"/>
        </w:rPr>
        <w:t>:</w:t>
      </w:r>
    </w:p>
    <w:p>
      <w:pPr>
        <w:pStyle w:val="12"/>
        <w:ind w:end="0"/>
        <w:jc w:val="start"/>
        <w:rPr>
          <w:b w:val="false"/>
          <w:bCs w:val="false"/>
          <w:sz w:val="4"/>
          <w:szCs w:val="4"/>
          <w:u w:val="none"/>
        </w:rPr>
      </w:pPr>
      <w:r>
        <w:rPr>
          <w:b w:val="false"/>
          <w:bCs w:val="false"/>
          <w:sz w:val="4"/>
          <w:szCs w:val="4"/>
          <w:u w:val="none"/>
          <w:rtl w:val="true"/>
        </w:rPr>
      </w:r>
    </w:p>
    <w:p>
      <w:pPr>
        <w:pStyle w:val="12"/>
        <w:ind w:end="0"/>
        <w:jc w:val="start"/>
        <w:rPr>
          <w:b w:val="false"/>
          <w:bCs w:val="false"/>
          <w:u w:val="none"/>
        </w:rPr>
      </w:pPr>
      <w:r>
        <w:rPr>
          <w:b w:val="false"/>
          <w:b w:val="false"/>
          <w:bCs w:val="false"/>
          <w:u w:val="none"/>
          <w:rtl w:val="true"/>
        </w:rPr>
        <w:t>המערער ו</w:t>
      </w:r>
      <w:bookmarkStart w:id="2" w:name="FirstLawyer"/>
      <w:r>
        <w:rPr>
          <w:b w:val="false"/>
          <w:b w:val="false"/>
          <w:bCs w:val="false"/>
          <w:u w:val="none"/>
          <w:rtl w:val="true"/>
        </w:rPr>
        <w:t>ב</w:t>
      </w:r>
      <w:r>
        <w:rPr>
          <w:b w:val="false"/>
          <w:bCs w:val="false"/>
          <w:u w:val="none"/>
          <w:rtl w:val="true"/>
        </w:rPr>
        <w:t>"</w:t>
      </w:r>
      <w:r>
        <w:rPr>
          <w:b w:val="false"/>
          <w:b w:val="false"/>
          <w:bCs w:val="false"/>
          <w:u w:val="none"/>
          <w:rtl w:val="true"/>
        </w:rPr>
        <w:t>כ</w:t>
      </w:r>
      <w:bookmarkEnd w:id="2"/>
      <w:r>
        <w:rPr>
          <w:b w:val="false"/>
          <w:b w:val="false"/>
          <w:bCs w:val="false"/>
          <w:u w:val="none"/>
          <w:rtl w:val="true"/>
        </w:rPr>
        <w:t xml:space="preserve"> עו</w:t>
      </w:r>
      <w:r>
        <w:rPr>
          <w:b w:val="false"/>
          <w:bCs w:val="false"/>
          <w:u w:val="none"/>
          <w:rtl w:val="true"/>
        </w:rPr>
        <w:t>"</w:t>
      </w:r>
      <w:r>
        <w:rPr>
          <w:b w:val="false"/>
          <w:b w:val="false"/>
          <w:bCs w:val="false"/>
          <w:u w:val="none"/>
          <w:rtl w:val="true"/>
        </w:rPr>
        <w:t xml:space="preserve">ד </w:t>
      </w:r>
      <w:r>
        <w:rPr>
          <w:u w:val="none"/>
          <w:rtl w:val="true"/>
        </w:rPr>
        <w:t>ניל</w:t>
      </w:r>
      <w:r>
        <w:rPr>
          <w:b w:val="false"/>
          <w:b w:val="false"/>
          <w:bCs w:val="false"/>
          <w:u w:val="none"/>
          <w:rtl w:val="true"/>
        </w:rPr>
        <w:t xml:space="preserve"> </w:t>
      </w:r>
      <w:r>
        <w:rPr>
          <w:u w:val="none"/>
          <w:rtl w:val="true"/>
        </w:rPr>
        <w:t>סיימון</w:t>
      </w:r>
      <w:r>
        <w:rPr>
          <w:b w:val="false"/>
          <w:b w:val="false"/>
          <w:bCs w:val="false"/>
          <w:u w:val="none"/>
          <w:rtl w:val="true"/>
        </w:rPr>
        <w:t xml:space="preserve"> </w:t>
      </w:r>
    </w:p>
    <w:p>
      <w:pPr>
        <w:pStyle w:val="12"/>
        <w:ind w:end="0"/>
        <w:jc w:val="start"/>
        <w:rPr>
          <w:b w:val="false"/>
          <w:bCs w:val="false"/>
          <w:sz w:val="4"/>
          <w:szCs w:val="4"/>
          <w:u w:val="none"/>
        </w:rPr>
      </w:pPr>
      <w:r>
        <w:rPr>
          <w:b w:val="false"/>
          <w:bCs w:val="false"/>
          <w:sz w:val="4"/>
          <w:szCs w:val="4"/>
          <w:u w:val="none"/>
          <w:rtl w:val="true"/>
        </w:rPr>
      </w:r>
    </w:p>
    <w:p>
      <w:pPr>
        <w:pStyle w:val="12"/>
        <w:ind w:end="0"/>
        <w:jc w:val="start"/>
        <w:rPr>
          <w:sz w:val="4"/>
          <w:szCs w:val="4"/>
          <w:u w:val="none"/>
        </w:rPr>
      </w:pPr>
      <w:r>
        <w:rPr>
          <w:b w:val="false"/>
          <w:bCs w:val="false"/>
          <w:sz w:val="4"/>
          <w:szCs w:val="4"/>
          <w:u w:val="none"/>
          <w:rtl w:val="true"/>
        </w:rPr>
        <w:t xml:space="preserve"> </w:t>
      </w:r>
    </w:p>
    <w:p>
      <w:pPr>
        <w:pStyle w:val="12"/>
        <w:ind w:end="0"/>
        <w:jc w:val="start"/>
        <w:rPr>
          <w:u w:val="none"/>
        </w:rPr>
      </w:pPr>
      <w:r>
        <w:rPr>
          <w:u w:val="none"/>
          <w:rtl w:val="true"/>
        </w:rPr>
        <w:t>ב</w:t>
      </w:r>
      <w:r>
        <w:rPr>
          <w:u w:val="none"/>
          <w:rtl w:val="true"/>
        </w:rPr>
        <w:t>"</w:t>
      </w:r>
      <w:r>
        <w:rPr>
          <w:u w:val="none"/>
          <w:rtl w:val="true"/>
        </w:rPr>
        <w:t>כ המשיבה – עו</w:t>
      </w:r>
      <w:r>
        <w:rPr>
          <w:u w:val="none"/>
          <w:rtl w:val="true"/>
        </w:rPr>
        <w:t>"</w:t>
      </w:r>
      <w:r>
        <w:rPr>
          <w:u w:val="none"/>
          <w:rtl w:val="true"/>
        </w:rPr>
        <w:t>ד</w:t>
      </w:r>
      <w:r>
        <w:rPr>
          <w:b w:val="false"/>
          <w:b w:val="false"/>
          <w:bCs w:val="false"/>
          <w:u w:val="none"/>
          <w:rtl w:val="true"/>
        </w:rPr>
        <w:t xml:space="preserve"> שירי רום  </w:t>
      </w:r>
    </w:p>
    <w:p>
      <w:pPr>
        <w:pStyle w:val="12"/>
        <w:ind w:end="0"/>
        <w:jc w:val="start"/>
        <w:rPr>
          <w:b w:val="false"/>
          <w:bCs w:val="false"/>
          <w:sz w:val="4"/>
          <w:szCs w:val="4"/>
          <w:u w:val="none"/>
        </w:rPr>
      </w:pPr>
      <w:r>
        <w:rPr>
          <w:b w:val="false"/>
          <w:bCs w:val="false"/>
          <w:sz w:val="4"/>
          <w:szCs w:val="4"/>
          <w:u w:val="none"/>
          <w:rtl w:val="true"/>
        </w:rPr>
      </w:r>
    </w:p>
    <w:p>
      <w:pPr>
        <w:pStyle w:val="12"/>
        <w:ind w:end="0"/>
        <w:jc w:val="start"/>
        <w:rPr>
          <w:b w:val="false"/>
          <w:bCs w:val="false"/>
          <w:sz w:val="4"/>
          <w:szCs w:val="4"/>
          <w:u w:val="none"/>
        </w:rPr>
      </w:pPr>
      <w:r>
        <w:rPr>
          <w:b w:val="false"/>
          <w:bCs w:val="false"/>
          <w:sz w:val="4"/>
          <w:szCs w:val="4"/>
          <w:u w:val="none"/>
          <w:rtl w:val="true"/>
        </w:rPr>
      </w:r>
    </w:p>
    <w:p>
      <w:pPr>
        <w:pStyle w:val="12"/>
        <w:ind w:end="0"/>
        <w:jc w:val="start"/>
        <w:rPr>
          <w:u w:val="none"/>
        </w:rPr>
      </w:pPr>
      <w:r>
        <w:rPr>
          <w:u w:val="none"/>
          <w:rtl w:val="true"/>
        </w:rPr>
        <w:t xml:space="preserve">מערער </w:t>
      </w:r>
      <w:r>
        <w:rPr>
          <w:u w:val="none"/>
        </w:rPr>
        <w:t>1</w:t>
      </w:r>
      <w:r>
        <w:rPr>
          <w:u w:val="none"/>
          <w:rtl w:val="true"/>
        </w:rPr>
        <w:t xml:space="preserve"> - </w:t>
      </w:r>
      <w:r>
        <w:rPr>
          <w:u w:val="none"/>
          <w:rtl w:val="true"/>
        </w:rPr>
        <w:t>נאשם</w:t>
      </w:r>
      <w:r>
        <w:rPr>
          <w:b w:val="false"/>
          <w:b w:val="false"/>
          <w:bCs w:val="false"/>
          <w:u w:val="none"/>
          <w:rtl w:val="true"/>
        </w:rPr>
        <w:t xml:space="preserve">  </w:t>
      </w:r>
      <w:r>
        <w:rPr>
          <w:u w:val="none"/>
          <w:rtl w:val="true"/>
        </w:rPr>
        <w:t>אבי</w:t>
      </w:r>
      <w:r>
        <w:rPr>
          <w:b w:val="false"/>
          <w:b w:val="false"/>
          <w:bCs w:val="false"/>
          <w:u w:val="none"/>
          <w:rtl w:val="true"/>
        </w:rPr>
        <w:t xml:space="preserve"> </w:t>
      </w:r>
      <w:r>
        <w:rPr>
          <w:u w:val="none"/>
          <w:rtl w:val="true"/>
        </w:rPr>
        <w:t>גיא</w:t>
      </w:r>
    </w:p>
    <w:p>
      <w:pPr>
        <w:pStyle w:val="12"/>
        <w:ind w:end="0"/>
        <w:jc w:val="start"/>
        <w:rPr>
          <w:b w:val="false"/>
          <w:bCs w:val="false"/>
          <w:sz w:val="4"/>
          <w:szCs w:val="4"/>
          <w:u w:val="none"/>
        </w:rPr>
      </w:pPr>
      <w:r>
        <w:rPr>
          <w:b w:val="false"/>
          <w:bCs w:val="false"/>
          <w:sz w:val="4"/>
          <w:szCs w:val="4"/>
          <w:u w:val="none"/>
          <w:rtl w:val="true"/>
        </w:rPr>
      </w:r>
    </w:p>
    <w:p>
      <w:pPr>
        <w:pStyle w:val="12"/>
        <w:ind w:end="0"/>
        <w:jc w:val="start"/>
        <w:rPr>
          <w:b w:val="false"/>
          <w:bCs w:val="false"/>
          <w:sz w:val="4"/>
          <w:szCs w:val="4"/>
          <w:u w:val="none"/>
        </w:rPr>
      </w:pPr>
      <w:r>
        <w:rPr>
          <w:b w:val="false"/>
          <w:bCs w:val="false"/>
          <w:sz w:val="4"/>
          <w:szCs w:val="4"/>
          <w:u w:val="none"/>
          <w:rtl w:val="true"/>
        </w:rPr>
      </w:r>
    </w:p>
    <w:p>
      <w:pPr>
        <w:pStyle w:val="Normal"/>
        <w:spacing w:lineRule="auto" w:line="360"/>
        <w:ind w:end="0"/>
        <w:jc w:val="center"/>
        <w:rPr>
          <w:rFonts w:ascii="Arial" w:hAnsi="Arial" w:cs="Arial"/>
          <w:b/>
          <w:color w:val="FF0000"/>
          <w:sz w:val="28"/>
        </w:rPr>
      </w:pPr>
      <w:r>
        <w:rPr>
          <w:rFonts w:ascii="Arial" w:hAnsi="Arial" w:cs="Arial"/>
          <w:b/>
          <w:b/>
          <w:color w:val="FF0000"/>
          <w:sz w:val="28"/>
          <w:sz w:val="28"/>
          <w:rtl w:val="true"/>
        </w:rPr>
        <w:t>במסמך זה הושמטו פרוטוקול</w:t>
      </w:r>
      <w:bookmarkStart w:id="3" w:name="LawTable"/>
      <w:bookmarkEnd w:id="3"/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b/>
          <w:color w:val="FF0000"/>
          <w:sz w:val="28"/>
        </w:rPr>
      </w:pPr>
      <w:r>
        <w:rPr>
          <w:rFonts w:cs="FrankRuehl" w:ascii="FrankRuehl" w:hAnsi="FrankRuehl"/>
          <w:b/>
          <w:color w:val="FF0000"/>
          <w:sz w:val="28"/>
          <w:rtl w:val="true"/>
        </w:rPr>
      </w:r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color w:val="FF0000"/>
        </w:rPr>
      </w:pPr>
      <w:r>
        <w:rPr>
          <w:rFonts w:ascii="FrankRuehl" w:hAnsi="FrankRuehl" w:cs="FrankRuehl"/>
          <w:color w:val="FF0000"/>
          <w:rtl w:val="true"/>
        </w:rPr>
        <w:t>חקיקה שאוזכרה</w:t>
      </w:r>
      <w:r>
        <w:rPr>
          <w:rFonts w:cs="FrankRuehl" w:ascii="FrankRuehl" w:hAnsi="FrankRuehl"/>
          <w:color w:val="FF0000"/>
          <w:rtl w:val="true"/>
        </w:rPr>
        <w:t xml:space="preserve">: </w:t>
      </w:r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color w:val="0000FF"/>
          <w:u w:val="single"/>
        </w:rPr>
      </w:pPr>
      <w:hyperlink r:id="rId2">
        <w:r>
          <w:rPr>
            <w:rStyle w:val="Hyperlink"/>
            <w:rFonts w:ascii="FrankRuehl" w:hAnsi="FrankRuehl" w:cs="FrankRuehl"/>
            <w:rtl w:val="true"/>
          </w:rPr>
          <w:t xml:space="preserve">פקודת הסמים המסוכנים </w:t>
        </w:r>
        <w:r>
          <w:rPr>
            <w:rStyle w:val="Hyperlink"/>
            <w:rFonts w:cs="FrankRuehl" w:ascii="FrankRuehl" w:hAnsi="FrankRuehl"/>
            <w:rtl w:val="true"/>
          </w:rPr>
          <w:t>[</w:t>
        </w:r>
        <w:r>
          <w:rPr>
            <w:rStyle w:val="Hyperlink"/>
            <w:rFonts w:ascii="FrankRuehl" w:hAnsi="FrankRuehl" w:cs="FrankRuehl"/>
            <w:rtl w:val="true"/>
          </w:rPr>
          <w:t>נוסח חדש</w:t>
        </w:r>
        <w:r>
          <w:rPr>
            <w:rStyle w:val="Hyperlink"/>
            <w:rFonts w:cs="FrankRuehl" w:ascii="FrankRuehl" w:hAnsi="FrankRuehl"/>
            <w:rtl w:val="true"/>
          </w:rPr>
          <w:t xml:space="preserve">], </w:t>
        </w:r>
        <w:r>
          <w:rPr>
            <w:rStyle w:val="Hyperlink"/>
            <w:rFonts w:ascii="FrankRuehl" w:hAnsi="FrankRuehl" w:cs="FrankRuehl"/>
            <w:rtl w:val="true"/>
          </w:rPr>
          <w:t>תשל</w:t>
        </w:r>
        <w:r>
          <w:rPr>
            <w:rStyle w:val="Hyperlink"/>
            <w:rFonts w:cs="FrankRuehl" w:ascii="FrankRuehl" w:hAnsi="FrankRuehl"/>
            <w:rtl w:val="true"/>
          </w:rPr>
          <w:t>"</w:t>
        </w:r>
        <w:r>
          <w:rPr>
            <w:rStyle w:val="Hyperlink"/>
            <w:rFonts w:ascii="FrankRuehl" w:hAnsi="FrankRuehl" w:cs="FrankRuehl"/>
            <w:rtl w:val="true"/>
          </w:rPr>
          <w:t>ג</w:t>
        </w:r>
        <w:r>
          <w:rPr>
            <w:rStyle w:val="Hyperlink"/>
            <w:rFonts w:cs="FrankRuehl" w:ascii="FrankRuehl" w:hAnsi="FrankRuehl"/>
            <w:rtl w:val="true"/>
          </w:rPr>
          <w:t>-</w:t>
        </w:r>
        <w:r>
          <w:rPr>
            <w:rStyle w:val="Hyperlink"/>
            <w:rFonts w:cs="FrankRuehl" w:ascii="FrankRuehl" w:hAnsi="FrankRuehl"/>
          </w:rPr>
          <w:t>1973</w:t>
        </w:r>
      </w:hyperlink>
      <w:r>
        <w:rPr>
          <w:rFonts w:cs="FrankRuehl" w:ascii="FrankRuehl" w:hAnsi="FrankRuehl"/>
          <w:color w:val="0000FF"/>
          <w:u w:val="single"/>
          <w:rtl w:val="true"/>
        </w:rPr>
        <w:t xml:space="preserve">: </w:t>
      </w:r>
      <w:r>
        <w:rPr>
          <w:rFonts w:ascii="FrankRuehl" w:hAnsi="FrankRuehl" w:cs="FrankRuehl"/>
          <w:color w:val="0000FF"/>
          <w:u w:val="single"/>
          <w:rtl w:val="true"/>
        </w:rPr>
        <w:t>סע</w:t>
      </w:r>
      <w:r>
        <w:rPr>
          <w:rFonts w:cs="FrankRuehl" w:ascii="FrankRuehl" w:hAnsi="FrankRuehl"/>
          <w:color w:val="0000FF"/>
          <w:u w:val="single"/>
          <w:rtl w:val="true"/>
        </w:rPr>
        <w:t xml:space="preserve">'  </w:t>
      </w:r>
      <w:hyperlink r:id="rId3">
        <w:r>
          <w:rPr>
            <w:rStyle w:val="Hyperlink"/>
            <w:rFonts w:cs="FrankRuehl" w:ascii="FrankRuehl" w:hAnsi="FrankRuehl"/>
          </w:rPr>
          <w:t>6</w:t>
        </w:r>
      </w:hyperlink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color w:val="0000FF"/>
          <w:u w:val="single"/>
        </w:rPr>
      </w:pPr>
      <w:r>
        <w:rPr>
          <w:rFonts w:cs="FrankRuehl" w:ascii="FrankRuehl" w:hAnsi="FrankRuehl"/>
          <w:color w:val="0000FF"/>
          <w:u w:val="single"/>
          <w:rtl w:val="true"/>
        </w:rPr>
      </w:r>
    </w:p>
    <w:p>
      <w:pPr>
        <w:pStyle w:val="Normal"/>
        <w:spacing w:lineRule="auto" w:line="360"/>
        <w:ind w:end="0"/>
        <w:jc w:val="center"/>
        <w:rPr>
          <w:rFonts w:ascii="Arial" w:hAnsi="Arial" w:cs="Arial"/>
          <w:sz w:val="28"/>
        </w:rPr>
      </w:pPr>
      <w:r>
        <w:rPr>
          <w:rFonts w:cs="Arial" w:ascii="Arial" w:hAnsi="Arial"/>
          <w:sz w:val="28"/>
          <w:rtl w:val="true"/>
        </w:rPr>
      </w:r>
      <w:bookmarkStart w:id="4" w:name="LawTable_End"/>
      <w:bookmarkStart w:id="5" w:name="LawTable_End"/>
      <w:bookmarkEnd w:id="5"/>
    </w:p>
    <w:p>
      <w:pPr>
        <w:pStyle w:val="Normal"/>
        <w:spacing w:lineRule="auto" w:line="360"/>
        <w:ind w:end="0"/>
        <w:jc w:val="center"/>
        <w:rPr>
          <w:rFonts w:ascii="Arial" w:hAnsi="Arial" w:cs="Arial"/>
          <w:b/>
          <w:color w:val="FF0000"/>
          <w:sz w:val="28"/>
        </w:rPr>
      </w:pPr>
      <w:r>
        <w:rPr>
          <w:rFonts w:cs="Arial" w:ascii="Arial" w:hAnsi="Arial"/>
          <w:b/>
          <w:color w:val="FF0000"/>
          <w:sz w:val="28"/>
          <w:rtl w:val="true"/>
        </w:rPr>
      </w:r>
    </w:p>
    <w:p>
      <w:pPr>
        <w:pStyle w:val="Normal"/>
        <w:spacing w:lineRule="auto" w:line="360"/>
        <w:ind w:end="0"/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b/>
          <w:b/>
          <w:color w:val="FF0000"/>
          <w:sz w:val="28"/>
          <w:sz w:val="28"/>
          <w:rtl w:val="true"/>
        </w:rPr>
        <w:t>י</w:t>
      </w:r>
    </w:p>
    <w:p>
      <w:pPr>
        <w:pStyle w:val="Normal"/>
        <w:spacing w:lineRule="auto" w:line="360"/>
        <w:ind w:end="0"/>
        <w:jc w:val="center"/>
        <w:rPr>
          <w:rFonts w:ascii="Arial" w:hAnsi="Arial" w:cs="Arial"/>
          <w:b/>
          <w:color w:val="FF0000"/>
          <w:sz w:val="28"/>
        </w:rPr>
      </w:pPr>
      <w:r>
        <w:rPr>
          <w:rFonts w:cs="Arial" w:ascii="Arial" w:hAnsi="Arial"/>
          <w:b/>
          <w:color w:val="FF0000"/>
          <w:sz w:val="28"/>
          <w:rtl w:val="true"/>
        </w:rPr>
      </w:r>
    </w:p>
    <w:p>
      <w:pPr>
        <w:pStyle w:val="Normal"/>
        <w:spacing w:lineRule="auto" w:line="360"/>
        <w:ind w:end="0"/>
        <w:jc w:val="center"/>
        <w:rPr>
          <w:rFonts w:ascii="Arial" w:hAnsi="Arial" w:cs="Arial"/>
          <w:b/>
          <w:color w:val="FF0000"/>
          <w:sz w:val="28"/>
        </w:rPr>
      </w:pPr>
      <w:r>
        <w:rPr>
          <w:rFonts w:ascii="Arial" w:hAnsi="Arial" w:cs="Arial"/>
          <w:b/>
          <w:b/>
          <w:color w:val="FF0000"/>
          <w:sz w:val="28"/>
          <w:sz w:val="28"/>
          <w:rtl w:val="true"/>
        </w:rPr>
        <w:t>ם</w:t>
      </w:r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</w:rPr>
      </w:pPr>
      <w:r>
        <w:rPr>
          <w:rFonts w:ascii="FrankRuehl" w:hAnsi="FrankRuehl" w:cs="FrankRuehl"/>
          <w:rtl w:val="true"/>
        </w:rPr>
        <w:t>חקיקה שאוזכרה</w:t>
      </w:r>
      <w:r>
        <w:rPr>
          <w:rFonts w:cs="FrankRuehl" w:ascii="FrankRuehl" w:hAnsi="FrankRuehl"/>
          <w:rtl w:val="true"/>
        </w:rPr>
        <w:t xml:space="preserve">: </w:t>
      </w:r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color w:val="0000FF"/>
          <w:u w:val="single"/>
        </w:rPr>
      </w:pPr>
      <w:hyperlink r:id="rId4">
        <w:r>
          <w:rPr>
            <w:rStyle w:val="Hyperlink"/>
            <w:rFonts w:ascii="FrankRuehl" w:hAnsi="FrankRuehl" w:cs="FrankRuehl"/>
            <w:rtl w:val="true"/>
          </w:rPr>
          <w:t xml:space="preserve">פקודת הסמים המסוכנים </w:t>
        </w:r>
        <w:r>
          <w:rPr>
            <w:rStyle w:val="Hyperlink"/>
            <w:rFonts w:cs="FrankRuehl" w:ascii="FrankRuehl" w:hAnsi="FrankRuehl"/>
            <w:rtl w:val="true"/>
          </w:rPr>
          <w:t>[</w:t>
        </w:r>
        <w:r>
          <w:rPr>
            <w:rStyle w:val="Hyperlink"/>
            <w:rFonts w:ascii="FrankRuehl" w:hAnsi="FrankRuehl" w:cs="FrankRuehl"/>
            <w:rtl w:val="true"/>
          </w:rPr>
          <w:t>נוסח חדש</w:t>
        </w:r>
        <w:r>
          <w:rPr>
            <w:rStyle w:val="Hyperlink"/>
            <w:rFonts w:cs="FrankRuehl" w:ascii="FrankRuehl" w:hAnsi="FrankRuehl"/>
            <w:rtl w:val="true"/>
          </w:rPr>
          <w:t xml:space="preserve">], </w:t>
        </w:r>
        <w:r>
          <w:rPr>
            <w:rStyle w:val="Hyperlink"/>
            <w:rFonts w:ascii="FrankRuehl" w:hAnsi="FrankRuehl" w:cs="FrankRuehl"/>
            <w:rtl w:val="true"/>
          </w:rPr>
          <w:t>תשל</w:t>
        </w:r>
        <w:r>
          <w:rPr>
            <w:rStyle w:val="Hyperlink"/>
            <w:rFonts w:cs="FrankRuehl" w:ascii="FrankRuehl" w:hAnsi="FrankRuehl"/>
            <w:rtl w:val="true"/>
          </w:rPr>
          <w:t>"</w:t>
        </w:r>
        <w:r>
          <w:rPr>
            <w:rStyle w:val="Hyperlink"/>
            <w:rFonts w:ascii="FrankRuehl" w:hAnsi="FrankRuehl" w:cs="FrankRuehl"/>
            <w:rtl w:val="true"/>
          </w:rPr>
          <w:t>ג</w:t>
        </w:r>
        <w:r>
          <w:rPr>
            <w:rStyle w:val="Hyperlink"/>
            <w:rFonts w:cs="FrankRuehl" w:ascii="FrankRuehl" w:hAnsi="FrankRuehl"/>
            <w:rtl w:val="true"/>
          </w:rPr>
          <w:t>-</w:t>
        </w:r>
        <w:r>
          <w:rPr>
            <w:rStyle w:val="Hyperlink"/>
            <w:rFonts w:cs="FrankRuehl" w:ascii="FrankRuehl" w:hAnsi="FrankRuehl"/>
          </w:rPr>
          <w:t>1973</w:t>
        </w:r>
      </w:hyperlink>
      <w:r>
        <w:rPr>
          <w:rFonts w:cs="FrankRuehl" w:ascii="FrankRuehl" w:hAnsi="FrankRuehl"/>
          <w:color w:val="0000FF"/>
          <w:u w:val="single"/>
          <w:rtl w:val="true"/>
        </w:rPr>
        <w:t xml:space="preserve">: </w:t>
      </w:r>
      <w:r>
        <w:rPr>
          <w:rFonts w:ascii="FrankRuehl" w:hAnsi="FrankRuehl" w:cs="FrankRuehl"/>
          <w:color w:val="0000FF"/>
          <w:u w:val="single"/>
          <w:rtl w:val="true"/>
        </w:rPr>
        <w:t>סע</w:t>
      </w:r>
      <w:r>
        <w:rPr>
          <w:rFonts w:cs="FrankRuehl" w:ascii="FrankRuehl" w:hAnsi="FrankRuehl"/>
          <w:color w:val="0000FF"/>
          <w:u w:val="single"/>
          <w:rtl w:val="true"/>
        </w:rPr>
        <w:t xml:space="preserve">'  </w:t>
      </w:r>
      <w:hyperlink r:id="rId5">
        <w:r>
          <w:rPr>
            <w:rStyle w:val="Hyperlink"/>
            <w:rFonts w:cs="FrankRuehl" w:ascii="FrankRuehl" w:hAnsi="FrankRuehl"/>
          </w:rPr>
          <w:t>6</w:t>
        </w:r>
      </w:hyperlink>
    </w:p>
    <w:p>
      <w:pPr>
        <w:pStyle w:val="Normal"/>
        <w:spacing w:lineRule="auto" w:line="360"/>
        <w:ind w:end="0"/>
        <w:jc w:val="center"/>
        <w:rPr>
          <w:rFonts w:ascii="Arial" w:hAnsi="Arial" w:cs="Arial"/>
          <w:b/>
          <w:bCs/>
          <w:color w:val="0000FF"/>
          <w:sz w:val="28"/>
          <w:szCs w:val="28"/>
          <w:u w:val="single"/>
        </w:rPr>
      </w:pPr>
      <w:r>
        <w:rPr>
          <w:rFonts w:cs="Arial" w:ascii="Arial" w:hAnsi="Arial"/>
          <w:b/>
          <w:bCs/>
          <w:color w:val="0000FF"/>
          <w:sz w:val="28"/>
          <w:szCs w:val="28"/>
          <w:u w:val="single"/>
          <w:rtl w:val="true"/>
        </w:rPr>
      </w:r>
    </w:p>
    <w:p>
      <w:pPr>
        <w:pStyle w:val="Normal"/>
        <w:spacing w:lineRule="auto" w:line="360"/>
        <w:ind w:end="0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bookmarkStart w:id="6" w:name="PsakDin"/>
      <w:bookmarkEnd w:id="6"/>
      <w:r>
        <w:rPr>
          <w:rFonts w:ascii="Arial" w:hAnsi="Arial" w:cs="Arial"/>
          <w:b/>
          <w:b/>
          <w:bCs/>
          <w:sz w:val="28"/>
          <w:sz w:val="28"/>
          <w:szCs w:val="28"/>
          <w:u w:val="single"/>
          <w:rtl w:val="true"/>
        </w:rPr>
        <w:t>פסק דין</w:t>
      </w:r>
    </w:p>
    <w:p>
      <w:pPr>
        <w:pStyle w:val="David"/>
        <w:ind w:hanging="720" w:start="720" w:end="0"/>
        <w:jc w:val="both"/>
        <w:rPr>
          <w:rFonts w:ascii="David" w:hAnsi="David" w:cs="David"/>
        </w:rPr>
      </w:pPr>
      <w:bookmarkStart w:id="7" w:name="PsakDin"/>
      <w:bookmarkEnd w:id="7"/>
      <w:r>
        <w:rPr>
          <w:rFonts w:cs="David" w:ascii="David" w:hAnsi="David"/>
        </w:rPr>
        <w:t>1</w:t>
      </w:r>
      <w:r>
        <w:rPr>
          <w:rFonts w:cs="David" w:ascii="David" w:hAnsi="David"/>
          <w:rtl w:val="true"/>
        </w:rPr>
        <w:t>.</w:t>
        <w:tab/>
      </w:r>
      <w:bookmarkStart w:id="8" w:name="ABSTRACT_START"/>
      <w:bookmarkEnd w:id="8"/>
      <w:r>
        <w:rPr>
          <w:rFonts w:ascii="David" w:hAnsi="David" w:cs="David"/>
          <w:rtl w:val="true"/>
        </w:rPr>
        <w:t>המערער הורשע בבית משפט קמא בעבירה של גידול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 w:cs="David"/>
          <w:rtl w:val="true"/>
        </w:rPr>
        <w:t>ייצור והכנת סמים מסוכנים</w:t>
      </w:r>
      <w:bookmarkStart w:id="9" w:name="ABSTRACT_END"/>
      <w:bookmarkEnd w:id="9"/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 w:cs="David"/>
          <w:rtl w:val="true"/>
        </w:rPr>
        <w:t xml:space="preserve">עבירה על </w:t>
      </w:r>
      <w:hyperlink r:id="rId6">
        <w:r>
          <w:rPr>
            <w:rStyle w:val="Hyperlink"/>
            <w:rFonts w:ascii="David" w:hAnsi="David" w:cs="David"/>
            <w:rtl w:val="true"/>
          </w:rPr>
          <w:t>סעיף</w:t>
        </w:r>
        <w:r>
          <w:rPr>
            <w:rStyle w:val="Hyperlink"/>
            <w:rFonts w:ascii="David" w:hAnsi="David" w:cs="David"/>
            <w:rtl w:val="true"/>
          </w:rPr>
          <w:t xml:space="preserve"> </w:t>
        </w:r>
        <w:r>
          <w:rPr>
            <w:rStyle w:val="Hyperlink"/>
            <w:rFonts w:cs="David" w:ascii="David" w:hAnsi="David"/>
          </w:rPr>
          <w:t>6</w:t>
        </w:r>
      </w:hyperlink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 w:cs="David"/>
          <w:rtl w:val="true"/>
        </w:rPr>
        <w:t>ל</w:t>
      </w:r>
      <w:hyperlink r:id="rId7">
        <w:r>
          <w:rPr>
            <w:rStyle w:val="Hyperlink"/>
            <w:rFonts w:ascii="David" w:hAnsi="David" w:cs="David"/>
            <w:color w:val="0000FF"/>
            <w:u w:val="single"/>
            <w:rtl w:val="true"/>
          </w:rPr>
          <w:t>פקודת הסמים המסוכנים</w:t>
        </w:r>
      </w:hyperlink>
      <w:r>
        <w:rPr>
          <w:rFonts w:cs="David" w:ascii="David" w:hAnsi="David"/>
          <w:rtl w:val="true"/>
        </w:rPr>
        <w:t xml:space="preserve">. </w:t>
      </w:r>
    </w:p>
    <w:p>
      <w:pPr>
        <w:pStyle w:val="David"/>
        <w:ind w:end="0"/>
        <w:jc w:val="both"/>
        <w:rPr>
          <w:rFonts w:ascii="David" w:hAnsi="David" w:cs="David"/>
        </w:rPr>
      </w:pPr>
      <w:r>
        <w:rPr>
          <w:rFonts w:cs="David" w:ascii="David" w:hAnsi="David"/>
          <w:rtl w:val="true"/>
        </w:rPr>
      </w:r>
    </w:p>
    <w:p>
      <w:pPr>
        <w:pStyle w:val="David"/>
        <w:ind w:start="720" w:end="0"/>
        <w:jc w:val="both"/>
        <w:rPr>
          <w:rFonts w:ascii="David" w:hAnsi="David" w:cs="David"/>
        </w:rPr>
      </w:pPr>
      <w:r>
        <w:rPr>
          <w:rFonts w:ascii="David" w:hAnsi="David" w:cs="David"/>
          <w:rtl w:val="true"/>
        </w:rPr>
        <w:t>בבית משפט קמא הגיעו הצדדים להסדר טיעון חלקי שאליו נתייחס בהמשך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 w:cs="David"/>
          <w:rtl w:val="true"/>
        </w:rPr>
        <w:t>בעקבות הסדר הטיעון נשלח המערער גם לקבלת תסקיר שירות מבחן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 w:cs="David"/>
          <w:rtl w:val="true"/>
        </w:rPr>
        <w:t xml:space="preserve">נבהיר כי בפנינו מונח היום תסקיר נוסף עדכני ביותר מיום </w:t>
      </w:r>
      <w:r>
        <w:rPr>
          <w:rFonts w:cs="David" w:ascii="David" w:hAnsi="David"/>
        </w:rPr>
        <w:t>15.2.15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 w:cs="David"/>
          <w:rtl w:val="true"/>
        </w:rPr>
        <w:t>לאחר שקיבל את התסקיר והתייחס לנסיבות התיק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 w:cs="David"/>
          <w:rtl w:val="true"/>
        </w:rPr>
        <w:t xml:space="preserve">הטיל בית משפט קמא </w:t>
      </w:r>
      <w:r>
        <w:rPr>
          <w:rFonts w:cs="David" w:ascii="David" w:hAnsi="David"/>
          <w:rtl w:val="true"/>
        </w:rPr>
        <w:t>(</w:t>
      </w:r>
      <w:r>
        <w:rPr>
          <w:rFonts w:ascii="David" w:hAnsi="David" w:cs="David"/>
          <w:rtl w:val="true"/>
        </w:rPr>
        <w:t>כב</w:t>
      </w:r>
      <w:r>
        <w:rPr>
          <w:rFonts w:cs="David" w:ascii="David" w:hAnsi="David"/>
          <w:rtl w:val="true"/>
        </w:rPr>
        <w:t xml:space="preserve">' </w:t>
      </w:r>
      <w:r>
        <w:rPr>
          <w:rFonts w:ascii="David" w:hAnsi="David" w:cs="David"/>
          <w:rtl w:val="true"/>
        </w:rPr>
        <w:t>השופטת ד</w:t>
      </w:r>
      <w:r>
        <w:rPr>
          <w:rFonts w:cs="David" w:ascii="David" w:hAnsi="David"/>
          <w:rtl w:val="true"/>
        </w:rPr>
        <w:t xml:space="preserve">' </w:t>
      </w:r>
      <w:r>
        <w:rPr>
          <w:rFonts w:ascii="David" w:hAnsi="David" w:cs="David"/>
          <w:rtl w:val="true"/>
        </w:rPr>
        <w:t>שריזלי</w:t>
      </w:r>
      <w:r>
        <w:rPr>
          <w:rFonts w:cs="David" w:ascii="David" w:hAnsi="David"/>
          <w:rtl w:val="true"/>
        </w:rPr>
        <w:t xml:space="preserve">) </w:t>
      </w:r>
      <w:r>
        <w:rPr>
          <w:rFonts w:ascii="David" w:hAnsi="David" w:cs="David"/>
          <w:rtl w:val="true"/>
        </w:rPr>
        <w:t>את העונשים הבאים</w:t>
      </w:r>
      <w:r>
        <w:rPr>
          <w:rFonts w:cs="David" w:ascii="David" w:hAnsi="David"/>
          <w:rtl w:val="true"/>
        </w:rPr>
        <w:t xml:space="preserve">: </w:t>
      </w:r>
    </w:p>
    <w:p>
      <w:pPr>
        <w:pStyle w:val="David"/>
        <w:ind w:firstLine="720" w:end="0"/>
        <w:jc w:val="both"/>
        <w:rPr>
          <w:rFonts w:ascii="David" w:hAnsi="David" w:cs="David"/>
        </w:rPr>
      </w:pPr>
      <w:r>
        <w:rPr>
          <w:rFonts w:ascii="David" w:hAnsi="David" w:cs="David"/>
          <w:rtl w:val="true"/>
        </w:rPr>
        <w:t>א</w:t>
      </w:r>
      <w:r>
        <w:rPr>
          <w:rFonts w:cs="David" w:ascii="David" w:hAnsi="David"/>
          <w:rtl w:val="true"/>
        </w:rPr>
        <w:t>.</w:t>
        <w:tab/>
      </w:r>
      <w:r>
        <w:rPr>
          <w:rFonts w:ascii="David" w:hAnsi="David" w:cs="David"/>
          <w:rtl w:val="true"/>
        </w:rPr>
        <w:t xml:space="preserve">מאסר בפועל בן </w:t>
      </w:r>
      <w:r>
        <w:rPr>
          <w:rFonts w:cs="David" w:ascii="David" w:hAnsi="David"/>
        </w:rPr>
        <w:t>8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 w:cs="David"/>
          <w:rtl w:val="true"/>
        </w:rPr>
        <w:t>חודשים</w:t>
      </w:r>
      <w:r>
        <w:rPr>
          <w:rFonts w:cs="David" w:ascii="David" w:hAnsi="David"/>
          <w:rtl w:val="true"/>
        </w:rPr>
        <w:t>.</w:t>
      </w:r>
    </w:p>
    <w:p>
      <w:pPr>
        <w:pStyle w:val="David"/>
        <w:ind w:firstLine="720" w:end="0"/>
        <w:jc w:val="both"/>
        <w:rPr>
          <w:rFonts w:ascii="David" w:hAnsi="David" w:cs="David"/>
        </w:rPr>
      </w:pPr>
      <w:r>
        <w:rPr>
          <w:rFonts w:ascii="David" w:hAnsi="David" w:cs="David"/>
          <w:rtl w:val="true"/>
        </w:rPr>
        <w:t>ב</w:t>
      </w:r>
      <w:r>
        <w:rPr>
          <w:rFonts w:cs="David" w:ascii="David" w:hAnsi="David"/>
          <w:rtl w:val="true"/>
        </w:rPr>
        <w:t>.</w:t>
        <w:tab/>
      </w:r>
      <w:r>
        <w:rPr>
          <w:rFonts w:ascii="David" w:hAnsi="David" w:cs="David"/>
          <w:rtl w:val="true"/>
        </w:rPr>
        <w:t xml:space="preserve">מאסר על תנאי בן </w:t>
      </w:r>
      <w:r>
        <w:rPr>
          <w:rFonts w:cs="David" w:ascii="David" w:hAnsi="David"/>
        </w:rPr>
        <w:t>6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 w:cs="David"/>
          <w:rtl w:val="true"/>
        </w:rPr>
        <w:t>חודשים שהיה תלוי ועומד נגד המערער</w:t>
      </w:r>
      <w:r>
        <w:rPr>
          <w:rFonts w:cs="David" w:ascii="David" w:hAnsi="David"/>
          <w:rtl w:val="true"/>
        </w:rPr>
        <w:t>.</w:t>
      </w:r>
    </w:p>
    <w:p>
      <w:pPr>
        <w:pStyle w:val="David"/>
        <w:ind w:hanging="720" w:start="1440" w:end="0"/>
        <w:jc w:val="both"/>
        <w:rPr>
          <w:rFonts w:ascii="David" w:hAnsi="David" w:cs="David"/>
        </w:rPr>
      </w:pPr>
      <w:r>
        <w:rPr>
          <w:rFonts w:ascii="David" w:hAnsi="David" w:cs="David"/>
          <w:rtl w:val="true"/>
        </w:rPr>
        <w:t>ג</w:t>
      </w:r>
      <w:r>
        <w:rPr>
          <w:rFonts w:cs="David" w:ascii="David" w:hAnsi="David"/>
          <w:rtl w:val="true"/>
        </w:rPr>
        <w:t>.</w:t>
        <w:tab/>
      </w:r>
      <w:r>
        <w:rPr>
          <w:rFonts w:ascii="David" w:hAnsi="David" w:cs="David"/>
          <w:rtl w:val="true"/>
        </w:rPr>
        <w:t>עונשי המאסר בפועל ועונשי המאסר על תנאי ירוצו חלקית בחופף וחלקית במצטבר זה לזה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 w:cs="David"/>
          <w:rtl w:val="true"/>
        </w:rPr>
        <w:t>כאשר מתוך תקופה זו תנוכה התקופה בה שהה במעצר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 w:cs="David"/>
          <w:rtl w:val="true"/>
        </w:rPr>
        <w:t>כך שסה</w:t>
      </w:r>
      <w:r>
        <w:rPr>
          <w:rFonts w:cs="David" w:ascii="David" w:hAnsi="David"/>
          <w:rtl w:val="true"/>
        </w:rPr>
        <w:t>"</w:t>
      </w:r>
      <w:r>
        <w:rPr>
          <w:rFonts w:ascii="David" w:hAnsi="David" w:cs="David"/>
          <w:rtl w:val="true"/>
        </w:rPr>
        <w:t xml:space="preserve">כ ירצה המערער </w:t>
      </w:r>
      <w:r>
        <w:rPr>
          <w:rFonts w:cs="David" w:ascii="David" w:hAnsi="David"/>
        </w:rPr>
        <w:t>10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 w:cs="David"/>
          <w:rtl w:val="true"/>
        </w:rPr>
        <w:t>חודשי מאסר</w:t>
      </w:r>
      <w:r>
        <w:rPr>
          <w:rFonts w:cs="David" w:ascii="David" w:hAnsi="David"/>
          <w:rtl w:val="true"/>
        </w:rPr>
        <w:t xml:space="preserve">.  </w:t>
      </w:r>
    </w:p>
    <w:p>
      <w:pPr>
        <w:pStyle w:val="David"/>
        <w:ind w:hanging="720" w:start="1440" w:end="0"/>
        <w:jc w:val="both"/>
        <w:rPr>
          <w:rFonts w:ascii="David" w:hAnsi="David" w:cs="David"/>
        </w:rPr>
      </w:pPr>
      <w:r>
        <w:rPr>
          <w:rFonts w:ascii="David" w:hAnsi="David" w:cs="David"/>
          <w:rtl w:val="true"/>
        </w:rPr>
        <w:t>ד</w:t>
      </w:r>
      <w:r>
        <w:rPr>
          <w:rFonts w:cs="David" w:ascii="David" w:hAnsi="David"/>
          <w:rtl w:val="true"/>
        </w:rPr>
        <w:t>.</w:t>
        <w:tab/>
      </w:r>
      <w:r>
        <w:rPr>
          <w:rFonts w:ascii="David" w:hAnsi="David" w:cs="David"/>
          <w:rtl w:val="true"/>
        </w:rPr>
        <w:t>בנוסף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 w:cs="David"/>
          <w:rtl w:val="true"/>
        </w:rPr>
        <w:t>הוטלו על המערער עונשי מאסר על תנאי לתקופות משתנות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 w:cs="David"/>
          <w:rtl w:val="true"/>
        </w:rPr>
        <w:t xml:space="preserve">בהתחשב בעבירות שמפעילות אותם וכן קנס כספי בסך </w:t>
      </w:r>
      <w:r>
        <w:rPr>
          <w:rFonts w:cs="David" w:ascii="David" w:hAnsi="David"/>
        </w:rPr>
        <w:t>1,000</w:t>
      </w:r>
      <w:r>
        <w:rPr>
          <w:rFonts w:cs="David" w:ascii="David" w:hAnsi="David"/>
          <w:rtl w:val="true"/>
        </w:rPr>
        <w:t xml:space="preserve"> ₪.</w:t>
      </w:r>
    </w:p>
    <w:p>
      <w:pPr>
        <w:pStyle w:val="David"/>
        <w:ind w:hanging="720" w:start="720" w:end="0"/>
        <w:jc w:val="both"/>
        <w:rPr>
          <w:rFonts w:ascii="David" w:hAnsi="David" w:cs="David"/>
        </w:rPr>
      </w:pPr>
      <w:r>
        <w:rPr>
          <w:rFonts w:cs="David" w:ascii="David" w:hAnsi="David"/>
          <w:rtl w:val="true"/>
        </w:rPr>
      </w:r>
    </w:p>
    <w:p>
      <w:pPr>
        <w:pStyle w:val="David"/>
        <w:ind w:start="720" w:end="0"/>
        <w:jc w:val="both"/>
        <w:rPr>
          <w:rFonts w:ascii="David" w:hAnsi="David" w:cs="David"/>
        </w:rPr>
      </w:pPr>
      <w:r>
        <w:rPr>
          <w:rFonts w:ascii="David" w:hAnsi="David" w:cs="David"/>
          <w:rtl w:val="true"/>
        </w:rPr>
        <w:t>על גזר הדין הערעור בפנינו</w:t>
      </w:r>
      <w:r>
        <w:rPr>
          <w:rFonts w:cs="David" w:ascii="David" w:hAnsi="David"/>
          <w:rtl w:val="true"/>
        </w:rPr>
        <w:t xml:space="preserve">. </w:t>
      </w:r>
    </w:p>
    <w:p>
      <w:pPr>
        <w:pStyle w:val="David"/>
        <w:ind w:hanging="720" w:start="720" w:end="0"/>
        <w:jc w:val="both"/>
        <w:rPr>
          <w:rFonts w:ascii="David" w:hAnsi="David" w:cs="David"/>
        </w:rPr>
      </w:pPr>
      <w:r>
        <w:rPr>
          <w:rFonts w:cs="David" w:ascii="David" w:hAnsi="David"/>
          <w:rtl w:val="true"/>
        </w:rPr>
      </w:r>
    </w:p>
    <w:p>
      <w:pPr>
        <w:pStyle w:val="David"/>
        <w:ind w:end="0"/>
        <w:jc w:val="both"/>
        <w:rPr>
          <w:rFonts w:ascii="David" w:hAnsi="David" w:cs="David"/>
        </w:rPr>
      </w:pPr>
      <w:r>
        <w:rPr>
          <w:rFonts w:cs="David" w:ascii="David" w:hAnsi="David"/>
        </w:rPr>
        <w:t>2</w:t>
      </w:r>
      <w:r>
        <w:rPr>
          <w:rFonts w:cs="David" w:ascii="David" w:hAnsi="David"/>
          <w:rtl w:val="true"/>
        </w:rPr>
        <w:t>.</w:t>
        <w:tab/>
      </w:r>
      <w:r>
        <w:rPr>
          <w:rFonts w:ascii="David" w:hAnsi="David" w:cs="David"/>
          <w:rtl w:val="true"/>
        </w:rPr>
        <w:t>שני נדבכים עיקריים בהודעת הערעור</w:t>
      </w:r>
      <w:r>
        <w:rPr>
          <w:rFonts w:cs="David" w:ascii="David" w:hAnsi="David"/>
          <w:rtl w:val="true"/>
        </w:rPr>
        <w:t xml:space="preserve">: </w:t>
      </w:r>
    </w:p>
    <w:p>
      <w:pPr>
        <w:pStyle w:val="David"/>
        <w:ind w:start="720" w:end="0"/>
        <w:jc w:val="both"/>
        <w:rPr>
          <w:rFonts w:ascii="David" w:hAnsi="David" w:cs="David"/>
        </w:rPr>
      </w:pPr>
      <w:r>
        <w:rPr>
          <w:rFonts w:ascii="David" w:hAnsi="David" w:cs="David"/>
          <w:rtl w:val="true"/>
        </w:rPr>
        <w:t>הנדבך האחד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 w:cs="David"/>
          <w:rtl w:val="true"/>
        </w:rPr>
        <w:t>במסגרת אותו הסדר טיעון שהוזכר לעיל הסכימה התביעה כי מכתב האישום בעובדה מס</w:t>
      </w:r>
      <w:r>
        <w:rPr>
          <w:rFonts w:cs="David" w:ascii="David" w:hAnsi="David"/>
          <w:rtl w:val="true"/>
        </w:rPr>
        <w:t xml:space="preserve">' </w:t>
      </w:r>
      <w:r>
        <w:rPr>
          <w:rFonts w:cs="David" w:ascii="David" w:hAnsi="David"/>
        </w:rPr>
        <w:t>1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 w:cs="David"/>
          <w:rtl w:val="true"/>
        </w:rPr>
        <w:t xml:space="preserve">יימחקו המילים </w:t>
      </w:r>
      <w:r>
        <w:rPr>
          <w:rFonts w:cs="David" w:ascii="David" w:hAnsi="David"/>
          <w:rtl w:val="true"/>
        </w:rPr>
        <w:t>"</w:t>
      </w:r>
      <w:r>
        <w:rPr>
          <w:rFonts w:ascii="David" w:hAnsi="David" w:cs="David"/>
          <w:rtl w:val="true"/>
        </w:rPr>
        <w:t>שלא לצריכה עצמית</w:t>
      </w:r>
      <w:r>
        <w:rPr>
          <w:rFonts w:cs="David" w:ascii="David" w:hAnsi="David"/>
          <w:rtl w:val="true"/>
        </w:rPr>
        <w:t xml:space="preserve">". </w:t>
      </w:r>
      <w:r>
        <w:rPr>
          <w:rFonts w:ascii="David" w:hAnsi="David" w:cs="David"/>
          <w:rtl w:val="true"/>
        </w:rPr>
        <w:t>על מחיקה זו משתית הסנגור חלק נכבד מטיעונו</w:t>
      </w:r>
      <w:r>
        <w:rPr>
          <w:rFonts w:cs="David" w:ascii="David" w:hAnsi="David"/>
          <w:rtl w:val="true"/>
        </w:rPr>
        <w:t xml:space="preserve">. </w:t>
      </w:r>
    </w:p>
    <w:p>
      <w:pPr>
        <w:pStyle w:val="David"/>
        <w:ind w:start="720" w:end="0"/>
        <w:jc w:val="both"/>
        <w:rPr>
          <w:rFonts w:ascii="David" w:hAnsi="David" w:cs="David"/>
        </w:rPr>
      </w:pPr>
      <w:r>
        <w:rPr>
          <w:rFonts w:ascii="David" w:hAnsi="David" w:cs="David"/>
          <w:rtl w:val="true"/>
        </w:rPr>
        <w:t>הנדבך השני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 w:cs="David"/>
          <w:rtl w:val="true"/>
        </w:rPr>
        <w:t>הסנגור טוען כי המערער עבר תהליך שיקום משמעותי ומרשים והיה מקום על כן לסטות ממתחם הענישה שקבע בית משפט קמא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 w:cs="David"/>
          <w:rtl w:val="true"/>
        </w:rPr>
        <w:t>גם בהנחה שמתחם זה הוא מתחם ראוי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 w:cs="David"/>
          <w:rtl w:val="true"/>
        </w:rPr>
        <w:t>מטעמי שיקום</w:t>
      </w:r>
      <w:r>
        <w:rPr>
          <w:rFonts w:cs="David" w:ascii="David" w:hAnsi="David"/>
          <w:rtl w:val="true"/>
        </w:rPr>
        <w:t xml:space="preserve">. </w:t>
      </w:r>
    </w:p>
    <w:p>
      <w:pPr>
        <w:pStyle w:val="David"/>
        <w:ind w:end="0"/>
        <w:jc w:val="both"/>
        <w:rPr>
          <w:rFonts w:ascii="David" w:hAnsi="David" w:cs="David"/>
        </w:rPr>
      </w:pPr>
      <w:r>
        <w:rPr>
          <w:rFonts w:cs="David" w:ascii="David" w:hAnsi="David"/>
          <w:rtl w:val="true"/>
        </w:rPr>
      </w:r>
    </w:p>
    <w:p>
      <w:pPr>
        <w:pStyle w:val="David"/>
        <w:ind w:hanging="720" w:start="720" w:end="0"/>
        <w:jc w:val="both"/>
        <w:rPr>
          <w:rFonts w:ascii="David" w:hAnsi="David" w:cs="David"/>
        </w:rPr>
      </w:pPr>
      <w:r>
        <w:rPr>
          <w:rFonts w:cs="David" w:ascii="David" w:hAnsi="David"/>
        </w:rPr>
        <w:t>3</w:t>
      </w:r>
      <w:r>
        <w:rPr>
          <w:rFonts w:cs="David" w:ascii="David" w:hAnsi="David"/>
          <w:rtl w:val="true"/>
        </w:rPr>
        <w:t>.</w:t>
        <w:tab/>
      </w:r>
      <w:r>
        <w:rPr>
          <w:rFonts w:ascii="David" w:hAnsi="David" w:cs="David"/>
          <w:rtl w:val="true"/>
        </w:rPr>
        <w:t>התביעה טוענת כי בית משפט לא שגה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 w:cs="David"/>
          <w:rtl w:val="true"/>
        </w:rPr>
        <w:t>אדרבא הוא הלך לקראת המערער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 w:cs="David"/>
          <w:rtl w:val="true"/>
        </w:rPr>
        <w:t xml:space="preserve">התביעה טוענת כי המתחם שקבע בית המשפט בין </w:t>
      </w:r>
      <w:r>
        <w:rPr>
          <w:rFonts w:cs="David" w:ascii="David" w:hAnsi="David"/>
        </w:rPr>
        <w:t>7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 w:cs="David"/>
          <w:rtl w:val="true"/>
        </w:rPr>
        <w:t>ל</w:t>
      </w:r>
      <w:r>
        <w:rPr>
          <w:rFonts w:cs="David" w:ascii="David" w:hAnsi="David"/>
          <w:rtl w:val="true"/>
        </w:rPr>
        <w:t xml:space="preserve">- </w:t>
      </w:r>
      <w:r>
        <w:rPr>
          <w:rFonts w:cs="David" w:ascii="David" w:hAnsi="David"/>
        </w:rPr>
        <w:t>20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 w:cs="David"/>
          <w:rtl w:val="true"/>
        </w:rPr>
        <w:t>חודשי מאסר הוא מתחם מקובל בתיקים מסוג זה ואף נוטה לקולא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 w:cs="David"/>
          <w:rtl w:val="true"/>
        </w:rPr>
        <w:t>ובענין זה הוגשו לעיוננו מספר פסקי דין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 w:cs="David"/>
          <w:rtl w:val="true"/>
        </w:rPr>
        <w:t>ובאשר לשיקום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 w:cs="David"/>
          <w:rtl w:val="true"/>
        </w:rPr>
        <w:t>המערער אכן השתקם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 w:cs="David"/>
          <w:rtl w:val="true"/>
        </w:rPr>
        <w:t>כך עולה מתסקיר שירות המבחן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 w:cs="David"/>
          <w:rtl w:val="true"/>
        </w:rPr>
        <w:t>אולם תהליך השיקום איננו יכול לשאת על גבו את משקל ההכרעה בתיק זה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 w:cs="David"/>
          <w:rtl w:val="true"/>
        </w:rPr>
        <w:t>תהליך שיקום איננו מענה למשמעות העבירה שמדובר בה ולנסיבותיה הספציפיות בתיק זה</w:t>
      </w:r>
      <w:r>
        <w:rPr>
          <w:rFonts w:cs="David" w:ascii="David" w:hAnsi="David"/>
          <w:rtl w:val="true"/>
        </w:rPr>
        <w:t xml:space="preserve">. </w:t>
      </w:r>
    </w:p>
    <w:p>
      <w:pPr>
        <w:pStyle w:val="David"/>
        <w:ind w:hanging="720" w:start="720" w:end="0"/>
        <w:jc w:val="both"/>
        <w:rPr>
          <w:rFonts w:ascii="David" w:hAnsi="David" w:cs="David"/>
        </w:rPr>
      </w:pPr>
      <w:r>
        <w:rPr>
          <w:rFonts w:cs="David" w:ascii="David" w:hAnsi="David"/>
          <w:rtl w:val="true"/>
        </w:rPr>
      </w:r>
    </w:p>
    <w:p>
      <w:pPr>
        <w:pStyle w:val="David"/>
        <w:ind w:hanging="720" w:start="720" w:end="0"/>
        <w:jc w:val="both"/>
        <w:rPr>
          <w:rFonts w:ascii="David" w:hAnsi="David" w:cs="David"/>
        </w:rPr>
      </w:pPr>
      <w:r>
        <w:rPr>
          <w:rFonts w:cs="David" w:ascii="David" w:hAnsi="David"/>
        </w:rPr>
        <w:t>4</w:t>
      </w:r>
      <w:r>
        <w:rPr>
          <w:rFonts w:cs="David" w:ascii="David" w:hAnsi="David"/>
          <w:rtl w:val="true"/>
        </w:rPr>
        <w:t>.</w:t>
        <w:tab/>
      </w:r>
      <w:r>
        <w:rPr>
          <w:rFonts w:ascii="David" w:hAnsi="David" w:cs="David"/>
          <w:rtl w:val="true"/>
        </w:rPr>
        <w:t>עיינו בהודעת הערעור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 w:cs="David"/>
          <w:rtl w:val="true"/>
        </w:rPr>
        <w:t>עיינו בגזר הדין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 w:cs="David"/>
          <w:rtl w:val="true"/>
        </w:rPr>
        <w:t>שמענו בהרחבה את טיעוני הסנגור ודעתנו היא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 w:cs="David"/>
          <w:rtl w:val="true"/>
        </w:rPr>
        <w:t>כי לא נפלה טעות המחייבת את התערבותנו</w:t>
      </w:r>
      <w:r>
        <w:rPr>
          <w:rFonts w:cs="David" w:ascii="David" w:hAnsi="David"/>
          <w:rtl w:val="true"/>
        </w:rPr>
        <w:t xml:space="preserve">. </w:t>
      </w:r>
    </w:p>
    <w:p>
      <w:pPr>
        <w:pStyle w:val="David"/>
        <w:ind w:hanging="720" w:start="720" w:end="0"/>
        <w:jc w:val="both"/>
        <w:rPr>
          <w:rFonts w:ascii="David" w:hAnsi="David" w:cs="David"/>
        </w:rPr>
      </w:pPr>
      <w:r>
        <w:rPr>
          <w:rFonts w:cs="David" w:ascii="David" w:hAnsi="David"/>
          <w:rtl w:val="true"/>
        </w:rPr>
      </w:r>
    </w:p>
    <w:p>
      <w:pPr>
        <w:pStyle w:val="David"/>
        <w:ind w:start="720" w:end="0"/>
        <w:jc w:val="both"/>
        <w:rPr>
          <w:rFonts w:ascii="David" w:hAnsi="David" w:cs="David"/>
        </w:rPr>
      </w:pPr>
      <w:r>
        <w:rPr>
          <w:rFonts w:ascii="David" w:hAnsi="David" w:cs="David"/>
          <w:rtl w:val="true"/>
        </w:rPr>
        <w:t xml:space="preserve">נתחיל מתיקון כתב האישום </w:t>
      </w:r>
      <w:r>
        <w:rPr>
          <w:rFonts w:ascii="David" w:hAnsi="David" w:cs="David"/>
          <w:rtl w:val="true"/>
        </w:rPr>
        <w:t>–</w:t>
      </w:r>
      <w:r>
        <w:rPr>
          <w:rFonts w:ascii="David" w:hAnsi="David" w:cs="David"/>
          <w:rtl w:val="true"/>
        </w:rPr>
        <w:t xml:space="preserve"> אין מחלוקת כי בכתב האישום המקורי הופיעו המילים </w:t>
      </w:r>
      <w:r>
        <w:rPr>
          <w:rFonts w:cs="David" w:ascii="David" w:hAnsi="David"/>
          <w:rtl w:val="true"/>
        </w:rPr>
        <w:t>"</w:t>
      </w:r>
      <w:r>
        <w:rPr>
          <w:rFonts w:ascii="David" w:hAnsi="David" w:cs="David"/>
          <w:rtl w:val="true"/>
        </w:rPr>
        <w:t xml:space="preserve">גידל הנאשם סם מסוכן מסוג קנאביס שלא לצריכה עצמית במשקל כולל של </w:t>
      </w:r>
      <w:r>
        <w:rPr>
          <w:rFonts w:cs="David" w:ascii="David" w:hAnsi="David"/>
        </w:rPr>
        <w:t>5.535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 w:cs="David"/>
          <w:rtl w:val="true"/>
        </w:rPr>
        <w:t>ק</w:t>
      </w:r>
      <w:r>
        <w:rPr>
          <w:rFonts w:cs="David" w:ascii="David" w:hAnsi="David"/>
          <w:rtl w:val="true"/>
        </w:rPr>
        <w:t>"</w:t>
      </w:r>
      <w:r>
        <w:rPr>
          <w:rFonts w:ascii="David" w:hAnsi="David" w:cs="David"/>
          <w:rtl w:val="true"/>
        </w:rPr>
        <w:t xml:space="preserve">ג וחשיש במשקל של </w:t>
      </w:r>
      <w:r>
        <w:rPr>
          <w:rFonts w:cs="David" w:ascii="David" w:hAnsi="David"/>
        </w:rPr>
        <w:t>1.40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 w:cs="David"/>
          <w:rtl w:val="true"/>
        </w:rPr>
        <w:t>גרם נטו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 w:cs="David"/>
          <w:rtl w:val="true"/>
        </w:rPr>
        <w:t>מילים אלה נמחקו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 w:cs="David"/>
          <w:rtl w:val="true"/>
        </w:rPr>
        <w:t>לשיטתנו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 w:cs="David"/>
          <w:rtl w:val="true"/>
        </w:rPr>
        <w:t xml:space="preserve">המילים </w:t>
      </w:r>
      <w:r>
        <w:rPr>
          <w:rFonts w:cs="David" w:ascii="David" w:hAnsi="David"/>
          <w:rtl w:val="true"/>
        </w:rPr>
        <w:t>"</w:t>
      </w:r>
      <w:r>
        <w:rPr>
          <w:rFonts w:ascii="David" w:hAnsi="David" w:cs="David"/>
          <w:rtl w:val="true"/>
        </w:rPr>
        <w:t>שלא לצריכה עצמית</w:t>
      </w:r>
      <w:r>
        <w:rPr>
          <w:rFonts w:cs="David" w:ascii="David" w:hAnsi="David"/>
          <w:rtl w:val="true"/>
        </w:rPr>
        <w:t xml:space="preserve">" </w:t>
      </w:r>
      <w:r>
        <w:rPr>
          <w:rFonts w:ascii="David" w:hAnsi="David" w:cs="David"/>
          <w:rtl w:val="true"/>
        </w:rPr>
        <w:t>היו מלכתחילה מיותרות ולא היו צריכות להופיע בכתב האישום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 w:cs="David"/>
          <w:rtl w:val="true"/>
        </w:rPr>
        <w:t>שעל כן יש ממש בקביעתה של כב</w:t>
      </w:r>
      <w:r>
        <w:rPr>
          <w:rFonts w:cs="David" w:ascii="David" w:hAnsi="David"/>
          <w:rtl w:val="true"/>
        </w:rPr>
        <w:t xml:space="preserve">' </w:t>
      </w:r>
      <w:r>
        <w:rPr>
          <w:rFonts w:ascii="David" w:hAnsi="David" w:cs="David"/>
          <w:rtl w:val="true"/>
        </w:rPr>
        <w:t>השופטת קמא כי מדובר בתיקון מינורי וקל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 w:cs="David"/>
          <w:rtl w:val="true"/>
        </w:rPr>
        <w:t>מחיקת המילים הללו אינה משנה את אופייה של העבירה ואת העובדות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 w:cs="David"/>
          <w:rtl w:val="true"/>
        </w:rPr>
        <w:t>מדובר במעבדת סם שהתנהלה בדירתו של המערער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 w:cs="David"/>
          <w:rtl w:val="true"/>
        </w:rPr>
        <w:t>אנו מפנים בענין זה גם לאמור בעובדה מס</w:t>
      </w:r>
      <w:r>
        <w:rPr>
          <w:rFonts w:cs="David" w:ascii="David" w:hAnsi="David"/>
          <w:rtl w:val="true"/>
        </w:rPr>
        <w:t xml:space="preserve">' </w:t>
      </w:r>
      <w:r>
        <w:rPr>
          <w:rFonts w:cs="David" w:ascii="David" w:hAnsi="David"/>
        </w:rPr>
        <w:t>2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 w:cs="David"/>
          <w:rtl w:val="true"/>
        </w:rPr>
        <w:t>בכתב האישום המפרטת את אמצעי העזר שנמצאו בדירתו של המערער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 w:cs="David"/>
          <w:rtl w:val="true"/>
        </w:rPr>
        <w:t xml:space="preserve">מדובר בספר בשם </w:t>
      </w:r>
      <w:r>
        <w:rPr>
          <w:rFonts w:cs="David" w:ascii="David" w:hAnsi="David"/>
          <w:rtl w:val="true"/>
        </w:rPr>
        <w:t>"</w:t>
      </w:r>
      <w:r>
        <w:rPr>
          <w:rFonts w:ascii="David" w:hAnsi="David" w:cs="David"/>
          <w:rtl w:val="true"/>
        </w:rPr>
        <w:t>מריחואנה</w:t>
      </w:r>
      <w:r>
        <w:rPr>
          <w:rFonts w:cs="David" w:ascii="David" w:hAnsi="David"/>
          <w:rtl w:val="true"/>
        </w:rPr>
        <w:t xml:space="preserve">" </w:t>
      </w:r>
      <w:r>
        <w:rPr>
          <w:rFonts w:ascii="David" w:hAnsi="David" w:cs="David"/>
          <w:rtl w:val="true"/>
        </w:rPr>
        <w:t>הכולל תמונות והסברים לגידול סם וכן מכשור</w:t>
      </w:r>
      <w:r>
        <w:rPr>
          <w:rFonts w:cs="David" w:ascii="David" w:hAnsi="David"/>
          <w:rtl w:val="true"/>
        </w:rPr>
        <w:t xml:space="preserve">: </w:t>
      </w:r>
      <w:r>
        <w:rPr>
          <w:rFonts w:ascii="David" w:hAnsi="David" w:cs="David"/>
          <w:rtl w:val="true"/>
        </w:rPr>
        <w:t>פילטר אוויר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 w:cs="David"/>
          <w:rtl w:val="true"/>
        </w:rPr>
        <w:t>פילטר מים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 w:cs="David"/>
          <w:rtl w:val="true"/>
        </w:rPr>
        <w:t>שנעי חשמל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 w:cs="David"/>
          <w:rtl w:val="true"/>
        </w:rPr>
        <w:t>לוחות חשמל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 w:cs="David"/>
          <w:rtl w:val="true"/>
        </w:rPr>
        <w:t>כבלים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 w:cs="David"/>
          <w:rtl w:val="true"/>
        </w:rPr>
        <w:t>מפצלים</w:t>
      </w:r>
      <w:r>
        <w:rPr>
          <w:rFonts w:cs="David" w:ascii="David" w:hAnsi="David"/>
          <w:rtl w:val="true"/>
        </w:rPr>
        <w:t xml:space="preserve">, </w:t>
      </w:r>
      <w:r>
        <w:rPr>
          <w:rFonts w:cs="David" w:ascii="David" w:hAnsi="David"/>
        </w:rPr>
        <w:t>6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 w:cs="David"/>
          <w:rtl w:val="true"/>
        </w:rPr>
        <w:t>יחידות של תעלות אוויר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 w:cs="David"/>
          <w:rtl w:val="true"/>
        </w:rPr>
        <w:t>מפוחים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 w:cs="David"/>
          <w:rtl w:val="true"/>
        </w:rPr>
        <w:t>מאוורר ועוד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 w:cs="David"/>
          <w:rtl w:val="true"/>
        </w:rPr>
        <w:t>כל אלה פריטים המצביעים על מיזם בעל כל הציוד הנחוץ לצורך גידולו של הסם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 w:cs="David"/>
          <w:rtl w:val="true"/>
        </w:rPr>
        <w:t>כמות הסם שגודלה אף היא מדברת בעד עצמה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 w:cs="David"/>
          <w:rtl w:val="true"/>
        </w:rPr>
        <w:t xml:space="preserve">אין מחלוקת כי בגזר הדין בשורה הראשונה שלו נפלה טעות כאשר בית המשפט דיבר על </w:t>
      </w:r>
      <w:r>
        <w:rPr>
          <w:rFonts w:cs="David" w:ascii="David" w:hAnsi="David"/>
        </w:rPr>
        <w:t>555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 w:cs="David"/>
          <w:rtl w:val="true"/>
        </w:rPr>
        <w:t>גרם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 w:cs="David"/>
          <w:rtl w:val="true"/>
        </w:rPr>
        <w:t>מדובר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 w:cs="David"/>
          <w:rtl w:val="true"/>
        </w:rPr>
        <w:t>כאמור בכתב האישום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 w:cs="David"/>
          <w:rtl w:val="true"/>
        </w:rPr>
        <w:t>בכ</w:t>
      </w:r>
      <w:r>
        <w:rPr>
          <w:rFonts w:cs="David" w:ascii="David" w:hAnsi="David"/>
          <w:rtl w:val="true"/>
        </w:rPr>
        <w:t xml:space="preserve">- </w:t>
      </w:r>
      <w:r>
        <w:rPr>
          <w:rFonts w:cs="David" w:ascii="David" w:hAnsi="David"/>
        </w:rPr>
        <w:t>5.5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 w:cs="David"/>
          <w:rtl w:val="true"/>
        </w:rPr>
        <w:t>ק</w:t>
      </w:r>
      <w:r>
        <w:rPr>
          <w:rFonts w:cs="David" w:ascii="David" w:hAnsi="David"/>
          <w:rtl w:val="true"/>
        </w:rPr>
        <w:t>"</w:t>
      </w:r>
      <w:r>
        <w:rPr>
          <w:rFonts w:ascii="David" w:hAnsi="David" w:cs="David"/>
          <w:rtl w:val="true"/>
        </w:rPr>
        <w:t>ג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 w:cs="David"/>
          <w:rtl w:val="true"/>
        </w:rPr>
        <w:t>הכמות ומשמעותה אינם טעונים הסבר</w:t>
      </w:r>
      <w:r>
        <w:rPr>
          <w:rFonts w:cs="David" w:ascii="David" w:hAnsi="David"/>
          <w:rtl w:val="true"/>
        </w:rPr>
        <w:t xml:space="preserve">.  </w:t>
      </w:r>
    </w:p>
    <w:p>
      <w:pPr>
        <w:pStyle w:val="David"/>
        <w:ind w:start="720" w:end="0"/>
        <w:jc w:val="both"/>
        <w:rPr>
          <w:rFonts w:ascii="David" w:hAnsi="David" w:cs="David"/>
        </w:rPr>
      </w:pPr>
      <w:r>
        <w:rPr>
          <w:rFonts w:ascii="David" w:hAnsi="David" w:cs="David"/>
          <w:rtl w:val="true"/>
        </w:rPr>
        <w:t>יש ממש בטענת התביעה ולפיה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 w:cs="David"/>
          <w:rtl w:val="true"/>
        </w:rPr>
        <w:t>גם אם הסם לא נועד מלכתחילה לצורכי הפצה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 w:cs="David"/>
          <w:rtl w:val="true"/>
        </w:rPr>
        <w:t>הרי המערער הוא בעל הבית עליו והוא המחליט באשר לשימוש בו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 w:cs="David"/>
          <w:rtl w:val="true"/>
        </w:rPr>
        <w:t>ברצותו עושה בו שימוש עצמי וברצותו שימוש אחר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 w:cs="David"/>
          <w:rtl w:val="true"/>
        </w:rPr>
        <w:t>מכל מקום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 w:cs="David"/>
          <w:rtl w:val="true"/>
        </w:rPr>
        <w:t>מחיקת המילים איננה יכולה לשנות את העובדות הבסיסיות בהן הודה המערער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 w:cs="David"/>
          <w:rtl w:val="true"/>
        </w:rPr>
        <w:t>כמפורט בכתב האישום</w:t>
      </w:r>
      <w:r>
        <w:rPr>
          <w:rFonts w:cs="David" w:ascii="David" w:hAnsi="David"/>
          <w:rtl w:val="true"/>
        </w:rPr>
        <w:t xml:space="preserve">. </w:t>
      </w:r>
    </w:p>
    <w:p>
      <w:pPr>
        <w:pStyle w:val="David"/>
        <w:ind w:hanging="720" w:start="720" w:end="0"/>
        <w:jc w:val="both"/>
        <w:rPr>
          <w:rFonts w:ascii="David" w:hAnsi="David" w:cs="David"/>
        </w:rPr>
      </w:pPr>
      <w:r>
        <w:rPr>
          <w:rFonts w:cs="David" w:ascii="David" w:hAnsi="David"/>
          <w:rtl w:val="true"/>
        </w:rPr>
      </w:r>
    </w:p>
    <w:p>
      <w:pPr>
        <w:pStyle w:val="David"/>
        <w:ind w:hanging="720" w:start="720" w:end="0"/>
        <w:jc w:val="both"/>
        <w:rPr>
          <w:rFonts w:ascii="David" w:hAnsi="David" w:cs="David"/>
        </w:rPr>
      </w:pPr>
      <w:r>
        <w:rPr>
          <w:rFonts w:cs="David" w:ascii="David" w:hAnsi="David"/>
        </w:rPr>
        <w:t>5</w:t>
      </w:r>
      <w:r>
        <w:rPr>
          <w:rFonts w:cs="David" w:ascii="David" w:hAnsi="David"/>
          <w:rtl w:val="true"/>
        </w:rPr>
        <w:t>.</w:t>
        <w:tab/>
      </w:r>
      <w:r>
        <w:rPr>
          <w:rFonts w:ascii="David" w:hAnsi="David" w:cs="David"/>
          <w:rtl w:val="true"/>
        </w:rPr>
        <w:t xml:space="preserve">ובאשר למשמעות העבירה </w:t>
      </w:r>
      <w:r>
        <w:rPr>
          <w:rFonts w:ascii="David" w:hAnsi="David" w:cs="David"/>
          <w:rtl w:val="true"/>
        </w:rPr>
        <w:t>–</w:t>
      </w:r>
      <w:r>
        <w:rPr>
          <w:rFonts w:ascii="David" w:hAnsi="David" w:cs="David"/>
          <w:rtl w:val="true"/>
        </w:rPr>
        <w:t xml:space="preserve"> לצערנו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 w:cs="David"/>
          <w:rtl w:val="true"/>
        </w:rPr>
        <w:t>מזדמן לנו מידי יום ביומו להרחיב את הדיבור על תופעת מעבדות הסם מזווית הראיה שלנו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 w:cs="David"/>
          <w:rtl w:val="true"/>
        </w:rPr>
        <w:t>קרי של ערכאת ערעור שהעיסוק בתחום הפלילי הוא לחם חוקה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 w:cs="David"/>
          <w:rtl w:val="true"/>
        </w:rPr>
        <w:t>דומה שמעבדות הסם הפכו למכת מדינה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 w:cs="David"/>
          <w:rtl w:val="true"/>
        </w:rPr>
        <w:t>נראה שהקלות שבגידול הסם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 w:cs="David"/>
          <w:rtl w:val="true"/>
        </w:rPr>
        <w:t>הבטחון היחסי באי חשיפת העבירה כאשר מדובר בפעילות בתוך תחומי הבית והפוטנציאל הגלום בה משמשים קרקע נוחה להפיכתה לנפוצה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 w:cs="David"/>
          <w:rtl w:val="true"/>
        </w:rPr>
        <w:t>נפוצות העבירה מחייבת אמירה ברורה ונורמטיבית של בתי המשפט העוסקים בתחום זה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 w:cs="David"/>
          <w:rtl w:val="true"/>
        </w:rPr>
        <w:t xml:space="preserve">את דברנו בנושא זה אמרנו למשל </w:t>
      </w:r>
      <w:hyperlink r:id="rId8">
        <w:r>
          <w:rPr>
            <w:rStyle w:val="Hyperlink"/>
            <w:rFonts w:ascii="David" w:hAnsi="David" w:cs="David"/>
            <w:color w:val="0000FF"/>
            <w:u w:val="single"/>
            <w:rtl w:val="true"/>
          </w:rPr>
          <w:t>בע</w:t>
        </w:r>
        <w:r>
          <w:rPr>
            <w:rStyle w:val="Hyperlink"/>
            <w:rFonts w:cs="David" w:ascii="David" w:hAnsi="David"/>
            <w:color w:val="0000FF"/>
            <w:u w:val="single"/>
            <w:rtl w:val="true"/>
          </w:rPr>
          <w:t>"</w:t>
        </w:r>
        <w:r>
          <w:rPr>
            <w:rStyle w:val="Hyperlink"/>
            <w:rFonts w:ascii="David" w:hAnsi="David" w:cs="David"/>
            <w:color w:val="0000FF"/>
            <w:u w:val="single"/>
            <w:rtl w:val="true"/>
          </w:rPr>
          <w:t xml:space="preserve">פ </w:t>
        </w:r>
        <w:r>
          <w:rPr>
            <w:rStyle w:val="Hyperlink"/>
            <w:rFonts w:cs="David" w:ascii="David" w:hAnsi="David"/>
            <w:color w:val="0000FF"/>
            <w:u w:val="single"/>
          </w:rPr>
          <w:t>46738-09-14</w:t>
        </w:r>
      </w:hyperlink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 w:cs="David"/>
          <w:rtl w:val="true"/>
        </w:rPr>
        <w:t xml:space="preserve">שניתן ביום </w:t>
      </w:r>
      <w:r>
        <w:rPr>
          <w:rFonts w:cs="David" w:ascii="David" w:hAnsi="David"/>
        </w:rPr>
        <w:t>31.12.14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 w:cs="David"/>
          <w:rtl w:val="true"/>
        </w:rPr>
        <w:t>שם הרחבנו את הדיבור על משמעות גידול הסם והצורך להילחם בו באמצעות ענישה מרתיעה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 w:cs="David"/>
          <w:rtl w:val="true"/>
        </w:rPr>
        <w:t>דברים שאמרנו שם נכונים גם במקרה הנוכחי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 w:cs="David"/>
          <w:rtl w:val="true"/>
        </w:rPr>
        <w:t>המגדלים והמפיצים מצויים באותו מקום עצמו מבחינה ערכית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 w:cs="David"/>
          <w:rtl w:val="true"/>
        </w:rPr>
        <w:t>מעשית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 w:cs="David"/>
          <w:rtl w:val="true"/>
        </w:rPr>
        <w:t>שלא לדבר על חוקית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 w:cs="David"/>
          <w:rtl w:val="true"/>
        </w:rPr>
        <w:t>שהרי תקרת הענישה זהה</w:t>
      </w:r>
      <w:r>
        <w:rPr>
          <w:rFonts w:cs="David" w:ascii="David" w:hAnsi="David"/>
          <w:rtl w:val="true"/>
        </w:rPr>
        <w:t xml:space="preserve">. </w:t>
      </w:r>
    </w:p>
    <w:p>
      <w:pPr>
        <w:pStyle w:val="David"/>
        <w:ind w:end="0"/>
        <w:jc w:val="both"/>
        <w:rPr>
          <w:rFonts w:ascii="David" w:hAnsi="David" w:cs="David"/>
        </w:rPr>
      </w:pPr>
      <w:r>
        <w:rPr>
          <w:rFonts w:cs="David" w:ascii="David" w:hAnsi="David"/>
          <w:rtl w:val="true"/>
        </w:rPr>
      </w:r>
    </w:p>
    <w:p>
      <w:pPr>
        <w:pStyle w:val="David"/>
        <w:ind w:hanging="720" w:start="720" w:end="0"/>
        <w:jc w:val="both"/>
        <w:rPr>
          <w:rFonts w:ascii="David" w:hAnsi="David" w:cs="David"/>
        </w:rPr>
      </w:pPr>
      <w:r>
        <w:rPr>
          <w:rFonts w:cs="David" w:ascii="David" w:hAnsi="David"/>
        </w:rPr>
        <w:t>6</w:t>
      </w:r>
      <w:r>
        <w:rPr>
          <w:rFonts w:cs="David" w:ascii="David" w:hAnsi="David"/>
          <w:rtl w:val="true"/>
        </w:rPr>
        <w:t>.</w:t>
        <w:tab/>
      </w:r>
      <w:r>
        <w:rPr>
          <w:rFonts w:ascii="David" w:hAnsi="David" w:cs="David"/>
          <w:rtl w:val="true"/>
        </w:rPr>
        <w:t>בהינתן מכלול העובדות שפורטו לעיל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 w:cs="David"/>
          <w:rtl w:val="true"/>
        </w:rPr>
        <w:t xml:space="preserve">מתחם הענישה שקבע בית משפט קמא </w:t>
      </w:r>
      <w:r>
        <w:rPr>
          <w:rFonts w:cs="David" w:ascii="David" w:hAnsi="David"/>
          <w:rtl w:val="true"/>
        </w:rPr>
        <w:t>(</w:t>
      </w:r>
      <w:r>
        <w:rPr>
          <w:rFonts w:ascii="David" w:hAnsi="David" w:cs="David"/>
          <w:rtl w:val="true"/>
        </w:rPr>
        <w:t xml:space="preserve">בין </w:t>
      </w:r>
      <w:r>
        <w:rPr>
          <w:rFonts w:cs="David" w:ascii="David" w:hAnsi="David"/>
        </w:rPr>
        <w:t>7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 w:cs="David"/>
          <w:rtl w:val="true"/>
        </w:rPr>
        <w:t>ל</w:t>
      </w:r>
      <w:r>
        <w:rPr>
          <w:rFonts w:cs="David" w:ascii="David" w:hAnsi="David"/>
          <w:rtl w:val="true"/>
        </w:rPr>
        <w:t xml:space="preserve">- </w:t>
      </w:r>
      <w:r>
        <w:rPr>
          <w:rFonts w:cs="David" w:ascii="David" w:hAnsi="David"/>
        </w:rPr>
        <w:t>20</w:t>
      </w:r>
      <w:r>
        <w:rPr>
          <w:rFonts w:cs="David" w:ascii="David" w:hAnsi="David"/>
          <w:rtl w:val="true"/>
        </w:rPr>
        <w:t xml:space="preserve"> </w:t>
      </w:r>
      <w:r>
        <w:rPr>
          <w:rFonts w:ascii="David" w:hAnsi="David" w:cs="David"/>
          <w:rtl w:val="true"/>
        </w:rPr>
        <w:t>חודשים</w:t>
      </w:r>
      <w:r>
        <w:rPr>
          <w:rFonts w:cs="David" w:ascii="David" w:hAnsi="David"/>
          <w:rtl w:val="true"/>
        </w:rPr>
        <w:t xml:space="preserve">), </w:t>
      </w:r>
      <w:r>
        <w:rPr>
          <w:rFonts w:ascii="David" w:hAnsi="David" w:cs="David"/>
          <w:rtl w:val="true"/>
        </w:rPr>
        <w:t>הוא מתחם ראוי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 w:cs="David"/>
          <w:rtl w:val="true"/>
        </w:rPr>
        <w:t>הפסיקה שהוגשה לעיוננו בשפע רב מצביעה על כך שהמתחם משקף גם את הענישה הנוהגת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 w:cs="David"/>
          <w:rtl w:val="true"/>
        </w:rPr>
        <w:t>שעל כן אין מקום להתערב בו</w:t>
      </w:r>
      <w:r>
        <w:rPr>
          <w:rFonts w:cs="David" w:ascii="David" w:hAnsi="David"/>
          <w:rtl w:val="true"/>
        </w:rPr>
        <w:t xml:space="preserve">. </w:t>
      </w:r>
    </w:p>
    <w:p>
      <w:pPr>
        <w:pStyle w:val="David"/>
        <w:ind w:start="720" w:end="0"/>
        <w:jc w:val="both"/>
        <w:rPr>
          <w:rFonts w:ascii="David" w:hAnsi="David" w:cs="David"/>
        </w:rPr>
      </w:pPr>
      <w:r>
        <w:rPr>
          <w:rFonts w:ascii="David" w:hAnsi="David" w:cs="David"/>
          <w:rtl w:val="true"/>
        </w:rPr>
        <w:t>ובאשר למיקומו של המערער בתוך המתחם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 w:cs="David"/>
          <w:rtl w:val="true"/>
        </w:rPr>
        <w:t>נתנו דעתנו לאמור בתסקירי שירות המבחן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 w:cs="David"/>
          <w:rtl w:val="true"/>
        </w:rPr>
        <w:t>הן התסקיר הראשון והן התסקיר העדכני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 w:cs="David"/>
          <w:rtl w:val="true"/>
        </w:rPr>
        <w:t>הדעת נותנת כי אלמלא האמור בתסקירים אלה היה המערער ממוקם גבוה יותר במתחם שנקבע על</w:t>
      </w:r>
      <w:r>
        <w:rPr>
          <w:rFonts w:cs="David" w:ascii="David" w:hAnsi="David"/>
          <w:rtl w:val="true"/>
        </w:rPr>
        <w:t>-</w:t>
      </w:r>
      <w:r>
        <w:rPr>
          <w:rFonts w:ascii="David" w:hAnsi="David" w:cs="David"/>
          <w:rtl w:val="true"/>
        </w:rPr>
        <w:t>ידי בית משפט קמא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 w:cs="David"/>
          <w:rtl w:val="true"/>
        </w:rPr>
        <w:t>ב</w:t>
      </w:r>
      <w:hyperlink r:id="rId9">
        <w:r>
          <w:rPr>
            <w:rStyle w:val="Hyperlink"/>
            <w:rFonts w:ascii="David" w:hAnsi="David" w:cs="David"/>
            <w:color w:val="0000FF"/>
            <w:u w:val="single"/>
            <w:rtl w:val="true"/>
          </w:rPr>
          <w:t>ע</w:t>
        </w:r>
        <w:r>
          <w:rPr>
            <w:rStyle w:val="Hyperlink"/>
            <w:rFonts w:cs="David" w:ascii="David" w:hAnsi="David"/>
            <w:color w:val="0000FF"/>
            <w:u w:val="single"/>
            <w:rtl w:val="true"/>
          </w:rPr>
          <w:t>"</w:t>
        </w:r>
        <w:r>
          <w:rPr>
            <w:rStyle w:val="Hyperlink"/>
            <w:rFonts w:ascii="David" w:hAnsi="David" w:cs="David"/>
            <w:color w:val="0000FF"/>
            <w:u w:val="single"/>
            <w:rtl w:val="true"/>
          </w:rPr>
          <w:t xml:space="preserve">פ </w:t>
        </w:r>
        <w:r>
          <w:rPr>
            <w:rStyle w:val="Hyperlink"/>
            <w:rFonts w:cs="David" w:ascii="David" w:hAnsi="David"/>
            <w:color w:val="0000FF"/>
            <w:u w:val="single"/>
          </w:rPr>
          <w:t>452/14</w:t>
        </w:r>
      </w:hyperlink>
      <w:r>
        <w:rPr>
          <w:rFonts w:cs="David" w:ascii="David" w:hAnsi="David"/>
          <w:rtl w:val="true"/>
        </w:rPr>
        <w:t xml:space="preserve"> (</w:t>
      </w:r>
      <w:r>
        <w:rPr>
          <w:rFonts w:ascii="David" w:hAnsi="David" w:cs="David"/>
          <w:rtl w:val="true"/>
        </w:rPr>
        <w:t>מפי כב</w:t>
      </w:r>
      <w:r>
        <w:rPr>
          <w:rFonts w:cs="David" w:ascii="David" w:hAnsi="David"/>
          <w:rtl w:val="true"/>
        </w:rPr>
        <w:t xml:space="preserve">' </w:t>
      </w:r>
      <w:r>
        <w:rPr>
          <w:rFonts w:ascii="David" w:hAnsi="David" w:cs="David"/>
          <w:rtl w:val="true"/>
        </w:rPr>
        <w:t>השופט ג</w:t>
      </w:r>
      <w:r>
        <w:rPr>
          <w:rFonts w:cs="David" w:ascii="David" w:hAnsi="David"/>
          <w:rtl w:val="true"/>
        </w:rPr>
        <w:t>'</w:t>
      </w:r>
      <w:r>
        <w:rPr>
          <w:rFonts w:ascii="David" w:hAnsi="David" w:cs="David"/>
          <w:rtl w:val="true"/>
        </w:rPr>
        <w:t>ובראן</w:t>
      </w:r>
      <w:r>
        <w:rPr>
          <w:rFonts w:cs="David" w:ascii="David" w:hAnsi="David"/>
          <w:rtl w:val="true"/>
        </w:rPr>
        <w:t xml:space="preserve">) </w:t>
      </w:r>
      <w:r>
        <w:rPr>
          <w:rFonts w:ascii="David" w:hAnsi="David" w:cs="David"/>
          <w:rtl w:val="true"/>
        </w:rPr>
        <w:t>נאמר</w:t>
      </w:r>
      <w:r>
        <w:rPr>
          <w:rFonts w:cs="David" w:ascii="David" w:hAnsi="David"/>
          <w:rtl w:val="true"/>
        </w:rPr>
        <w:t xml:space="preserve">: </w:t>
      </w:r>
      <w:r>
        <w:rPr>
          <w:rFonts w:cs="David" w:ascii="David" w:hAnsi="David"/>
          <w:b/>
          <w:bCs/>
          <w:rtl w:val="true"/>
        </w:rPr>
        <w:t>"</w:t>
      </w:r>
      <w:r>
        <w:rPr>
          <w:rFonts w:ascii="David" w:hAnsi="David" w:cs="David"/>
          <w:b/>
          <w:b/>
          <w:bCs/>
          <w:rtl w:val="true"/>
        </w:rPr>
        <w:t>שיקול שהשיקום אינו בא להחליף את עיקרון ההלימה ולא בכל מקרה ומקרה הוא יביא לחריגה לקולא ממתחם הענישה שנקבע</w:t>
      </w:r>
      <w:r>
        <w:rPr>
          <w:rFonts w:cs="David" w:ascii="David" w:hAnsi="David"/>
          <w:b/>
          <w:bCs/>
          <w:rtl w:val="true"/>
        </w:rPr>
        <w:t>"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 w:cs="David"/>
          <w:rtl w:val="true"/>
        </w:rPr>
        <w:t>לענייננו המערער מוקם ברף התחתון של המתחם שנקבע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 w:cs="David"/>
          <w:rtl w:val="true"/>
        </w:rPr>
        <w:t>ויש לו על מה לברך</w:t>
      </w:r>
      <w:r>
        <w:rPr>
          <w:rFonts w:cs="David" w:ascii="David" w:hAnsi="David"/>
          <w:rtl w:val="true"/>
        </w:rPr>
        <w:t xml:space="preserve">. </w:t>
      </w:r>
    </w:p>
    <w:p>
      <w:pPr>
        <w:pStyle w:val="David"/>
        <w:ind w:start="720" w:end="0"/>
        <w:jc w:val="both"/>
        <w:rPr>
          <w:rFonts w:ascii="David" w:hAnsi="David" w:cs="David"/>
        </w:rPr>
      </w:pPr>
      <w:r>
        <w:rPr>
          <w:rFonts w:ascii="David" w:hAnsi="David" w:cs="David"/>
          <w:rtl w:val="true"/>
        </w:rPr>
        <w:t>לרוע המזל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 w:cs="David"/>
          <w:rtl w:val="true"/>
        </w:rPr>
        <w:t>המערער נושא על גבו מאסר על תנאי וצדק בית משפט כאשר הפעיל מאסר על תנאי זה</w:t>
      </w:r>
      <w:r>
        <w:rPr>
          <w:rFonts w:cs="David" w:ascii="David" w:hAnsi="David"/>
          <w:rtl w:val="true"/>
        </w:rPr>
        <w:t xml:space="preserve">. </w:t>
      </w:r>
      <w:r>
        <w:rPr>
          <w:rFonts w:ascii="David" w:hAnsi="David" w:cs="David"/>
          <w:rtl w:val="true"/>
        </w:rPr>
        <w:t>בית המשפט הלך לקראת המערער צעד נוסף לקולא כאשר קבע שהמאסר על תנאי יופעל חלקו בחופף וחלקו במצטבר והתוצאה הסופית מידתית</w:t>
      </w:r>
      <w:r>
        <w:rPr>
          <w:rFonts w:cs="David" w:ascii="David" w:hAnsi="David"/>
          <w:rtl w:val="true"/>
        </w:rPr>
        <w:t xml:space="preserve">, </w:t>
      </w:r>
      <w:r>
        <w:rPr>
          <w:rFonts w:ascii="David" w:hAnsi="David" w:cs="David"/>
          <w:rtl w:val="true"/>
        </w:rPr>
        <w:t>ראויה ולא נותנת אפילו את מלוא הביטוי לחומרתה של תופעת מעבדות הסמים שהפכו כאמור להיות מכת מדינה</w:t>
      </w:r>
      <w:r>
        <w:rPr>
          <w:rFonts w:cs="David" w:ascii="David" w:hAnsi="David"/>
          <w:rtl w:val="true"/>
        </w:rPr>
        <w:t xml:space="preserve">. </w:t>
      </w:r>
    </w:p>
    <w:p>
      <w:pPr>
        <w:pStyle w:val="David"/>
        <w:ind w:firstLine="720" w:end="0"/>
        <w:jc w:val="both"/>
        <w:rPr>
          <w:rFonts w:ascii="David" w:hAnsi="David" w:cs="David"/>
        </w:rPr>
      </w:pPr>
      <w:r>
        <w:rPr>
          <w:rFonts w:ascii="David" w:hAnsi="David" w:cs="David"/>
          <w:rtl w:val="true"/>
        </w:rPr>
        <w:t>התוצאה היא כי אנו דוחים את הערעור</w:t>
      </w:r>
      <w:r>
        <w:rPr>
          <w:rFonts w:cs="David" w:ascii="David" w:hAnsi="David"/>
          <w:rtl w:val="true"/>
        </w:rPr>
        <w:t xml:space="preserve">. </w:t>
      </w:r>
    </w:p>
    <w:p>
      <w:pPr>
        <w:pStyle w:val="David"/>
        <w:ind w:end="0"/>
        <w:jc w:val="both"/>
        <w:rPr>
          <w:sz w:val="6"/>
          <w:szCs w:val="6"/>
        </w:rPr>
      </w:pPr>
      <w:r>
        <w:rPr>
          <w:sz w:val="6"/>
          <w:szCs w:val="6"/>
          <w:rtl w:val="true"/>
        </w:rPr>
        <w:t>&lt;</w:t>
      </w:r>
      <w:r>
        <w:rPr>
          <w:sz w:val="6"/>
          <w:szCs w:val="6"/>
        </w:rPr>
        <w:t>#3#</w:t>
      </w:r>
      <w:r>
        <w:rPr>
          <w:sz w:val="6"/>
          <w:szCs w:val="6"/>
          <w:rtl w:val="true"/>
        </w:rPr>
        <w:t>&gt;</w:t>
      </w:r>
    </w:p>
    <w:p>
      <w:pPr>
        <w:pStyle w:val="Normal"/>
        <w:spacing w:lineRule="auto" w:line="360"/>
        <w:ind w:end="0"/>
        <w:jc w:val="start"/>
        <w:rPr>
          <w:b/>
          <w:bCs/>
        </w:rPr>
      </w:pPr>
      <w:r>
        <w:rPr>
          <w:b/>
          <w:b/>
          <w:bCs/>
          <w:rtl w:val="true"/>
        </w:rPr>
        <w:t>ניתן והודע היום כ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ט שבט תשע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ה</w:t>
      </w:r>
      <w:r>
        <w:rPr>
          <w:b/>
          <w:bCs/>
          <w:rtl w:val="true"/>
        </w:rPr>
        <w:t xml:space="preserve">, </w:t>
      </w:r>
      <w:r>
        <w:rPr>
          <w:b/>
          <w:bCs/>
        </w:rPr>
        <w:t>18/02/2015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במעמד הנוכחים</w:t>
      </w:r>
      <w:r>
        <w:rPr>
          <w:b/>
          <w:bCs/>
          <w:rtl w:val="true"/>
        </w:rPr>
        <w:t xml:space="preserve">. </w:t>
      </w:r>
    </w:p>
    <w:p>
      <w:pPr>
        <w:pStyle w:val="Normal"/>
        <w:tabs>
          <w:tab w:val="clear" w:pos="720"/>
          <w:tab w:val="left" w:pos="2988" w:leader="none"/>
          <w:tab w:val="left" w:pos="3226" w:leader="none"/>
          <w:tab w:val="left" w:pos="5547" w:leader="none"/>
          <w:tab w:val="left" w:pos="5850" w:leader="none"/>
        </w:tabs>
        <w:ind w:end="0"/>
        <w:jc w:val="start"/>
        <w:rPr>
          <w:rFonts w:ascii="Courier New" w:hAnsi="Courier New" w:eastAsia="Times New Roman" w:cs="Courier New"/>
          <w:b/>
          <w:bCs/>
          <w:sz w:val="20"/>
          <w:szCs w:val="20"/>
        </w:rPr>
      </w:pPr>
      <w:r>
        <w:rPr>
          <w:rFonts w:eastAsia="Times New Roman" w:cs="Courier New" w:ascii="Courier New" w:hAnsi="Courier New"/>
          <w:b/>
          <w:bCs/>
          <w:sz w:val="20"/>
          <w:szCs w:val="20"/>
          <w:rtl w:val="true"/>
        </w:rPr>
        <w:tab/>
        <w:tab/>
      </w:r>
    </w:p>
    <w:tbl>
      <w:tblPr>
        <w:bidiVisual w:val="true"/>
        <w:tblW w:w="8597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88"/>
        <w:gridCol w:w="239"/>
        <w:gridCol w:w="2320"/>
        <w:gridCol w:w="303"/>
        <w:gridCol w:w="2747"/>
      </w:tblGrid>
      <w:tr>
        <w:trPr>
          <w:trHeight w:val="580" w:hRule="atLeast"/>
        </w:trPr>
        <w:tc>
          <w:tcPr>
            <w:tcW w:w="298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Courier New" w:hAnsi="Courier New" w:eastAsia="Times New Roman" w:cs="Courier New"/>
                <w:b/>
                <w:bCs/>
              </w:rPr>
            </w:pPr>
            <w:r>
              <w:rPr>
                <w:rFonts w:ascii="Courier New" w:hAnsi="Courier New" w:eastAsia="Times New Roman" w:cs="Courier New"/>
                <w:b/>
                <w:b/>
                <w:bCs/>
                <w:rtl w:val="true"/>
              </w:rPr>
              <w:t>דבורה ברלינר</w:t>
            </w: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  <w:t xml:space="preserve">, </w:t>
            </w:r>
            <w:r>
              <w:rPr>
                <w:rFonts w:ascii="Courier New" w:hAnsi="Courier New" w:eastAsia="Times New Roman" w:cs="Courier New"/>
                <w:b/>
                <w:b/>
                <w:bCs/>
                <w:rtl w:val="true"/>
              </w:rPr>
              <w:t>נשיאה</w:t>
            </w:r>
          </w:p>
          <w:p>
            <w:pPr>
              <w:pStyle w:val="Normal"/>
              <w:ind w:end="0"/>
              <w:jc w:val="center"/>
              <w:rPr>
                <w:rFonts w:ascii="Courier New" w:hAnsi="Courier New" w:eastAsia="Times New Roman" w:cs="Courier New"/>
                <w:b/>
                <w:bCs/>
              </w:rPr>
            </w:pPr>
            <w:r>
              <w:rPr>
                <w:rFonts w:ascii="Courier New" w:hAnsi="Courier New" w:eastAsia="Times New Roman" w:cs="Courier New"/>
                <w:b/>
                <w:b/>
                <w:bCs/>
                <w:rtl w:val="true"/>
              </w:rPr>
              <w:t>אב</w:t>
            </w: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  <w:t>"</w:t>
            </w:r>
            <w:r>
              <w:rPr>
                <w:rFonts w:ascii="Courier New" w:hAnsi="Courier New" w:eastAsia="Times New Roman" w:cs="Courier New"/>
                <w:b/>
                <w:b/>
                <w:bCs/>
                <w:rtl w:val="true"/>
              </w:rPr>
              <w:t>ד</w:t>
            </w:r>
          </w:p>
        </w:tc>
        <w:tc>
          <w:tcPr>
            <w:tcW w:w="239" w:type="dxa"/>
            <w:tcBorders/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eastAsia="Times New Roman" w:cs="Courier New"/>
                <w:b/>
                <w:bCs/>
              </w:rPr>
            </w:pP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232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Courier New" w:hAnsi="Courier New" w:eastAsia="Times New Roman" w:cs="Courier New"/>
                <w:b/>
                <w:bCs/>
              </w:rPr>
            </w:pPr>
            <w:r>
              <w:rPr>
                <w:rFonts w:ascii="Courier New" w:hAnsi="Courier New" w:eastAsia="Times New Roman" w:cs="Courier New"/>
                <w:b/>
                <w:b/>
                <w:bCs/>
                <w:rtl w:val="true"/>
              </w:rPr>
              <w:t>ג</w:t>
            </w: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  <w:t>'</w:t>
            </w:r>
            <w:r>
              <w:rPr>
                <w:rFonts w:ascii="Courier New" w:hAnsi="Courier New" w:eastAsia="Times New Roman" w:cs="Courier New"/>
                <w:b/>
                <w:b/>
                <w:bCs/>
                <w:rtl w:val="true"/>
              </w:rPr>
              <w:t>ורג קרא</w:t>
            </w: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  <w:t xml:space="preserve">, </w:t>
            </w:r>
            <w:r>
              <w:rPr>
                <w:rFonts w:ascii="Courier New" w:hAnsi="Courier New" w:eastAsia="Times New Roman" w:cs="Courier New"/>
                <w:b/>
                <w:b/>
                <w:bCs/>
                <w:rtl w:val="true"/>
              </w:rPr>
              <w:t>ס</w:t>
            </w: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  <w:t>"</w:t>
            </w:r>
            <w:r>
              <w:rPr>
                <w:rFonts w:ascii="Courier New" w:hAnsi="Courier New" w:eastAsia="Times New Roman" w:cs="Courier New"/>
                <w:b/>
                <w:b/>
                <w:bCs/>
                <w:rtl w:val="true"/>
              </w:rPr>
              <w:t>נ</w:t>
            </w:r>
          </w:p>
          <w:p>
            <w:pPr>
              <w:pStyle w:val="Normal"/>
              <w:ind w:end="0"/>
              <w:jc w:val="center"/>
              <w:rPr>
                <w:rFonts w:ascii="Courier New" w:hAnsi="Courier New" w:eastAsia="Times New Roman" w:cs="Courier New"/>
                <w:b/>
                <w:bCs/>
              </w:rPr>
            </w:pP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303" w:type="dxa"/>
            <w:tcBorders/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eastAsia="Times New Roman" w:cs="Courier New"/>
                <w:b/>
                <w:bCs/>
              </w:rPr>
            </w:pP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2747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Courier New" w:hAnsi="Courier New" w:eastAsia="Times New Roman" w:cs="Courier New"/>
                <w:b/>
                <w:bCs/>
              </w:rPr>
            </w:pPr>
            <w:r>
              <w:rPr>
                <w:rFonts w:ascii="Courier New" w:hAnsi="Courier New" w:eastAsia="Times New Roman" w:cs="Courier New"/>
                <w:b/>
                <w:b/>
                <w:bCs/>
                <w:rtl w:val="true"/>
              </w:rPr>
              <w:t>מרים סוקולוב</w:t>
            </w: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  <w:t xml:space="preserve">, </w:t>
            </w:r>
            <w:r>
              <w:rPr>
                <w:rFonts w:ascii="Courier New" w:hAnsi="Courier New" w:eastAsia="Times New Roman" w:cs="Courier New"/>
                <w:b/>
                <w:b/>
                <w:bCs/>
                <w:rtl w:val="true"/>
              </w:rPr>
              <w:t>שופטת</w:t>
            </w:r>
          </w:p>
          <w:p>
            <w:pPr>
              <w:pStyle w:val="Normal"/>
              <w:ind w:end="0"/>
              <w:jc w:val="center"/>
              <w:rPr>
                <w:rFonts w:ascii="Courier New" w:hAnsi="Courier New" w:eastAsia="Times New Roman" w:cs="Courier New"/>
                <w:b/>
                <w:bCs/>
              </w:rPr>
            </w:pP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</w:r>
          </w:p>
        </w:tc>
      </w:tr>
    </w:tbl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 xml:space="preserve"> </w:t>
      </w:r>
    </w:p>
    <w:p>
      <w:pPr>
        <w:pStyle w:val="Normal"/>
        <w:spacing w:lineRule="auto" w:line="360"/>
        <w:ind w:end="0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cs="Arial" w:ascii="Arial" w:hAnsi="Arial"/>
          <w:b/>
          <w:bCs/>
          <w:sz w:val="28"/>
          <w:szCs w:val="28"/>
          <w:u w:val="single"/>
          <w:rtl w:val="true"/>
        </w:rPr>
      </w:r>
    </w:p>
    <w:p>
      <w:pPr>
        <w:pStyle w:val="Normal"/>
        <w:spacing w:lineRule="auto" w:line="360"/>
        <w:ind w:end="0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/>
          <w:bCs/>
          <w:sz w:val="28"/>
          <w:sz w:val="28"/>
          <w:szCs w:val="28"/>
          <w:u w:val="single"/>
          <w:rtl w:val="true"/>
        </w:rPr>
        <w:t>החלטה</w:t>
      </w:r>
    </w:p>
    <w:p>
      <w:pPr>
        <w:pStyle w:val="Normal"/>
        <w:spacing w:lineRule="auto" w:line="360"/>
        <w:ind w:end="0"/>
        <w:jc w:val="start"/>
        <w:rPr/>
      </w:pPr>
      <w:r>
        <w:rPr>
          <w:rtl w:val="true"/>
        </w:rPr>
        <w:t xml:space="preserve">המערער יתייצב לריצוי עונשו בתאריך </w:t>
      </w:r>
      <w:r>
        <w:rPr/>
        <w:t>15.3.15</w:t>
      </w:r>
      <w:r>
        <w:rPr>
          <w:rtl w:val="true"/>
        </w:rPr>
        <w:t xml:space="preserve">. </w:t>
      </w:r>
      <w:r>
        <w:rPr>
          <w:rtl w:val="true"/>
        </w:rPr>
        <w:t>על המערער להתייצב בתאריך זה בכלא ניצן</w:t>
      </w:r>
      <w:r>
        <w:rPr>
          <w:rtl w:val="true"/>
        </w:rPr>
        <w:t xml:space="preserve">, </w:t>
      </w:r>
      <w:r>
        <w:rPr>
          <w:rtl w:val="true"/>
        </w:rPr>
        <w:t>אלא אם כן תהיה הוראה אחרת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start"/>
        <w:rPr/>
      </w:pPr>
      <w:r>
        <w:rPr>
          <w:rtl w:val="true"/>
        </w:rPr>
        <w:t>הסנגור ינצל את פסק הזמן לצורכי המיון והשיבוץ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start"/>
        <w:rPr/>
      </w:pPr>
      <w:r>
        <w:rPr>
          <w:rtl w:val="true"/>
        </w:rPr>
        <w:t>הערבויות יישארו בעינן וישמשו להבטחת התייצבותו לריצוי המאסר</w:t>
      </w:r>
      <w:r>
        <w:rPr>
          <w:rtl w:val="true"/>
        </w:rPr>
        <w:t xml:space="preserve">. </w:t>
      </w:r>
    </w:p>
    <w:p>
      <w:pPr>
        <w:pStyle w:val="David"/>
        <w:ind w:end="0"/>
        <w:jc w:val="both"/>
        <w:rPr/>
      </w:pPr>
      <w:r>
        <w:rPr>
          <w:rtl w:val="true"/>
        </w:rPr>
        <w:t>ניתן צו עיכוב יציאה מן הארץ</w:t>
      </w:r>
      <w:r>
        <w:rPr>
          <w:rtl w:val="true"/>
        </w:rPr>
        <w:t xml:space="preserve">. </w:t>
      </w:r>
      <w:r>
        <w:rPr>
          <w:rtl w:val="true"/>
        </w:rPr>
        <w:t xml:space="preserve"> </w:t>
      </w:r>
    </w:p>
    <w:p>
      <w:pPr>
        <w:pStyle w:val="David"/>
        <w:ind w:end="0"/>
        <w:jc w:val="both"/>
        <w:rPr>
          <w:rFonts w:ascii="David" w:hAnsi="David" w:cs="David"/>
        </w:rPr>
      </w:pPr>
      <w:r>
        <w:rPr>
          <w:rFonts w:cs="David" w:ascii="David" w:hAnsi="David"/>
          <w:rtl w:val="true"/>
        </w:rPr>
      </w:r>
    </w:p>
    <w:p>
      <w:pPr>
        <w:pStyle w:val="David"/>
        <w:ind w:end="0"/>
        <w:jc w:val="both"/>
        <w:rPr>
          <w:sz w:val="6"/>
          <w:szCs w:val="6"/>
        </w:rPr>
      </w:pPr>
      <w:r>
        <w:rPr>
          <w:sz w:val="6"/>
          <w:szCs w:val="6"/>
          <w:rtl w:val="true"/>
        </w:rPr>
        <w:t>&lt;</w:t>
      </w:r>
      <w:r>
        <w:rPr>
          <w:sz w:val="6"/>
          <w:szCs w:val="6"/>
        </w:rPr>
        <w:t>#3#</w:t>
      </w:r>
      <w:r>
        <w:rPr>
          <w:sz w:val="6"/>
          <w:szCs w:val="6"/>
          <w:rtl w:val="true"/>
        </w:rPr>
        <w:t>&gt;</w:t>
      </w:r>
    </w:p>
    <w:p>
      <w:pPr>
        <w:pStyle w:val="Normal"/>
        <w:spacing w:lineRule="auto" w:line="360"/>
        <w:ind w:end="0"/>
        <w:jc w:val="start"/>
        <w:rPr>
          <w:b/>
          <w:bCs/>
        </w:rPr>
      </w:pPr>
      <w:r>
        <w:rPr>
          <w:b/>
          <w:b/>
          <w:bCs/>
          <w:rtl w:val="true"/>
        </w:rPr>
        <w:t>ניתן והודע היום כ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ט שבט תשע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ה</w:t>
      </w:r>
      <w:r>
        <w:rPr>
          <w:b/>
          <w:bCs/>
          <w:rtl w:val="true"/>
        </w:rPr>
        <w:t xml:space="preserve">, </w:t>
      </w:r>
      <w:r>
        <w:rPr>
          <w:b/>
          <w:bCs/>
        </w:rPr>
        <w:t>18/02/2015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במעמד הנוכחים</w:t>
      </w:r>
      <w:r>
        <w:rPr>
          <w:b/>
          <w:bCs/>
          <w:rtl w:val="true"/>
        </w:rPr>
        <w:t xml:space="preserve">.  </w:t>
      </w:r>
    </w:p>
    <w:p>
      <w:pPr>
        <w:pStyle w:val="Normal"/>
        <w:spacing w:lineRule="auto" w:line="360"/>
        <w:ind w:end="0"/>
        <w:jc w:val="start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ind w:end="0"/>
        <w:jc w:val="center"/>
        <w:rPr>
          <w:rFonts w:ascii="Courier New" w:hAnsi="Courier New" w:eastAsia="Times New Roman" w:cs="Times New Roman"/>
          <w:b/>
          <w:bCs/>
          <w:sz w:val="20"/>
          <w:szCs w:val="20"/>
        </w:rPr>
      </w:pPr>
      <w:r>
        <w:rPr>
          <w:rFonts w:eastAsia="Times New Roman" w:cs="Courier New" w:ascii="Courier New" w:hAnsi="Courier New"/>
          <w:b/>
          <w:bCs/>
          <w:rtl w:val="true"/>
        </w:rPr>
        <w:tab/>
        <w:tab/>
      </w:r>
    </w:p>
    <w:p>
      <w:pPr>
        <w:pStyle w:val="Normal"/>
        <w:tabs>
          <w:tab w:val="clear" w:pos="720"/>
          <w:tab w:val="left" w:pos="2988" w:leader="none"/>
          <w:tab w:val="left" w:pos="3226" w:leader="none"/>
          <w:tab w:val="left" w:pos="5547" w:leader="none"/>
          <w:tab w:val="left" w:pos="5850" w:leader="none"/>
        </w:tabs>
        <w:ind w:end="0"/>
        <w:jc w:val="start"/>
        <w:rPr>
          <w:rFonts w:ascii="Courier New" w:hAnsi="Courier New" w:eastAsia="Times New Roman" w:cs="Courier New"/>
          <w:b/>
          <w:bCs/>
          <w:sz w:val="20"/>
          <w:szCs w:val="20"/>
        </w:rPr>
      </w:pPr>
      <w:r>
        <w:rPr>
          <w:rFonts w:eastAsia="Times New Roman" w:cs="Courier New" w:ascii="Courier New" w:hAnsi="Courier New"/>
          <w:b/>
          <w:bCs/>
          <w:sz w:val="20"/>
          <w:szCs w:val="20"/>
          <w:rtl w:val="true"/>
        </w:rPr>
        <w:tab/>
        <w:tab/>
      </w:r>
    </w:p>
    <w:tbl>
      <w:tblPr>
        <w:bidiVisual w:val="true"/>
        <w:tblW w:w="8597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88"/>
        <w:gridCol w:w="239"/>
        <w:gridCol w:w="2320"/>
        <w:gridCol w:w="303"/>
        <w:gridCol w:w="2747"/>
      </w:tblGrid>
      <w:tr>
        <w:trPr>
          <w:trHeight w:val="580" w:hRule="atLeast"/>
        </w:trPr>
        <w:tc>
          <w:tcPr>
            <w:tcW w:w="298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Courier New" w:hAnsi="Courier New" w:eastAsia="Times New Roman" w:cs="Courier New"/>
                <w:b/>
                <w:bCs/>
              </w:rPr>
            </w:pPr>
            <w:r>
              <w:rPr>
                <w:rFonts w:ascii="Courier New" w:hAnsi="Courier New" w:eastAsia="Times New Roman" w:cs="Courier New"/>
                <w:b/>
                <w:b/>
                <w:bCs/>
                <w:rtl w:val="true"/>
              </w:rPr>
              <w:t>דבורה ברלינר</w:t>
            </w: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  <w:t xml:space="preserve">, </w:t>
            </w:r>
            <w:r>
              <w:rPr>
                <w:rFonts w:ascii="Courier New" w:hAnsi="Courier New" w:eastAsia="Times New Roman" w:cs="Courier New"/>
                <w:b/>
                <w:b/>
                <w:bCs/>
                <w:rtl w:val="true"/>
              </w:rPr>
              <w:t>נשיאה</w:t>
            </w:r>
          </w:p>
          <w:p>
            <w:pPr>
              <w:pStyle w:val="Normal"/>
              <w:ind w:end="0"/>
              <w:jc w:val="center"/>
              <w:rPr>
                <w:rFonts w:ascii="Courier New" w:hAnsi="Courier New" w:eastAsia="Times New Roman" w:cs="Courier New"/>
                <w:b/>
                <w:bCs/>
              </w:rPr>
            </w:pPr>
            <w:r>
              <w:rPr>
                <w:rFonts w:ascii="Courier New" w:hAnsi="Courier New" w:eastAsia="Times New Roman" w:cs="Courier New"/>
                <w:b/>
                <w:b/>
                <w:bCs/>
                <w:rtl w:val="true"/>
              </w:rPr>
              <w:t>אב</w:t>
            </w: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  <w:t>"</w:t>
            </w:r>
            <w:r>
              <w:rPr>
                <w:rFonts w:ascii="Courier New" w:hAnsi="Courier New" w:eastAsia="Times New Roman" w:cs="Courier New"/>
                <w:b/>
                <w:b/>
                <w:bCs/>
                <w:rtl w:val="true"/>
              </w:rPr>
              <w:t>ד</w:t>
            </w:r>
          </w:p>
        </w:tc>
        <w:tc>
          <w:tcPr>
            <w:tcW w:w="239" w:type="dxa"/>
            <w:tcBorders/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eastAsia="Times New Roman" w:cs="Courier New"/>
                <w:b/>
                <w:bCs/>
              </w:rPr>
            </w:pP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232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Courier New" w:hAnsi="Courier New" w:eastAsia="Times New Roman" w:cs="Courier New"/>
                <w:b/>
                <w:bCs/>
              </w:rPr>
            </w:pPr>
            <w:r>
              <w:rPr>
                <w:rFonts w:ascii="Courier New" w:hAnsi="Courier New" w:eastAsia="Times New Roman" w:cs="Courier New"/>
                <w:b/>
                <w:b/>
                <w:bCs/>
                <w:rtl w:val="true"/>
              </w:rPr>
              <w:t>ג</w:t>
            </w: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  <w:t>'</w:t>
            </w:r>
            <w:r>
              <w:rPr>
                <w:rFonts w:ascii="Courier New" w:hAnsi="Courier New" w:eastAsia="Times New Roman" w:cs="Courier New"/>
                <w:b/>
                <w:b/>
                <w:bCs/>
                <w:rtl w:val="true"/>
              </w:rPr>
              <w:t>ורג קרא</w:t>
            </w: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  <w:t xml:space="preserve">, </w:t>
            </w:r>
            <w:r>
              <w:rPr>
                <w:rFonts w:ascii="Courier New" w:hAnsi="Courier New" w:eastAsia="Times New Roman" w:cs="Courier New"/>
                <w:b/>
                <w:b/>
                <w:bCs/>
                <w:rtl w:val="true"/>
              </w:rPr>
              <w:t>ס</w:t>
            </w: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  <w:t>"</w:t>
            </w:r>
            <w:r>
              <w:rPr>
                <w:rFonts w:ascii="Courier New" w:hAnsi="Courier New" w:eastAsia="Times New Roman" w:cs="Courier New"/>
                <w:b/>
                <w:b/>
                <w:bCs/>
                <w:rtl w:val="true"/>
              </w:rPr>
              <w:t>נ</w:t>
            </w:r>
          </w:p>
          <w:p>
            <w:pPr>
              <w:pStyle w:val="Normal"/>
              <w:ind w:end="0"/>
              <w:jc w:val="center"/>
              <w:rPr>
                <w:rFonts w:ascii="Courier New" w:hAnsi="Courier New" w:eastAsia="Times New Roman" w:cs="Courier New"/>
                <w:b/>
                <w:bCs/>
              </w:rPr>
            </w:pP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303" w:type="dxa"/>
            <w:tcBorders/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eastAsia="Times New Roman" w:cs="Courier New"/>
                <w:b/>
                <w:bCs/>
              </w:rPr>
            </w:pP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2747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Courier New" w:hAnsi="Courier New" w:eastAsia="Times New Roman" w:cs="Courier New"/>
                <w:b/>
                <w:bCs/>
              </w:rPr>
            </w:pPr>
            <w:r>
              <w:rPr>
                <w:rFonts w:ascii="Courier New" w:hAnsi="Courier New" w:eastAsia="Times New Roman" w:cs="Courier New"/>
                <w:b/>
                <w:b/>
                <w:bCs/>
                <w:rtl w:val="true"/>
              </w:rPr>
              <w:t>מרים סוקולוב</w:t>
            </w: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  <w:t xml:space="preserve">, </w:t>
            </w:r>
            <w:r>
              <w:rPr>
                <w:rFonts w:ascii="Courier New" w:hAnsi="Courier New" w:eastAsia="Times New Roman" w:cs="Courier New"/>
                <w:b/>
                <w:b/>
                <w:bCs/>
                <w:rtl w:val="true"/>
              </w:rPr>
              <w:t>שופטת</w:t>
            </w:r>
          </w:p>
          <w:p>
            <w:pPr>
              <w:pStyle w:val="Normal"/>
              <w:ind w:end="0"/>
              <w:jc w:val="center"/>
              <w:rPr>
                <w:rFonts w:ascii="Courier New" w:hAnsi="Courier New" w:eastAsia="Times New Roman" w:cs="Courier New"/>
                <w:b/>
                <w:bCs/>
              </w:rPr>
            </w:pP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</w:r>
          </w:p>
          <w:p>
            <w:pPr>
              <w:pStyle w:val="Normal"/>
              <w:ind w:end="0"/>
              <w:jc w:val="center"/>
              <w:rPr>
                <w:rFonts w:ascii="Courier New" w:hAnsi="Courier New" w:eastAsia="Times New Roman" w:cs="Courier New"/>
                <w:b/>
                <w:bCs/>
              </w:rPr>
            </w:pP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</w:r>
          </w:p>
        </w:tc>
      </w:tr>
    </w:tbl>
    <w:p>
      <w:pPr>
        <w:pStyle w:val="Normal"/>
        <w:spacing w:lineRule="auto" w:line="360"/>
        <w:ind w:end="0"/>
        <w:jc w:val="both"/>
        <w:rPr>
          <w:color w:val="FFFFFF"/>
          <w:sz w:val="2"/>
          <w:szCs w:val="2"/>
        </w:rPr>
      </w:pPr>
      <w:r>
        <w:rPr>
          <w:color w:val="FFFFFF"/>
          <w:sz w:val="2"/>
          <w:szCs w:val="2"/>
        </w:rPr>
        <w:t>5129371</w:t>
      </w:r>
      <w:r>
        <w:rPr>
          <w:color w:val="FFFFFF"/>
          <w:sz w:val="2"/>
          <w:szCs w:val="2"/>
          <w:rtl w:val="true"/>
        </w:rPr>
        <w:t xml:space="preserve">     </w:t>
      </w:r>
    </w:p>
    <w:p>
      <w:pPr>
        <w:pStyle w:val="Normal"/>
        <w:ind w:end="0"/>
        <w:jc w:val="start"/>
        <w:rPr/>
      </w:pPr>
      <w:r>
        <w:rPr>
          <w:color w:val="FFFFFF"/>
          <w:sz w:val="2"/>
          <w:szCs w:val="2"/>
        </w:rPr>
        <w:t>54678313</w:t>
      </w:r>
      <w:r>
        <w:rPr>
          <w:rtl w:val="true"/>
        </w:rPr>
        <w:t>הוקלד</w:t>
      </w:r>
      <w:r>
        <w:rPr>
          <w:rtl w:val="true"/>
        </w:rPr>
        <w:t xml:space="preserve"> </w:t>
      </w:r>
      <w:r>
        <w:rPr>
          <w:rtl w:val="true"/>
        </w:rPr>
        <w:t>על</w:t>
      </w:r>
      <w:r>
        <w:rPr>
          <w:rtl w:val="true"/>
        </w:rPr>
        <w:t xml:space="preserve"> </w:t>
      </w:r>
      <w:r>
        <w:rPr>
          <w:rtl w:val="true"/>
        </w:rPr>
        <w:t>ידי</w:t>
      </w:r>
      <w:r>
        <w:rPr>
          <w:rtl w:val="true"/>
        </w:rPr>
        <w:t xml:space="preserve"> </w:t>
      </w:r>
      <w:r>
        <w:rPr>
          <w:rtl w:val="true"/>
        </w:rPr>
        <w:t>סימונה</w:t>
      </w:r>
      <w:r>
        <w:rPr>
          <w:rtl w:val="true"/>
        </w:rPr>
        <w:t xml:space="preserve"> </w:t>
      </w:r>
      <w:r>
        <w:rPr>
          <w:rtl w:val="true"/>
        </w:rPr>
        <w:t>אלפסי</w:t>
      </w:r>
    </w:p>
    <w:p>
      <w:pPr>
        <w:pStyle w:val="Normal"/>
        <w:keepNext w:val="true"/>
        <w:ind w:end="0"/>
        <w:jc w:val="star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rtl w:val="true"/>
        </w:rPr>
      </w:r>
    </w:p>
    <w:p>
      <w:pPr>
        <w:pStyle w:val="Normal"/>
        <w:keepNext w:val="true"/>
        <w:ind w:end="0"/>
        <w:jc w:val="start"/>
        <w:rPr>
          <w:color w:val="000000"/>
          <w:sz w:val="22"/>
          <w:szCs w:val="22"/>
        </w:rPr>
      </w:pPr>
      <w:r>
        <w:rPr>
          <w:color w:val="000000"/>
          <w:sz w:val="22"/>
          <w:sz w:val="22"/>
          <w:szCs w:val="22"/>
          <w:rtl w:val="true"/>
        </w:rPr>
        <w:t>ג</w:t>
      </w:r>
      <w:r>
        <w:rPr>
          <w:color w:val="000000"/>
          <w:sz w:val="22"/>
          <w:szCs w:val="22"/>
          <w:rtl w:val="true"/>
        </w:rPr>
        <w:t>'</w:t>
      </w:r>
      <w:r>
        <w:rPr>
          <w:color w:val="000000"/>
          <w:sz w:val="22"/>
          <w:sz w:val="22"/>
          <w:szCs w:val="22"/>
          <w:rtl w:val="true"/>
        </w:rPr>
        <w:t>ורג</w:t>
      </w:r>
      <w:r>
        <w:rPr>
          <w:color w:val="000000"/>
          <w:sz w:val="22"/>
          <w:szCs w:val="22"/>
          <w:rtl w:val="true"/>
        </w:rPr>
        <w:t xml:space="preserve">' </w:t>
      </w:r>
      <w:r>
        <w:rPr>
          <w:color w:val="000000"/>
          <w:sz w:val="22"/>
          <w:sz w:val="22"/>
          <w:szCs w:val="22"/>
          <w:rtl w:val="true"/>
        </w:rPr>
        <w:t xml:space="preserve">קרא </w:t>
      </w:r>
      <w:r>
        <w:rPr>
          <w:color w:val="000000"/>
          <w:sz w:val="22"/>
          <w:szCs w:val="22"/>
        </w:rPr>
        <w:t>54678313</w:t>
      </w:r>
    </w:p>
    <w:p>
      <w:pPr>
        <w:pStyle w:val="Normal"/>
        <w:ind w:end="0"/>
        <w:jc w:val="start"/>
        <w:rPr>
          <w:color w:val="000000"/>
        </w:rPr>
      </w:pPr>
      <w:r>
        <w:rPr>
          <w:color w:val="000000"/>
          <w:rtl w:val="true"/>
        </w:rPr>
        <w:t>נוסח מסמך זה כפוף לשינויי ניסוח ועריכה</w:t>
      </w:r>
    </w:p>
    <w:p>
      <w:pPr>
        <w:pStyle w:val="Normal"/>
        <w:ind w:end="0"/>
        <w:jc w:val="start"/>
        <w:rPr/>
      </w:pPr>
      <w:r>
        <w:rPr>
          <w:rtl w:val="true"/>
        </w:rPr>
      </w:r>
    </w:p>
    <w:p>
      <w:pPr>
        <w:pStyle w:val="Normal"/>
        <w:ind w:end="0"/>
        <w:jc w:val="center"/>
        <w:rPr>
          <w:color w:val="0000FF"/>
          <w:u w:val="single"/>
        </w:rPr>
      </w:pPr>
      <w:hyperlink r:id="rId10">
        <w:r>
          <w:rPr>
            <w:rStyle w:val="Hyperlink"/>
            <w:color w:val="0000FF"/>
            <w:u w:val="single"/>
            <w:rtl w:val="true"/>
          </w:rPr>
          <w:t>בעניין עריכה ושינויים במסמכי פסיקה</w:t>
        </w:r>
        <w:r>
          <w:rPr>
            <w:rStyle w:val="Hyperlink"/>
            <w:color w:val="0000FF"/>
            <w:u w:val="single"/>
            <w:rtl w:val="true"/>
          </w:rPr>
          <w:t xml:space="preserve">, </w:t>
        </w:r>
        <w:r>
          <w:rPr>
            <w:rStyle w:val="Hyperlink"/>
            <w:color w:val="0000FF"/>
            <w:u w:val="single"/>
            <w:rtl w:val="true"/>
          </w:rPr>
          <w:t>חקיקה ועוד באתר נבו – הקש כאן</w:t>
        </w:r>
      </w:hyperlink>
    </w:p>
    <w:p>
      <w:pPr>
        <w:pStyle w:val="Normal"/>
        <w:ind w:end="0"/>
        <w:jc w:val="center"/>
        <w:rPr>
          <w:color w:val="0000FF"/>
          <w:u w:val="single"/>
        </w:rPr>
      </w:pPr>
      <w:r>
        <w:rPr>
          <w:color w:val="0000FF"/>
          <w:u w:val="single"/>
          <w:rtl w:val="true"/>
        </w:rPr>
      </w:r>
    </w:p>
    <w:sectPr>
      <w:headerReference w:type="default" r:id="rId11"/>
      <w:footerReference w:type="default" r:id="rId12"/>
      <w:type w:val="nextPage"/>
      <w:pgSz w:w="11906" w:h="16838"/>
      <w:pgMar w:left="1701" w:right="1701" w:gutter="0" w:header="1077" w:top="1701" w:footer="1157" w:bottom="1440"/>
      <w:pgNumType w:start="1" w:fmt="decimal"/>
      <w:formProt w:val="false"/>
      <w:textDirection w:val="lrTb"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David">
    <w:charset w:val="b1" w:characterSet="windows-1255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  <w:font w:name="FrankRuehl">
    <w:charset w:val="b1" w:characterSet="windows-1255"/>
    <w:family w:val="swiss"/>
    <w:pitch w:val="variable"/>
  </w:font>
  <w:font w:name="Courier New">
    <w:charset w:val="00" w:characterSet="windows-1252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Fonts w:ascii="FrankRuehl" w:hAnsi="FrankRuehl" w:cs="FrankRuehl"/>
      </w:rPr>
    </w:pPr>
    <w:r>
      <w:rPr>
        <w:rFonts w:cs="FrankRuehl" w:ascii="FrankRuehl" w:hAnsi="FrankRuehl"/>
        <w:rtl w:val="true"/>
      </w:rPr>
      <w:fldChar w:fldCharType="begin"/>
    </w:r>
    <w:r>
      <w:rPr>
        <w:rtl w:val="true"/>
        <w:rFonts w:cs="FrankRuehl" w:ascii="FrankRuehl" w:hAnsi="FrankRuehl"/>
      </w:rPr>
      <w:instrText xml:space="preserve"> PAGE </w:instrText>
    </w:r>
    <w:r>
      <w:rPr>
        <w:rtl w:val="true"/>
        <w:rFonts w:cs="FrankRuehl" w:ascii="FrankRuehl" w:hAnsi="FrankRuehl"/>
      </w:rPr>
      <w:fldChar w:fldCharType="separate"/>
    </w:r>
    <w:r>
      <w:rPr>
        <w:rtl w:val="true"/>
        <w:rFonts w:cs="FrankRuehl" w:ascii="FrankRuehl" w:hAnsi="FrankRuehl"/>
      </w:rPr>
      <w:t>4</w:t>
    </w:r>
    <w:r>
      <w:rPr>
        <w:rtl w:val="true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>
        <w:rFonts w:ascii="FrankRuehl" w:hAnsi="FrankRuehl" w:cs="FrankRuehl"/>
        <w:color w:val="000000"/>
      </w:rPr>
    </w:pPr>
    <w:r>
      <w:rPr>
        <w:rFonts w:cs="FrankRuehl" w:ascii="FrankRuehl" w:hAnsi="FrankRuehl"/>
        <w:color w:val="000000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720"/>
        <w:tab w:val="right" w:pos="8311" w:leader="none"/>
      </w:tabs>
      <w:spacing w:lineRule="exact" w:line="220"/>
      <w:ind w:end="0"/>
      <w:jc w:val="start"/>
      <w:rPr>
        <w:color w:val="000000"/>
        <w:sz w:val="22"/>
        <w:szCs w:val="22"/>
      </w:rPr>
    </w:pPr>
    <w:r>
      <w:rPr>
        <w:color w:val="000000"/>
        <w:sz w:val="22"/>
        <w:sz w:val="22"/>
        <w:szCs w:val="22"/>
        <w:rtl w:val="true"/>
      </w:rPr>
      <w:t xml:space="preserve">עפג </w:t>
    </w:r>
    <w:r>
      <w:rPr>
        <w:color w:val="000000"/>
        <w:sz w:val="22"/>
        <w:szCs w:val="22"/>
        <w:rtl w:val="true"/>
      </w:rPr>
      <w:t>(</w:t>
    </w:r>
    <w:r>
      <w:rPr>
        <w:color w:val="000000"/>
        <w:sz w:val="22"/>
        <w:sz w:val="22"/>
        <w:szCs w:val="22"/>
        <w:rtl w:val="true"/>
      </w:rPr>
      <w:t>ת</w:t>
    </w:r>
    <w:r>
      <w:rPr>
        <w:color w:val="000000"/>
        <w:sz w:val="22"/>
        <w:szCs w:val="22"/>
        <w:rtl w:val="true"/>
      </w:rPr>
      <w:t>"</w:t>
    </w:r>
    <w:r>
      <w:rPr>
        <w:color w:val="000000"/>
        <w:sz w:val="22"/>
        <w:sz w:val="22"/>
        <w:szCs w:val="22"/>
        <w:rtl w:val="true"/>
      </w:rPr>
      <w:t>א</w:t>
    </w:r>
    <w:r>
      <w:rPr>
        <w:color w:val="000000"/>
        <w:sz w:val="22"/>
        <w:szCs w:val="22"/>
        <w:rtl w:val="true"/>
      </w:rPr>
      <w:t xml:space="preserve">) </w:t>
    </w:r>
    <w:r>
      <w:rPr>
        <w:color w:val="000000"/>
        <w:sz w:val="22"/>
        <w:szCs w:val="22"/>
      </w:rPr>
      <w:t>42358-10-14</w:t>
    </w:r>
    <w:r>
      <w:rPr>
        <w:color w:val="000000"/>
        <w:sz w:val="22"/>
        <w:szCs w:val="22"/>
        <w:rtl w:val="true"/>
      </w:rPr>
      <w:tab/>
      <w:t xml:space="preserve"> </w:t>
    </w:r>
    <w:r>
      <w:rPr>
        <w:color w:val="000000"/>
        <w:sz w:val="22"/>
        <w:sz w:val="22"/>
        <w:szCs w:val="22"/>
        <w:rtl w:val="true"/>
      </w:rPr>
      <w:t>אבי גיא נ</w:t>
    </w:r>
    <w:r>
      <w:rPr>
        <w:color w:val="000000"/>
        <w:sz w:val="22"/>
        <w:szCs w:val="22"/>
        <w:rtl w:val="true"/>
      </w:rPr>
      <w:t xml:space="preserve">' </w:t>
    </w:r>
    <w:r>
      <w:rPr>
        <w:color w:val="000000"/>
        <w:sz w:val="22"/>
        <w:sz w:val="22"/>
        <w:szCs w:val="22"/>
        <w:rtl w:val="true"/>
      </w:rPr>
      <w:t>מדינת ישראל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David" w:hAnsi="David" w:eastAsia="David" w:cs="David"/>
      <w:color w:val="auto"/>
      <w:sz w:val="24"/>
      <w:szCs w:val="24"/>
      <w:lang w:val="en-US" w:bidi="he-IL" w:eastAsia="zh-C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LineNumber">
    <w:name w:val="lin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12">
    <w:name w:val="רגיל + ‏12 נק'"/>
    <w:basedOn w:val="Normal"/>
    <w:qFormat/>
    <w:pPr/>
    <w:rPr>
      <w:rFonts w:ascii="Times New Roman" w:hAnsi="Times New Roman" w:eastAsia="Times New Roman" w:cs="Times New Roman"/>
      <w:b/>
      <w:bCs/>
      <w:u w:val="single"/>
    </w:rPr>
  </w:style>
  <w:style w:type="paragraph" w:styleId="David">
    <w:name w:val="סגנון (עברית ושפות אחרות) David מיושר לשני הצדדים מרווח בין שורות..."/>
    <w:basedOn w:val="Normal"/>
    <w:qFormat/>
    <w:pPr>
      <w:spacing w:lineRule="auto" w:line="360"/>
      <w:jc w:val="both"/>
    </w:pPr>
    <w:rPr>
      <w:rFonts w:ascii="Times New Roman" w:hAnsi="Times New Roman" w:eastAsia="Times New Roman" w:cs="Times New Roma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law/4216" TargetMode="External"/><Relationship Id="rId3" Type="http://schemas.openxmlformats.org/officeDocument/2006/relationships/hyperlink" Target="http://www.nevo.co.il/law/4216/6" TargetMode="External"/><Relationship Id="rId4" Type="http://schemas.openxmlformats.org/officeDocument/2006/relationships/hyperlink" Target="http://www.nevo.co.il/law/4216" TargetMode="External"/><Relationship Id="rId5" Type="http://schemas.openxmlformats.org/officeDocument/2006/relationships/hyperlink" Target="http://www.nevo.co.il/law/4216/6" TargetMode="External"/><Relationship Id="rId6" Type="http://schemas.openxmlformats.org/officeDocument/2006/relationships/hyperlink" Target="http://www.nevo.co.il/law/4216/6" TargetMode="External"/><Relationship Id="rId7" Type="http://schemas.openxmlformats.org/officeDocument/2006/relationships/hyperlink" Target="http://www.nevo.co.il/law/4216" TargetMode="External"/><Relationship Id="rId8" Type="http://schemas.openxmlformats.org/officeDocument/2006/relationships/hyperlink" Target="http://www.nevo.co.il/case/18045843" TargetMode="External"/><Relationship Id="rId9" Type="http://schemas.openxmlformats.org/officeDocument/2006/relationships/hyperlink" Target="http://www.nevo.co.il/case/11206432" TargetMode="External"/><Relationship Id="rId10" Type="http://schemas.openxmlformats.org/officeDocument/2006/relationships/hyperlink" Target="http://www.nevo.co.il/advertisements/nevo-100.doc" TargetMode="External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LibreOffice/25.2.2.2$MacOSX_AARCH64 LibreOffice_project/7370d4be9e3cf6031a51beef54ff3bda878e3fac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2017-09-28T10:48:00Z</dcterms:created>
  <dc:creator> </dc:creator>
  <dc:description/>
  <cp:keywords/>
  <dc:language>en-IL</dc:language>
  <cp:lastModifiedBy>run</cp:lastModifiedBy>
  <dcterms:modified xsi:type="dcterms:W3CDTF">2017-09-28T10:48:00Z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אבי גיא</vt:lpwstr>
  </property>
  <property fmtid="{D5CDD505-2E9C-101B-9397-08002B2CF9AE}" pid="3" name="APPELLANT1">
    <vt:lpwstr/>
  </property>
  <property fmtid="{D5CDD505-2E9C-101B-9397-08002B2CF9AE}" pid="4" name="APPELLANT2">
    <vt:lpwstr/>
  </property>
  <property fmtid="{D5CDD505-2E9C-101B-9397-08002B2CF9AE}" pid="5" name="APPELLEE">
    <vt:lpwstr>מדינת ישראל</vt:lpwstr>
  </property>
  <property fmtid="{D5CDD505-2E9C-101B-9397-08002B2CF9AE}" pid="6" name="APPELLEE1">
    <vt:lpwstr/>
  </property>
  <property fmtid="{D5CDD505-2E9C-101B-9397-08002B2CF9AE}" pid="7" name="APPELLEE2">
    <vt:lpwstr/>
  </property>
  <property fmtid="{D5CDD505-2E9C-101B-9397-08002B2CF9AE}" pid="8" name="CASESLISTTMP1">
    <vt:lpwstr>18045843</vt:lpwstr>
  </property>
  <property fmtid="{D5CDD505-2E9C-101B-9397-08002B2CF9AE}" pid="9" name="CITY">
    <vt:lpwstr>ת"א</vt:lpwstr>
  </property>
  <property fmtid="{D5CDD505-2E9C-101B-9397-08002B2CF9AE}" pid="10" name="DATE">
    <vt:lpwstr>20150218</vt:lpwstr>
  </property>
  <property fmtid="{D5CDD505-2E9C-101B-9397-08002B2CF9AE}" pid="11" name="DELEMATA">
    <vt:lpwstr/>
  </property>
  <property fmtid="{D5CDD505-2E9C-101B-9397-08002B2CF9AE}" pid="12" name="ISABSTRACT">
    <vt:lpwstr>Y</vt:lpwstr>
  </property>
  <property fmtid="{D5CDD505-2E9C-101B-9397-08002B2CF9AE}" pid="13" name="JUDGE">
    <vt:lpwstr>ג'ורג' קרא;מרים סוקולוב;דבורה ברלינר</vt:lpwstr>
  </property>
  <property fmtid="{D5CDD505-2E9C-101B-9397-08002B2CF9AE}" pid="14" name="LAWLISTTMP1">
    <vt:lpwstr>4216/006</vt:lpwstr>
  </property>
  <property fmtid="{D5CDD505-2E9C-101B-9397-08002B2CF9AE}" pid="15" name="LAWYER">
    <vt:lpwstr>ניל סיימון;שירי רום</vt:lpwstr>
  </property>
  <property fmtid="{D5CDD505-2E9C-101B-9397-08002B2CF9AE}" pid="16" name="LINKK1">
    <vt:lpwstr/>
  </property>
  <property fmtid="{D5CDD505-2E9C-101B-9397-08002B2CF9AE}" pid="17" name="LINKK2">
    <vt:lpwstr/>
  </property>
  <property fmtid="{D5CDD505-2E9C-101B-9397-08002B2CF9AE}" pid="18" name="LINKK3">
    <vt:lpwstr/>
  </property>
  <property fmtid="{D5CDD505-2E9C-101B-9397-08002B2CF9AE}" pid="19" name="LINKK4">
    <vt:lpwstr/>
  </property>
  <property fmtid="{D5CDD505-2E9C-101B-9397-08002B2CF9AE}" pid="20" name="LINKK5">
    <vt:lpwstr/>
  </property>
  <property fmtid="{D5CDD505-2E9C-101B-9397-08002B2CF9AE}" pid="21" name="NEWPARTA">
    <vt:lpwstr>42358</vt:lpwstr>
  </property>
  <property fmtid="{D5CDD505-2E9C-101B-9397-08002B2CF9AE}" pid="22" name="NEWPARTB">
    <vt:lpwstr>10</vt:lpwstr>
  </property>
  <property fmtid="{D5CDD505-2E9C-101B-9397-08002B2CF9AE}" pid="23" name="NEWPARTC">
    <vt:lpwstr>14</vt:lpwstr>
  </property>
  <property fmtid="{D5CDD505-2E9C-101B-9397-08002B2CF9AE}" pid="24" name="NEWPROC">
    <vt:lpwstr>עפג</vt:lpwstr>
  </property>
  <property fmtid="{D5CDD505-2E9C-101B-9397-08002B2CF9AE}" pid="25" name="PADIMAIL">
    <vt:lpwstr/>
  </property>
  <property fmtid="{D5CDD505-2E9C-101B-9397-08002B2CF9AE}" pid="26" name="PAGE">
    <vt:lpwstr/>
  </property>
  <property fmtid="{D5CDD505-2E9C-101B-9397-08002B2CF9AE}" pid="27" name="PART">
    <vt:lpwstr/>
  </property>
  <property fmtid="{D5CDD505-2E9C-101B-9397-08002B2CF9AE}" pid="28" name="PROCESS">
    <vt:lpwstr/>
  </property>
  <property fmtid="{D5CDD505-2E9C-101B-9397-08002B2CF9AE}" pid="29" name="PROCNUM">
    <vt:lpwstr/>
  </property>
  <property fmtid="{D5CDD505-2E9C-101B-9397-08002B2CF9AE}" pid="30" name="PROCYEAR">
    <vt:lpwstr/>
  </property>
  <property fmtid="{D5CDD505-2E9C-101B-9397-08002B2CF9AE}" pid="31" name="PSAKDIN">
    <vt:lpwstr>פסק-דין</vt:lpwstr>
  </property>
  <property fmtid="{D5CDD505-2E9C-101B-9397-08002B2CF9AE}" pid="32" name="TYPE">
    <vt:lpwstr>2</vt:lpwstr>
  </property>
  <property fmtid="{D5CDD505-2E9C-101B-9397-08002B2CF9AE}" pid="33" name="TYPE_ABS_DATE">
    <vt:lpwstr>390020150218</vt:lpwstr>
  </property>
  <property fmtid="{D5CDD505-2E9C-101B-9397-08002B2CF9AE}" pid="34" name="TYPE_N_DATE">
    <vt:lpwstr>39020150218</vt:lpwstr>
  </property>
  <property fmtid="{D5CDD505-2E9C-101B-9397-08002B2CF9AE}" pid="35" name="VOLUME">
    <vt:lpwstr/>
  </property>
  <property fmtid="{D5CDD505-2E9C-101B-9397-08002B2CF9AE}" pid="36" name="WORDNUMPAGES">
    <vt:lpwstr>4</vt:lpwstr>
  </property>
</Properties>
</file>