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start"/>
        <w:rPr/>
      </w:pPr>
      <w:r>
        <w:rPr>
          <w:rtl w:val="true"/>
        </w:rPr>
      </w:r>
      <w:bookmarkStart w:id="0" w:name="LastJudge"/>
      <w:bookmarkStart w:id="1" w:name="LastJudge"/>
      <w:bookmarkEnd w:id="1"/>
    </w:p>
    <w:p>
      <w:pPr>
        <w:pStyle w:val="Header"/>
        <w:tabs>
          <w:tab w:val="clear" w:pos="720"/>
        </w:tabs>
        <w:ind w:end="0"/>
        <w:jc w:val="center"/>
        <w:rPr/>
      </w:pPr>
      <w:r>
        <w:rPr>
          <w:rtl w:val="true"/>
        </w:rPr>
      </w:r>
    </w:p>
    <w:p>
      <w:pPr>
        <w:pStyle w:val="Header"/>
        <w:tabs>
          <w:tab w:val="clear" w:pos="720"/>
        </w:tabs>
        <w:ind w:end="0"/>
        <w:jc w:val="center"/>
        <w:rPr/>
      </w:pPr>
      <w:r>
        <w:rPr>
          <w:rtl w:val="true"/>
        </w:rPr>
      </w:r>
    </w:p>
    <w:p>
      <w:pPr>
        <w:pStyle w:val="Header"/>
        <w:tabs>
          <w:tab w:val="clear" w:pos="720"/>
        </w:tabs>
        <w:ind w:end="0"/>
        <w:jc w:val="center"/>
        <w:rPr/>
      </w:pPr>
      <w:r>
        <w:rPr>
          <w:rtl w:val="true"/>
        </w:rPr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בבאר שבע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47551-07-10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חביב ואח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פרקליטות מחוז דרום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-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פלילי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10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נובמבר </w:t>
            </w:r>
            <w:r>
              <w:rPr>
                <w:b/>
                <w:bCs/>
                <w:sz w:val="26"/>
                <w:szCs w:val="26"/>
              </w:rPr>
              <w:t>2010</w:t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color w:val="000080"/>
          <w:sz w:val="20"/>
          <w:szCs w:val="20"/>
        </w:rPr>
      </w:pPr>
      <w:r>
        <w:rPr>
          <w:rFonts w:cs="Arial" w:ascii="Arial" w:hAnsi="Arial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2"/>
        <w:gridCol w:w="7128"/>
      </w:tblGrid>
      <w:tr>
        <w:trPr>
          <w:trHeight w:val="337" w:hRule="atLeast"/>
        </w:trPr>
        <w:tc>
          <w:tcPr>
            <w:tcW w:w="1592" w:type="dxa"/>
            <w:tcBorders/>
          </w:tcPr>
          <w:p>
            <w:pPr>
              <w:pStyle w:val="Header"/>
              <w:bidi w:val="0"/>
              <w:snapToGrid w:val="false"/>
              <w:spacing w:lineRule="auto" w:line="3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712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3"/>
        <w:gridCol w:w="2797"/>
        <w:gridCol w:w="360"/>
        <w:gridCol w:w="5562"/>
      </w:tblGrid>
      <w:tr>
        <w:trPr/>
        <w:tc>
          <w:tcPr>
            <w:tcW w:w="83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9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ind w:end="0"/>
              <w:jc w:val="both"/>
              <w:rPr>
                <w:rFonts w:ascii="Arial" w:hAnsi="Arial" w:cs="Arial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בפני 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רות אבידע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 יעקב שפסר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נחמה נצר</w:t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2" w:name="FirstAppellant"/>
            <w:bookmarkEnd w:id="2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מערערים</w:t>
            </w:r>
          </w:p>
        </w:tc>
        <w:tc>
          <w:tcPr>
            <w:tcW w:w="5922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טייב חביב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בועז דיין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8802" w:type="dxa"/>
            <w:gridSpan w:val="4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משיב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</w:p>
        </w:tc>
        <w:tc>
          <w:tcPr>
            <w:tcW w:w="5922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40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556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end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 xml:space="preserve">: </w:t>
      </w:r>
      <w:r>
        <w:rPr>
          <w:u w:val="none"/>
          <w:rtl w:val="true"/>
        </w:rPr>
        <w:t xml:space="preserve">המערער </w:t>
      </w:r>
      <w:r>
        <w:rPr>
          <w:u w:val="none"/>
        </w:rPr>
        <w:t>1</w:t>
      </w:r>
      <w:r>
        <w:rPr>
          <w:u w:val="none"/>
          <w:rtl w:val="true"/>
        </w:rPr>
        <w:t xml:space="preserve"> </w:t>
      </w:r>
      <w:r>
        <w:rPr>
          <w:u w:val="none"/>
          <w:rtl w:val="true"/>
        </w:rPr>
        <w:t>ו</w:t>
      </w:r>
      <w:bookmarkStart w:id="3" w:name="FirstLawyer"/>
      <w:r>
        <w:rPr>
          <w:u w:val="none"/>
          <w:rtl w:val="true"/>
        </w:rPr>
        <w:t>ב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כ</w:t>
      </w:r>
      <w:bookmarkEnd w:id="3"/>
      <w:r>
        <w:rPr>
          <w:u w:val="none"/>
          <w:rtl w:val="true"/>
        </w:rPr>
        <w:t xml:space="preserve"> עו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ד מלי אטיאס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ab/>
      </w:r>
      <w:r>
        <w:rPr>
          <w:u w:val="none"/>
          <w:rtl w:val="true"/>
        </w:rPr>
        <w:t xml:space="preserve">המערער </w:t>
      </w:r>
      <w:r>
        <w:rPr>
          <w:u w:val="none"/>
        </w:rPr>
        <w:t>2</w:t>
      </w:r>
      <w:r>
        <w:rPr>
          <w:u w:val="none"/>
          <w:rtl w:val="true"/>
        </w:rPr>
        <w:t xml:space="preserve"> </w:t>
      </w:r>
      <w:r>
        <w:rPr>
          <w:u w:val="none"/>
          <w:rtl w:val="true"/>
        </w:rPr>
        <w:t>וב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כ עו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ד גיא באלס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ab/>
      </w:r>
      <w:r>
        <w:rPr>
          <w:u w:val="none"/>
          <w:rtl w:val="true"/>
        </w:rPr>
        <w:t>ב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כ המשיבה עו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ד שרה טל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none"/>
        </w:rPr>
      </w:pPr>
      <w:r>
        <w:rPr>
          <w:rFonts w:cs="Arial" w:ascii="Arial" w:hAnsi="Arial"/>
          <w:b/>
          <w:bCs/>
          <w:sz w:val="28"/>
          <w:szCs w:val="28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4" w:name="LastJudge"/>
      <w:bookmarkStart w:id="5" w:name="PsakDin"/>
      <w:bookmarkEnd w:id="4"/>
      <w:bookmarkEnd w:id="5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/>
      </w:pPr>
      <w:bookmarkStart w:id="6" w:name="PsakDin"/>
      <w:bookmarkEnd w:id="6"/>
      <w:r>
        <w:rPr/>
        <w:t>1</w:t>
      </w:r>
      <w:bookmarkStart w:id="7" w:name="ABSTRACT_START"/>
      <w:bookmarkEnd w:id="7"/>
      <w:r>
        <w:rPr>
          <w:rtl w:val="true"/>
        </w:rPr>
        <w:t xml:space="preserve">. </w:t>
      </w:r>
      <w:r>
        <w:rPr>
          <w:rtl w:val="true"/>
        </w:rPr>
        <w:t>נגד המערערים הוגש כתב אישום אשר תוקן בבית משפט השלום בקרית גת</w:t>
      </w:r>
      <w:r>
        <w:rPr>
          <w:rtl w:val="true"/>
        </w:rPr>
        <w:t xml:space="preserve">. </w:t>
      </w:r>
      <w:r>
        <w:rPr>
          <w:rtl w:val="true"/>
        </w:rPr>
        <w:t>נטען בכתב האישום המתוקן</w:t>
      </w:r>
      <w:r>
        <w:rPr>
          <w:rtl w:val="true"/>
        </w:rPr>
        <w:t xml:space="preserve">, </w:t>
      </w:r>
      <w:r>
        <w:rPr>
          <w:rtl w:val="true"/>
        </w:rPr>
        <w:t xml:space="preserve">כי ביום </w:t>
      </w:r>
      <w:r>
        <w:rPr/>
        <w:t>17.7.08</w:t>
      </w:r>
      <w:r>
        <w:rPr>
          <w:rtl w:val="true"/>
        </w:rPr>
        <w:t xml:space="preserve"> </w:t>
      </w:r>
      <w:r>
        <w:rPr>
          <w:rtl w:val="true"/>
        </w:rPr>
        <w:t xml:space="preserve">בשעה </w:t>
      </w:r>
      <w:r>
        <w:rPr/>
        <w:t>01:50</w:t>
      </w:r>
      <w:r>
        <w:rPr>
          <w:rtl w:val="true"/>
        </w:rPr>
        <w:t xml:space="preserve"> </w:t>
      </w:r>
      <w:r>
        <w:rPr>
          <w:rtl w:val="true"/>
        </w:rPr>
        <w:t>או בסמוך לכך</w:t>
      </w:r>
      <w:r>
        <w:rPr>
          <w:rtl w:val="true"/>
        </w:rPr>
        <w:t xml:space="preserve">, </w:t>
      </w:r>
      <w:r>
        <w:rPr>
          <w:rtl w:val="true"/>
        </w:rPr>
        <w:t>השיגו גבול המערערים בצוותא חדא למפעל מרבק באזור התעשיה בבאר טוביה</w:t>
      </w:r>
      <w:r>
        <w:rPr>
          <w:rtl w:val="true"/>
        </w:rPr>
        <w:t xml:space="preserve">, </w:t>
      </w:r>
      <w:r>
        <w:rPr>
          <w:rtl w:val="true"/>
        </w:rPr>
        <w:t>בכך שנכנסו למרבק דרך החומה וזאת בכוונה לבצע גניבה</w:t>
      </w:r>
      <w:r>
        <w:rPr>
          <w:rtl w:val="true"/>
        </w:rPr>
        <w:t xml:space="preserve">. </w:t>
      </w:r>
      <w:r>
        <w:rPr>
          <w:rtl w:val="true"/>
        </w:rPr>
        <w:t>מיד ובסמוך הזיקו המערערים למקרר בכך שחתכו את מנעול התליה</w:t>
      </w:r>
      <w:r>
        <w:rPr>
          <w:rtl w:val="true"/>
        </w:rPr>
        <w:t xml:space="preserve">, </w:t>
      </w:r>
      <w:r>
        <w:rPr>
          <w:rtl w:val="true"/>
        </w:rPr>
        <w:t>וזאת בכוונה לבצע גניבה</w:t>
      </w:r>
      <w:r>
        <w:rPr>
          <w:rtl w:val="true"/>
        </w:rPr>
        <w:t xml:space="preserve">. </w:t>
      </w:r>
      <w:r>
        <w:rPr>
          <w:rtl w:val="true"/>
        </w:rPr>
        <w:t>מיד ובסמוך ניסו המערערים לגנוב בצוותא חדא ממחסני הקירור במרבק בכך שהוציאו משם תשעה משטחי בשר</w:t>
      </w:r>
      <w:r>
        <w:rPr>
          <w:rtl w:val="true"/>
        </w:rPr>
        <w:t xml:space="preserve">. </w:t>
      </w:r>
      <w:r>
        <w:rPr>
          <w:rtl w:val="true"/>
        </w:rPr>
        <w:t>המערערים נתפסו במקום</w:t>
      </w:r>
      <w:r>
        <w:rPr>
          <w:rtl w:val="true"/>
        </w:rPr>
        <w:t xml:space="preserve">. </w:t>
      </w:r>
      <w:r>
        <w:rPr>
          <w:rtl w:val="true"/>
        </w:rPr>
        <w:t>בגין עובדות אלו</w:t>
      </w:r>
      <w:r>
        <w:rPr>
          <w:rtl w:val="true"/>
        </w:rPr>
        <w:t xml:space="preserve">, </w:t>
      </w:r>
      <w:r>
        <w:rPr>
          <w:rtl w:val="true"/>
        </w:rPr>
        <w:t>יחסה המשיבה למערערים עבירות של הסגת גבול פלילית</w:t>
      </w:r>
      <w:r>
        <w:rPr>
          <w:rtl w:val="true"/>
        </w:rPr>
        <w:t xml:space="preserve">, </w:t>
      </w:r>
      <w:r>
        <w:rPr>
          <w:rtl w:val="true"/>
        </w:rPr>
        <w:t>ניסיון גניבה</w:t>
      </w:r>
      <w:r>
        <w:rPr>
          <w:rtl w:val="true"/>
        </w:rPr>
        <w:t xml:space="preserve">, </w:t>
      </w:r>
      <w:r>
        <w:rPr>
          <w:rtl w:val="true"/>
        </w:rPr>
        <w:t>ושתי עבירות של היזק לרכוש במזיד</w:t>
      </w:r>
      <w:r>
        <w:rPr>
          <w:rtl w:val="true"/>
        </w:rPr>
        <w:t xml:space="preserve">. </w:t>
      </w:r>
      <w:r>
        <w:rPr>
          <w:rtl w:val="true"/>
        </w:rPr>
        <w:t>לאחר תיקון כתב האישום</w:t>
      </w:r>
      <w:r>
        <w:rPr>
          <w:rtl w:val="true"/>
        </w:rPr>
        <w:t xml:space="preserve">, </w:t>
      </w:r>
      <w:r>
        <w:rPr>
          <w:rtl w:val="true"/>
        </w:rPr>
        <w:t>הודו המערערים בעובדות שיוחסו להם בכתב האישום המתוקן</w:t>
      </w:r>
      <w:r>
        <w:rPr>
          <w:rtl w:val="true"/>
        </w:rPr>
        <w:t xml:space="preserve">, </w:t>
      </w:r>
      <w:r>
        <w:rPr>
          <w:rtl w:val="true"/>
        </w:rPr>
        <w:t>ועניינם הועבר לשירות המבחן על מנת שיוגש תסקיר אודותיהם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  <w:bookmarkStart w:id="8" w:name="ABSTRACT_END"/>
      <w:bookmarkStart w:id="9" w:name="ABSTRACT_END"/>
      <w:bookmarkEnd w:id="9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שירות המבחן הגיש תסקירים בהם סקר את תולדות חייהם של המערערים</w:t>
      </w:r>
      <w:r>
        <w:rPr>
          <w:rtl w:val="true"/>
        </w:rPr>
        <w:t xml:space="preserve">, </w:t>
      </w:r>
      <w:r>
        <w:rPr>
          <w:rtl w:val="true"/>
        </w:rPr>
        <w:t>התייחסותם לעבירות המיוחסות להם</w:t>
      </w:r>
      <w:r>
        <w:rPr>
          <w:rtl w:val="true"/>
        </w:rPr>
        <w:t xml:space="preserve">, </w:t>
      </w:r>
      <w:r>
        <w:rPr>
          <w:rtl w:val="true"/>
        </w:rPr>
        <w:t>ובסופם של התסקירים המליץ על עונש מאסר קצר שירוצה בעבודות שירות</w:t>
      </w:r>
      <w:r>
        <w:rPr>
          <w:rtl w:val="true"/>
        </w:rPr>
        <w:t xml:space="preserve">. </w:t>
      </w:r>
      <w:r>
        <w:rPr>
          <w:rtl w:val="true"/>
        </w:rPr>
        <w:t>לאחר שבית המשפט שמע את טענות הצדדים</w:t>
      </w:r>
      <w:r>
        <w:rPr>
          <w:rtl w:val="true"/>
        </w:rPr>
        <w:t xml:space="preserve">, </w:t>
      </w:r>
      <w:r>
        <w:rPr>
          <w:rtl w:val="true"/>
        </w:rPr>
        <w:t xml:space="preserve">השית בית המשפט על המערערים 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ימי מאסר לריצוי בפועל</w:t>
      </w:r>
      <w:r>
        <w:rPr>
          <w:rtl w:val="true"/>
        </w:rPr>
        <w:t xml:space="preserve">, </w:t>
      </w:r>
      <w:r>
        <w:rPr>
          <w:rtl w:val="true"/>
        </w:rPr>
        <w:t>מאסר על תנאי</w:t>
      </w:r>
      <w:r>
        <w:rPr>
          <w:rtl w:val="true"/>
        </w:rPr>
        <w:t xml:space="preserve">, </w:t>
      </w:r>
      <w:r>
        <w:rPr>
          <w:rtl w:val="true"/>
        </w:rPr>
        <w:t>תשלום פיצוי למפעל מרבק</w:t>
      </w:r>
      <w:r>
        <w:rPr>
          <w:rtl w:val="true"/>
        </w:rPr>
        <w:t xml:space="preserve">, </w:t>
      </w:r>
      <w:r>
        <w:rPr>
          <w:rtl w:val="true"/>
        </w:rPr>
        <w:t xml:space="preserve">והורה על חילוט המשאית של המערער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על עונש המאסר לריצוי בפועל וחילוט המשאית הוגש הערעור המונח בפנינו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תחילה שטחו ב</w:t>
      </w:r>
      <w:r>
        <w:rPr>
          <w:rtl w:val="true"/>
        </w:rPr>
        <w:t>"</w:t>
      </w:r>
      <w:r>
        <w:rPr>
          <w:rtl w:val="true"/>
        </w:rPr>
        <w:t>כ המערערים את בקשתם להזמין תסקיר נוסף אודות מרשיהם</w:t>
      </w:r>
      <w:r>
        <w:rPr>
          <w:rtl w:val="true"/>
        </w:rPr>
        <w:t xml:space="preserve">. </w:t>
      </w:r>
      <w:r>
        <w:rPr>
          <w:rtl w:val="true"/>
        </w:rPr>
        <w:t>לטענתם</w:t>
      </w:r>
      <w:r>
        <w:rPr>
          <w:rtl w:val="true"/>
        </w:rPr>
        <w:t xml:space="preserve">, </w:t>
      </w:r>
      <w:r>
        <w:rPr>
          <w:rtl w:val="true"/>
        </w:rPr>
        <w:t>מרשיהם הובנו שלא כהלכה ע</w:t>
      </w:r>
      <w:r>
        <w:rPr>
          <w:rtl w:val="true"/>
        </w:rPr>
        <w:t>"</w:t>
      </w:r>
      <w:r>
        <w:rPr>
          <w:rtl w:val="true"/>
        </w:rPr>
        <w:t>י שירות המבחן</w:t>
      </w:r>
      <w:r>
        <w:rPr>
          <w:rtl w:val="true"/>
        </w:rPr>
        <w:t xml:space="preserve">, </w:t>
      </w:r>
      <w:r>
        <w:rPr>
          <w:rtl w:val="true"/>
        </w:rPr>
        <w:t>והם מעוניינים ורוצים להשתתף בהליך שיקומי</w:t>
      </w:r>
      <w:r>
        <w:rPr>
          <w:rtl w:val="true"/>
        </w:rPr>
        <w:t xml:space="preserve">. </w:t>
      </w:r>
      <w:r>
        <w:rPr>
          <w:rtl w:val="true"/>
        </w:rPr>
        <w:t>לא מצאנו להיזקק לבקשה</w:t>
      </w:r>
      <w:r>
        <w:rPr>
          <w:rtl w:val="true"/>
        </w:rPr>
        <w:t xml:space="preserve">. </w:t>
      </w:r>
      <w:r>
        <w:rPr>
          <w:rtl w:val="true"/>
        </w:rPr>
        <w:t>מונחים בפנינו תסקירים מפברואר השנה</w:t>
      </w:r>
      <w:r>
        <w:rPr>
          <w:rtl w:val="true"/>
        </w:rPr>
        <w:t xml:space="preserve">, </w:t>
      </w:r>
      <w:r>
        <w:rPr>
          <w:rtl w:val="true"/>
        </w:rPr>
        <w:t>בהם תיאור נרחב על נסיבותיהם של המערערים</w:t>
      </w:r>
      <w:r>
        <w:rPr>
          <w:rtl w:val="true"/>
        </w:rPr>
        <w:t xml:space="preserve">. </w:t>
      </w:r>
      <w:r>
        <w:rPr>
          <w:rtl w:val="true"/>
        </w:rPr>
        <w:t>עסקינן</w:t>
      </w:r>
      <w:r>
        <w:rPr>
          <w:rtl w:val="true"/>
        </w:rPr>
        <w:t xml:space="preserve">, </w:t>
      </w:r>
      <w:r>
        <w:rPr>
          <w:rtl w:val="true"/>
        </w:rPr>
        <w:t xml:space="preserve">בשני מערערים כבני </w:t>
      </w:r>
      <w:r>
        <w:rPr/>
        <w:t>35</w:t>
      </w:r>
      <w:r>
        <w:rPr>
          <w:rtl w:val="true"/>
        </w:rPr>
        <w:t xml:space="preserve">, </w:t>
      </w:r>
      <w:r>
        <w:rPr>
          <w:rtl w:val="true"/>
        </w:rPr>
        <w:t xml:space="preserve">המערער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אב לחמישה ילדים</w:t>
      </w:r>
      <w:r>
        <w:rPr>
          <w:rtl w:val="true"/>
        </w:rPr>
        <w:t xml:space="preserve">, </w:t>
      </w:r>
      <w:r>
        <w:rPr>
          <w:rtl w:val="true"/>
        </w:rPr>
        <w:t xml:space="preserve">מערער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אב לשלושה ילדים</w:t>
      </w:r>
      <w:r>
        <w:rPr>
          <w:rtl w:val="true"/>
        </w:rPr>
        <w:t xml:space="preserve">. </w:t>
      </w:r>
      <w:r>
        <w:rPr>
          <w:rtl w:val="true"/>
        </w:rPr>
        <w:t>לשניהם אין עבר פלילי כלשהו הרלבנטי לענייננו</w:t>
      </w:r>
      <w:r>
        <w:rPr>
          <w:rtl w:val="true"/>
        </w:rPr>
        <w:t xml:space="preserve">. </w:t>
      </w:r>
      <w:r>
        <w:rPr>
          <w:rtl w:val="true"/>
        </w:rPr>
        <w:t xml:space="preserve">נציין כי למערער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אין רישום פלילי כלל</w:t>
      </w:r>
      <w:r>
        <w:rPr>
          <w:rtl w:val="true"/>
        </w:rPr>
        <w:t xml:space="preserve">, </w:t>
      </w:r>
      <w:r>
        <w:rPr>
          <w:rtl w:val="true"/>
        </w:rPr>
        <w:t xml:space="preserve">בעוד שלמערער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אך לא מסוג העבירות בהן עסקינן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 מצאנו במכלול הנסיבות כי נכון יהיה לשוב ולהפנות המערערים לשירות המבחן לצורך ההליך השיקומי שהם מעוניינים בו כעת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>אשר לערעור על העונש</w:t>
      </w:r>
      <w:r>
        <w:rPr>
          <w:rtl w:val="true"/>
        </w:rPr>
        <w:t xml:space="preserve">, </w:t>
      </w:r>
      <w:r>
        <w:rPr>
          <w:rtl w:val="true"/>
        </w:rPr>
        <w:t>ערים אנו לכך כי עונש מאסר אפילו קצר הינו עונש קשה עבור אנשים אשר זאת מעידתם הראשונה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כפי שתיארו הסנגורים המלומדים</w:t>
      </w:r>
      <w:r>
        <w:rPr>
          <w:rtl w:val="true"/>
        </w:rPr>
        <w:t xml:space="preserve">, </w:t>
      </w:r>
      <w:r>
        <w:rPr>
          <w:rtl w:val="true"/>
        </w:rPr>
        <w:t>עונש מאסר גם אם קצר קוטע את החיים</w:t>
      </w:r>
      <w:r>
        <w:rPr>
          <w:rtl w:val="true"/>
        </w:rPr>
        <w:t xml:space="preserve">, </w:t>
      </w:r>
      <w:r>
        <w:rPr>
          <w:rtl w:val="true"/>
        </w:rPr>
        <w:t>עלול לגרום לאובדן מקום עבודה</w:t>
      </w:r>
      <w:r>
        <w:rPr>
          <w:rtl w:val="true"/>
        </w:rPr>
        <w:t xml:space="preserve">, </w:t>
      </w:r>
      <w:r>
        <w:rPr>
          <w:rtl w:val="true"/>
        </w:rPr>
        <w:t>ומסב נזק וכאב רב לא רק למערערים אלא אף למשפחותיהם</w:t>
      </w:r>
      <w:r>
        <w:rPr>
          <w:rtl w:val="true"/>
        </w:rPr>
        <w:t xml:space="preserve">. </w:t>
      </w:r>
      <w:r>
        <w:rPr>
          <w:rtl w:val="true"/>
        </w:rPr>
        <w:t>יחד עם זאת</w:t>
      </w:r>
      <w:r>
        <w:rPr>
          <w:rtl w:val="true"/>
        </w:rPr>
        <w:t xml:space="preserve">, </w:t>
      </w:r>
      <w:r>
        <w:rPr>
          <w:rtl w:val="true"/>
        </w:rPr>
        <w:t>וכפי שאף ציין בית משפט השלום</w:t>
      </w:r>
      <w:r>
        <w:rPr>
          <w:rtl w:val="true"/>
        </w:rPr>
        <w:t xml:space="preserve">, </w:t>
      </w:r>
      <w:r>
        <w:rPr>
          <w:rtl w:val="true"/>
        </w:rPr>
        <w:t>סבורים אנו</w:t>
      </w:r>
      <w:r>
        <w:rPr>
          <w:rtl w:val="true"/>
        </w:rPr>
        <w:t xml:space="preserve">, </w:t>
      </w:r>
      <w:r>
        <w:rPr>
          <w:rtl w:val="true"/>
        </w:rPr>
        <w:t>כי מדובר בעבירות חמורות</w:t>
      </w:r>
      <w:r>
        <w:rPr>
          <w:rtl w:val="true"/>
        </w:rPr>
        <w:t xml:space="preserve">. </w:t>
      </w:r>
      <w:r>
        <w:rPr>
          <w:rtl w:val="true"/>
        </w:rPr>
        <w:t>כניסה למפעל בשר וגניבת בשר</w:t>
      </w:r>
      <w:r>
        <w:rPr>
          <w:rtl w:val="true"/>
        </w:rPr>
        <w:t xml:space="preserve">, </w:t>
      </w:r>
      <w:r>
        <w:rPr>
          <w:rtl w:val="true"/>
        </w:rPr>
        <w:t>אשר חלילה היה מגיע לשוק לא רק שמהווה עבירה כלכלית</w:t>
      </w:r>
      <w:r>
        <w:rPr>
          <w:rtl w:val="true"/>
        </w:rPr>
        <w:t xml:space="preserve">, </w:t>
      </w:r>
      <w:r>
        <w:rPr>
          <w:rtl w:val="true"/>
        </w:rPr>
        <w:t>אלא עלול היה חלילה וחס אף לגרום נזק לקונים פוטנציאליים אילו עלה בידיהם של המערערים להשלים את זממם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בית המשפט כאשר השית על המערערים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ימי מאסר שקל</w:t>
      </w:r>
      <w:r>
        <w:rPr>
          <w:rtl w:val="true"/>
        </w:rPr>
        <w:t xml:space="preserve">, </w:t>
      </w:r>
      <w:r>
        <w:rPr>
          <w:rtl w:val="true"/>
        </w:rPr>
        <w:t>ושקל נכון את מכלול הנסיבות</w:t>
      </w:r>
      <w:r>
        <w:rPr>
          <w:rtl w:val="true"/>
        </w:rPr>
        <w:t xml:space="preserve">. </w:t>
      </w:r>
      <w:r>
        <w:rPr>
          <w:rtl w:val="true"/>
        </w:rPr>
        <w:t>מצד אחד היה ער לנסיבותיהם האישיות של המערערים</w:t>
      </w:r>
      <w:r>
        <w:rPr>
          <w:rtl w:val="true"/>
        </w:rPr>
        <w:t xml:space="preserve">, </w:t>
      </w:r>
      <w:r>
        <w:rPr>
          <w:rtl w:val="true"/>
        </w:rPr>
        <w:t>מאידך</w:t>
      </w:r>
      <w:r>
        <w:rPr>
          <w:rtl w:val="true"/>
        </w:rPr>
        <w:t xml:space="preserve">, </w:t>
      </w:r>
      <w:r>
        <w:rPr>
          <w:rtl w:val="true"/>
        </w:rPr>
        <w:t>ובצדק</w:t>
      </w:r>
      <w:r>
        <w:rPr>
          <w:rtl w:val="true"/>
        </w:rPr>
        <w:t xml:space="preserve">, </w:t>
      </w:r>
      <w:r>
        <w:rPr>
          <w:rtl w:val="true"/>
        </w:rPr>
        <w:t>לא התעלם מחומרתן של העבירות והפגיעה בציבור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 על כן</w:t>
      </w:r>
      <w:r>
        <w:rPr>
          <w:rtl w:val="true"/>
        </w:rPr>
        <w:t xml:space="preserve">, </w:t>
      </w:r>
      <w:r>
        <w:rPr>
          <w:rtl w:val="true"/>
        </w:rPr>
        <w:t>לא מצאנו להתערב בעונש המאסר שהושת על המערערים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 xml:space="preserve">אשר לעונש החילוט שהושת על מערער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 xml:space="preserve">בהוראתו לחלט את המשאית של מערער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נוצר אי שיוויון משמעותי בין שני המערערים</w:t>
      </w:r>
      <w:r>
        <w:rPr>
          <w:rtl w:val="true"/>
        </w:rPr>
        <w:t xml:space="preserve">. </w:t>
      </w:r>
      <w:r>
        <w:rPr>
          <w:rtl w:val="true"/>
        </w:rPr>
        <w:t xml:space="preserve">המערער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מתפרנס מהמשאית</w:t>
      </w:r>
      <w:r>
        <w:rPr>
          <w:rtl w:val="true"/>
        </w:rPr>
        <w:t xml:space="preserve">, </w:t>
      </w:r>
      <w:r>
        <w:rPr>
          <w:rtl w:val="true"/>
        </w:rPr>
        <w:t xml:space="preserve">קראנו שמדובר במשאית שבעמל רב עלה בידי המערער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לרכוש לאחר שמשאית קודמת שהיתה ברשותו נגנבה</w:t>
      </w:r>
      <w:r>
        <w:rPr>
          <w:rtl w:val="true"/>
        </w:rPr>
        <w:t xml:space="preserve">. </w:t>
      </w:r>
      <w:r>
        <w:rPr>
          <w:rtl w:val="true"/>
        </w:rPr>
        <w:t xml:space="preserve">חילוט המשאית משמעותו גדיעת פרנסת המערער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וזאת בפעם השניה</w:t>
      </w:r>
      <w:r>
        <w:rPr>
          <w:rtl w:val="true"/>
        </w:rPr>
        <w:t xml:space="preserve">. </w:t>
      </w:r>
      <w:r>
        <w:rPr>
          <w:rtl w:val="true"/>
        </w:rPr>
        <w:t>זאת ועוד</w:t>
      </w:r>
      <w:r>
        <w:rPr>
          <w:rtl w:val="true"/>
        </w:rPr>
        <w:t xml:space="preserve">, </w:t>
      </w:r>
      <w:r>
        <w:rPr>
          <w:rtl w:val="true"/>
        </w:rPr>
        <w:t>סמכות חילוט מותנית בהפעלתם של תנאים מצטברים ולפיהם בחפץ שנתפס בוצעה העבירה</w:t>
      </w:r>
      <w:r>
        <w:rPr>
          <w:rtl w:val="true"/>
        </w:rPr>
        <w:t xml:space="preserve">, </w:t>
      </w:r>
      <w:r>
        <w:rPr>
          <w:rtl w:val="true"/>
        </w:rPr>
        <w:t>והשני הוא שבעל החפץ הורשע והרשעתו מתייחסת לחפץ עצמו</w:t>
      </w:r>
      <w:r>
        <w:rPr>
          <w:rtl w:val="true"/>
        </w:rPr>
        <w:t xml:space="preserve">. </w:t>
      </w:r>
      <w:r>
        <w:rPr>
          <w:rtl w:val="true"/>
        </w:rPr>
        <w:t>הואיל והחילוט הינו עונש</w:t>
      </w:r>
      <w:r>
        <w:rPr>
          <w:rtl w:val="true"/>
        </w:rPr>
        <w:t xml:space="preserve">, </w:t>
      </w:r>
      <w:r>
        <w:rPr>
          <w:rtl w:val="true"/>
        </w:rPr>
        <w:t>וככזה יש להעניק לו פרשנות מצמצמת</w:t>
      </w:r>
      <w:r>
        <w:rPr>
          <w:rtl w:val="true"/>
        </w:rPr>
        <w:t xml:space="preserve">, </w:t>
      </w:r>
      <w:r>
        <w:rPr>
          <w:rtl w:val="true"/>
        </w:rPr>
        <w:t>ומשנמחק נושא המשאית כליל מכתב האישום המתוקן</w:t>
      </w:r>
      <w:r>
        <w:rPr>
          <w:rtl w:val="true"/>
        </w:rPr>
        <w:t xml:space="preserve">, </w:t>
      </w:r>
      <w:r>
        <w:rPr>
          <w:rtl w:val="true"/>
        </w:rPr>
        <w:t>ומשאין להפלות</w:t>
      </w:r>
      <w:r>
        <w:rPr>
          <w:rtl w:val="true"/>
        </w:rPr>
        <w:t xml:space="preserve">, </w:t>
      </w:r>
      <w:r>
        <w:rPr>
          <w:rtl w:val="true"/>
        </w:rPr>
        <w:t>בכל אופן לא במידה שכזו בין שני המערערים</w:t>
      </w:r>
      <w:r>
        <w:rPr>
          <w:rtl w:val="true"/>
        </w:rPr>
        <w:t xml:space="preserve">, </w:t>
      </w:r>
      <w:r>
        <w:rPr>
          <w:rtl w:val="true"/>
        </w:rPr>
        <w:t xml:space="preserve">וכדי שלא לגדוע את מטה לחמו של המערער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אנו מבטלים את ההוראה בדבר חילוט המשאית</w:t>
      </w:r>
      <w:r>
        <w:rPr>
          <w:rtl w:val="true"/>
        </w:rPr>
        <w:t xml:space="preserve">. </w:t>
      </w:r>
      <w:r>
        <w:rPr>
          <w:rtl w:val="true"/>
        </w:rPr>
        <w:t xml:space="preserve">הכסף </w:t>
      </w:r>
      <w:r>
        <w:rPr/>
        <w:t>5,000</w:t>
      </w:r>
      <w:r>
        <w:rPr>
          <w:rtl w:val="true"/>
        </w:rPr>
        <w:t xml:space="preserve"> ₪ </w:t>
      </w:r>
      <w:r>
        <w:rPr>
          <w:rtl w:val="true"/>
        </w:rPr>
        <w:t>שהופקד ע</w:t>
      </w:r>
      <w:r>
        <w:rPr>
          <w:rtl w:val="true"/>
        </w:rPr>
        <w:t>"</w:t>
      </w:r>
      <w:r>
        <w:rPr>
          <w:rtl w:val="true"/>
        </w:rPr>
        <w:t xml:space="preserve">י המערער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יוחזר למערער </w:t>
      </w:r>
      <w:r>
        <w:rPr/>
        <w:t>2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בכפוף לאמור</w:t>
      </w:r>
      <w:r>
        <w:rPr>
          <w:rtl w:val="true"/>
        </w:rPr>
        <w:t xml:space="preserve">, </w:t>
      </w:r>
      <w:r>
        <w:rPr>
          <w:rtl w:val="true"/>
        </w:rPr>
        <w:t>הערעור נדחה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המערערים יתייצבו לריצוי עונש המאסר ביום </w:t>
      </w:r>
      <w:r>
        <w:rPr/>
        <w:t>2.1.11</w:t>
      </w:r>
      <w:r>
        <w:rPr>
          <w:rtl w:val="true"/>
        </w:rPr>
        <w:t xml:space="preserve"> </w:t>
      </w:r>
      <w:r>
        <w:rPr>
          <w:rtl w:val="true"/>
        </w:rPr>
        <w:t xml:space="preserve">לא יאוחר מהשעה </w:t>
      </w:r>
      <w:r>
        <w:rPr/>
        <w:t>08:30</w:t>
      </w:r>
      <w:r>
        <w:rPr>
          <w:rtl w:val="true"/>
        </w:rPr>
        <w:t xml:space="preserve"> </w:t>
      </w:r>
      <w:r>
        <w:rPr>
          <w:rtl w:val="true"/>
        </w:rPr>
        <w:t>במתחם בית כלא דקל</w:t>
      </w:r>
      <w:r>
        <w:rPr>
          <w:rtl w:val="true"/>
        </w:rPr>
        <w:t xml:space="preserve">. </w:t>
      </w:r>
      <w:r>
        <w:rPr>
          <w:rtl w:val="true"/>
        </w:rPr>
        <w:t>עד אז יהיו משוחררים באותם תנאים כפי שהם משוחררים כעת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#4#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/>
          <w:bCs/>
          <w:sz w:val="28"/>
          <w:sz w:val="28"/>
          <w:szCs w:val="28"/>
          <w:rtl w:val="true"/>
        </w:rPr>
        <w:t>ניתן והודע היום ג</w:t>
      </w:r>
      <w:r>
        <w:rPr>
          <w:b/>
          <w:bCs/>
          <w:sz w:val="28"/>
          <w:szCs w:val="28"/>
          <w:rtl w:val="true"/>
        </w:rPr>
        <w:t xml:space="preserve">' </w:t>
      </w:r>
      <w:r>
        <w:rPr>
          <w:b/>
          <w:b/>
          <w:bCs/>
          <w:sz w:val="28"/>
          <w:sz w:val="28"/>
          <w:szCs w:val="28"/>
          <w:rtl w:val="true"/>
        </w:rPr>
        <w:t>כסלו 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10/11/2010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 </w:t>
      </w:r>
      <w:r>
        <w:rPr>
          <w:rtl w:val="true"/>
        </w:rPr>
        <w:t xml:space="preserve"> </w:t>
      </w:r>
    </w:p>
    <w:p>
      <w:pPr>
        <w:pStyle w:val="Normal"/>
        <w:ind w:end="0"/>
        <w:jc w:val="both"/>
        <w:rPr/>
      </w:pPr>
      <w:r>
        <w:rPr>
          <w:rtl w:val="true"/>
        </w:rPr>
        <w:t xml:space="preserve"> </w:t>
      </w:r>
    </w:p>
    <w:tbl>
      <w:tblPr>
        <w:bidiVisual w:val="true"/>
        <w:tblW w:w="10260" w:type="dxa"/>
        <w:jc w:val="start"/>
        <w:tblInd w:w="-10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רות</w:t>
            </w:r>
            <w:r>
              <w:rPr>
                <w:rtl w:val="true"/>
              </w:rPr>
              <w:t xml:space="preserve">  </w:t>
            </w:r>
            <w:r>
              <w:rPr>
                <w:rFonts w:cs="FrankRuehl"/>
                <w:rtl w:val="true"/>
              </w:rPr>
              <w:t>אבידע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שופטת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יעקב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שפסר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שופט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  <w:t>נחמה</w:t>
            </w:r>
            <w:r>
              <w:rPr>
                <w:rtl w:val="true"/>
              </w:rPr>
              <w:t xml:space="preserve"> </w:t>
            </w:r>
            <w:r>
              <w:rPr>
                <w:rFonts w:cs="FrankRuehl"/>
                <w:rtl w:val="true"/>
              </w:rPr>
              <w:t>נצר</w:t>
            </w:r>
            <w:r>
              <w:rPr>
                <w:rFonts w:cs="FrankRuehl"/>
                <w:rtl w:val="true"/>
              </w:rPr>
              <w:t xml:space="preserve">, </w:t>
            </w:r>
            <w:r>
              <w:rPr>
                <w:rFonts w:cs="FrankRuehl"/>
                <w:rtl w:val="true"/>
              </w:rPr>
              <w:t>שופטת</w:t>
            </w:r>
          </w:p>
        </w:tc>
      </w:tr>
      <w:tr>
        <w:trPr/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end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end"/>
              <w:rPr/>
            </w:pPr>
            <w:r>
              <w:rPr>
                <w:rtl w:val="true"/>
              </w:rPr>
            </w:r>
          </w:p>
        </w:tc>
        <w:tc>
          <w:tcPr>
            <w:tcW w:w="342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cs="FrankRuehl"/>
              </w:rPr>
            </w:pPr>
            <w:r>
              <w:rPr>
                <w:rFonts w:cs="FrankRuehl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spacing w:lineRule="auto" w:line="360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center"/>
        <w:rPr/>
      </w:pPr>
      <w:r>
        <w:rPr>
          <w:color w:val="FFFFFF"/>
          <w:sz w:val="2"/>
          <w:szCs w:val="2"/>
        </w:rPr>
        <w:t>54678313</w:t>
      </w:r>
    </w:p>
    <w:p>
      <w:pPr>
        <w:pStyle w:val="Normal"/>
        <w:keepNext w:val="true"/>
        <w:spacing w:lineRule="auto" w:line="360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spacing w:lineRule="auto" w:line="360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רות אבידע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4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Times New Roman" w:hAnsi="Times New Roman" w:cs="Times New Roman"/>
        <w:color w:val="000000"/>
        <w:sz w:val="28"/>
        <w:szCs w:val="22"/>
      </w:rPr>
    </w:pP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>"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 w:ascii="Times New Roman" w:hAnsi="Times New Roman"/>
        <w:color w:val="000000"/>
        <w:sz w:val="28"/>
        <w:szCs w:val="22"/>
      </w:rPr>
      <w:t>nevo.co.il</w:t>
    </w:r>
    <w:r>
      <w:rPr>
        <w:rFonts w:cs="Times New Roman" w:ascii="Times New Roman" w:hAnsi="Times New Roman"/>
        <w:color w:val="000000"/>
        <w:sz w:val="28"/>
        <w:szCs w:val="22"/>
        <w:rtl w:val="true"/>
      </w:rPr>
      <w:t xml:space="preserve">   </w:t>
    </w:r>
    <w:r>
      <w:rPr>
        <w:rFonts w:ascii="Times New Roman" w:hAnsi="Times New Roman"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ascii="Times New Roman" w:hAnsi="Times New Roman" w:cs="Times New Roman"/>
        <w:color w:val="000000"/>
        <w:sz w:val="14"/>
        <w:szCs w:val="14"/>
      </w:rPr>
    </w:pPr>
    <w:r>
      <w:rPr>
        <w:rFonts w:cs="Times New Roman" w:ascii="Times New Roman" w:hAnsi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 w:ascii="Times New Roman" w:hAnsi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separate"/>
    </w:r>
    <w:r>
      <w:rPr>
        <w:rtl w:val="true"/>
        <w:sz w:val="14"/>
        <w:szCs w:val="14"/>
        <w:rFonts w:cs="Times New Roman" w:ascii="Times New Roman" w:hAnsi="Times New Roman"/>
        <w:color w:val="000000"/>
      </w:rPr>
      <w:t>/Users/liorb/Library/CloudStorage/OneDrive-post.bgu.ac.il/Thesis!!!/new_try/innovation_submission/downloaded_verdicts/ME-10-07-47551-33.doc</w:t>
    </w:r>
    <w:r>
      <w:rPr>
        <w:rtl w:val="true"/>
        <w:sz w:val="14"/>
        <w:szCs w:val="14"/>
        <w:rFonts w:cs="Times New Roman" w:ascii="Times New Roman" w:hAnsi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ב</w:t>
    </w:r>
    <w:r>
      <w:rPr>
        <w:color w:val="000000"/>
        <w:sz w:val="22"/>
        <w:szCs w:val="22"/>
        <w:rtl w:val="true"/>
      </w:rPr>
      <w:t>"</w:t>
    </w:r>
    <w:r>
      <w:rPr>
        <w:color w:val="000000"/>
        <w:sz w:val="22"/>
        <w:sz w:val="22"/>
        <w:szCs w:val="22"/>
        <w:rtl w:val="true"/>
      </w:rPr>
      <w:t>ש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47551-07-10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טייב חביב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advertisements/nevo-100.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2010-11-11T02:26:00Z</dcterms:created>
  <dc:creator> </dc:creator>
  <dc:description/>
  <cp:keywords/>
  <dc:language>en-IL</dc:language>
  <cp:lastModifiedBy>orit</cp:lastModifiedBy>
  <dcterms:modified xsi:type="dcterms:W3CDTF">2010-11-11T10:44:00Z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טייב חביב;בועז דיין</vt:lpwstr>
  </property>
  <property fmtid="{D5CDD505-2E9C-101B-9397-08002B2CF9AE}" pid="3" name="APPELLEE">
    <vt:lpwstr>מדינת ישראל</vt:lpwstr>
  </property>
  <property fmtid="{D5CDD505-2E9C-101B-9397-08002B2CF9AE}" pid="4" name="CITY">
    <vt:lpwstr>ב"ש</vt:lpwstr>
  </property>
  <property fmtid="{D5CDD505-2E9C-101B-9397-08002B2CF9AE}" pid="5" name="DATE">
    <vt:lpwstr>20101110</vt:lpwstr>
  </property>
  <property fmtid="{D5CDD505-2E9C-101B-9397-08002B2CF9AE}" pid="6" name="ISABSTRACT">
    <vt:lpwstr>Y</vt:lpwstr>
  </property>
  <property fmtid="{D5CDD505-2E9C-101B-9397-08002B2CF9AE}" pid="7" name="JUDGE">
    <vt:lpwstr>רות אבידע;יעקב שפסר;נחמה נצר</vt:lpwstr>
  </property>
  <property fmtid="{D5CDD505-2E9C-101B-9397-08002B2CF9AE}" pid="8" name="LAWYER">
    <vt:lpwstr>1 ו;מלי אטיאס;2 ו;גיא באלס;שרה טל</vt:lpwstr>
  </property>
  <property fmtid="{D5CDD505-2E9C-101B-9397-08002B2CF9AE}" pid="9" name="NEWPARTA">
    <vt:lpwstr>47551</vt:lpwstr>
  </property>
  <property fmtid="{D5CDD505-2E9C-101B-9397-08002B2CF9AE}" pid="10" name="NEWPARTB">
    <vt:lpwstr>07</vt:lpwstr>
  </property>
  <property fmtid="{D5CDD505-2E9C-101B-9397-08002B2CF9AE}" pid="11" name="NEWPARTC">
    <vt:lpwstr>10</vt:lpwstr>
  </property>
  <property fmtid="{D5CDD505-2E9C-101B-9397-08002B2CF9AE}" pid="12" name="NEWPROC">
    <vt:lpwstr>עפג</vt:lpwstr>
  </property>
  <property fmtid="{D5CDD505-2E9C-101B-9397-08002B2CF9AE}" pid="13" name="PSAKDIN">
    <vt:lpwstr>פסק-דין</vt:lpwstr>
  </property>
  <property fmtid="{D5CDD505-2E9C-101B-9397-08002B2CF9AE}" pid="14" name="RemarkFileName">
    <vt:lpwstr>mechozi me 10 07 47551 33 htm</vt:lpwstr>
  </property>
  <property fmtid="{D5CDD505-2E9C-101B-9397-08002B2CF9AE}" pid="15" name="TYPE">
    <vt:lpwstr>2</vt:lpwstr>
  </property>
  <property fmtid="{D5CDD505-2E9C-101B-9397-08002B2CF9AE}" pid="16" name="TYPE_ABS_DATE">
    <vt:lpwstr>390020101110</vt:lpwstr>
  </property>
  <property fmtid="{D5CDD505-2E9C-101B-9397-08002B2CF9AE}" pid="17" name="TYPE_N_DATE">
    <vt:lpwstr>39020101110</vt:lpwstr>
  </property>
  <property fmtid="{D5CDD505-2E9C-101B-9397-08002B2CF9AE}" pid="18" name="WORDNUMPAGES">
    <vt:lpwstr>3</vt:lpwstr>
  </property>
</Properties>
</file>