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47767-06-14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מור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06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יולי </w:t>
            </w:r>
            <w:r>
              <w:rPr>
                <w:b/>
                <w:bCs/>
                <w:sz w:val="26"/>
                <w:szCs w:val="26"/>
              </w:rPr>
              <w:t>2014</w:t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Arial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5"/>
        <w:gridCol w:w="2790"/>
        <w:gridCol w:w="2634"/>
        <w:gridCol w:w="81"/>
      </w:tblGrid>
      <w:tr>
        <w:trPr>
          <w:trHeight w:val="337" w:hRule="atLeast"/>
        </w:trPr>
        <w:tc>
          <w:tcPr>
            <w:tcW w:w="6005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: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tl w:val="true"/>
              </w:rPr>
              <w:t>נשיא אברהם טל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ד – נשיא 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t>כב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השופט אברהם יעקב – סג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נ 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t>כב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השופט ד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ר שמואל בורנשטין</w:t>
            </w:r>
            <w:r>
              <w:rPr>
                <w:rtl w:val="true"/>
              </w:rPr>
              <w:br/>
            </w:r>
          </w:p>
        </w:tc>
        <w:tc>
          <w:tcPr>
            <w:tcW w:w="2634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מערער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צבי מור </w:t>
            </w:r>
          </w:p>
        </w:tc>
      </w:tr>
      <w:tr>
        <w:trPr/>
        <w:tc>
          <w:tcPr>
            <w:tcW w:w="8720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משיבה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מדינת ישראל</w:t>
            </w:r>
          </w:p>
        </w:tc>
      </w:tr>
    </w:tbl>
    <w:p>
      <w:pPr>
        <w:pStyle w:val="Normal"/>
        <w:ind w:end="0"/>
        <w:jc w:val="start"/>
        <w:rPr>
          <w:rStyle w:val="LineNumber"/>
          <w:rFonts w:ascii="Arial" w:hAnsi="Arial" w:cs="Arial"/>
        </w:rPr>
      </w:pPr>
      <w:r>
        <w:rPr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Arial"/>
          <w:sz w:val="6"/>
          <w:szCs w:val="6"/>
        </w:rPr>
      </w:pPr>
      <w:r>
        <w:rPr>
          <w:rStyle w:val="LineNumber"/>
          <w:rFonts w:cs="Arial" w:ascii="Arial" w:hAnsi="Arial"/>
          <w:sz w:val="6"/>
          <w:szCs w:val="6"/>
          <w:rtl w:val="true"/>
        </w:rPr>
        <w:t>&lt;</w:t>
      </w:r>
      <w:r>
        <w:rPr>
          <w:rStyle w:val="LineNumber"/>
          <w:rFonts w:cs="Arial" w:ascii="Arial" w:hAnsi="Arial"/>
          <w:sz w:val="6"/>
          <w:szCs w:val="6"/>
        </w:rPr>
        <w:t>#2#</w:t>
      </w:r>
      <w:r>
        <w:rPr>
          <w:rStyle w:val="LineNumber"/>
          <w:rFonts w:cs="Arial" w:ascii="Arial" w:hAnsi="Arial"/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המערער ובא כוחו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</w:t>
      </w:r>
      <w:r>
        <w:rPr>
          <w:u w:val="none"/>
          <w:rtl w:val="true"/>
        </w:rPr>
        <w:t>גיל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  <w:r>
        <w:rPr>
          <w:u w:val="none"/>
          <w:rtl w:val="true"/>
        </w:rPr>
        <w:t>גבאי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המשיבה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מיקי פורן 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  <w:bookmarkStart w:id="3" w:name="LawTable"/>
      <w:bookmarkStart w:id="4" w:name="LawTable"/>
      <w:bookmarkEnd w:id="4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5" w:name="PsakDin"/>
      <w:bookmarkStart w:id="6" w:name="LawTable_End"/>
      <w:bookmarkEnd w:id="5"/>
      <w:bookmarkEnd w:id="6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/>
      </w:pPr>
      <w:bookmarkStart w:id="7" w:name="PsakDin"/>
      <w:bookmarkEnd w:id="7"/>
      <w:r>
        <w:rPr>
          <w:rtl w:val="true"/>
        </w:rPr>
        <w:t>המערער הורשע על פי הודאתו ב</w:t>
      </w:r>
      <w:hyperlink r:id="rId3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 xml:space="preserve">פ </w:t>
        </w:r>
        <w:r>
          <w:rPr>
            <w:rStyle w:val="Hyperlink"/>
            <w:color w:val="0000FF"/>
            <w:u w:val="single"/>
          </w:rPr>
          <w:t>2008-03-14</w:t>
        </w:r>
      </w:hyperlink>
      <w:r>
        <w:rPr>
          <w:rtl w:val="true"/>
        </w:rPr>
        <w:t xml:space="preserve"> (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 שלום רחובות</w:t>
      </w:r>
      <w:r>
        <w:rPr>
          <w:rtl w:val="true"/>
        </w:rPr>
        <w:t xml:space="preserve">) </w:t>
      </w:r>
      <w:r>
        <w:rPr>
          <w:rtl w:val="true"/>
        </w:rPr>
        <w:t>בשתי עבירת של מכירת חומר אסור</w:t>
      </w:r>
      <w:r>
        <w:rPr>
          <w:rtl w:val="true"/>
        </w:rPr>
        <w:t xml:space="preserve">, </w:t>
      </w:r>
      <w:r>
        <w:rPr>
          <w:rtl w:val="true"/>
        </w:rPr>
        <w:t xml:space="preserve">נייס גיא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החומר</w:t>
      </w:r>
      <w:r>
        <w:rPr>
          <w:rtl w:val="true"/>
        </w:rPr>
        <w:t xml:space="preserve">") </w:t>
      </w:r>
      <w:r>
        <w:rPr>
          <w:rtl w:val="true"/>
        </w:rPr>
        <w:t>לסוכן משטרתי סמוי ונידון ל</w:t>
      </w:r>
      <w:r>
        <w:rPr>
          <w:rtl w:val="true"/>
        </w:rPr>
        <w:t xml:space="preserve">-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חודשי מאסר מיום מעצרו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חודשי מאסר על תנאי בתנאים המפורטים בגזר</w:t>
      </w:r>
      <w:r>
        <w:rPr>
          <w:rtl w:val="true"/>
        </w:rPr>
        <w:t>-</w:t>
      </w:r>
      <w:r>
        <w:rPr>
          <w:rtl w:val="true"/>
        </w:rPr>
        <w:t xml:space="preserve">הדין ולתשלום קנס בסך </w:t>
      </w:r>
      <w:r>
        <w:rPr/>
        <w:t>3,500</w:t>
      </w:r>
      <w:r>
        <w:rPr>
          <w:rtl w:val="true"/>
        </w:rPr>
        <w:t xml:space="preserve"> ₪.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הערעור מכוון כלפי חומרת עונש המאסר בפועל וב</w:t>
      </w:r>
      <w:r>
        <w:rPr>
          <w:rtl w:val="true"/>
        </w:rPr>
        <w:t>"</w:t>
      </w:r>
      <w:r>
        <w:rPr>
          <w:rtl w:val="true"/>
        </w:rPr>
        <w:t xml:space="preserve">כ המערער מלין כנגד קביעת מתחם ענישה שבין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חודשים ל</w:t>
      </w:r>
      <w:r>
        <w:rPr>
          <w:rtl w:val="true"/>
        </w:rPr>
        <w:t xml:space="preserve">-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 בגין העבירה נושא גזר</w:t>
      </w:r>
      <w:r>
        <w:rPr>
          <w:rtl w:val="true"/>
        </w:rPr>
        <w:t>-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שמקורו בהשוואת סחר בחומר אסור לסחר בסם מסוכן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המערערת טוען כי מתחם הענישה</w:t>
      </w:r>
      <w:r>
        <w:rPr>
          <w:rtl w:val="true"/>
        </w:rPr>
        <w:t xml:space="preserve">, </w:t>
      </w:r>
      <w:r>
        <w:rPr>
          <w:rtl w:val="true"/>
        </w:rPr>
        <w:t>גם אם הוא ראוי</w:t>
      </w:r>
      <w:r>
        <w:rPr>
          <w:rtl w:val="true"/>
        </w:rPr>
        <w:t xml:space="preserve">, </w:t>
      </w:r>
      <w:r>
        <w:rPr>
          <w:rtl w:val="true"/>
        </w:rPr>
        <w:t>הרי הוא ראוי לעבירה של סחר בסם מסוכן</w:t>
      </w:r>
      <w:r>
        <w:rPr>
          <w:rtl w:val="true"/>
        </w:rPr>
        <w:t xml:space="preserve">, </w:t>
      </w:r>
      <w:r>
        <w:rPr>
          <w:rtl w:val="true"/>
        </w:rPr>
        <w:t>ולא לעבירה של סחר בחומר אסור אשר טרם נכנס ל</w:t>
      </w:r>
      <w:hyperlink r:id="rId4">
        <w:r>
          <w:rPr>
            <w:rStyle w:val="Hyperlink"/>
            <w:color w:val="0000FF"/>
            <w:u w:val="single"/>
            <w:rtl w:val="true"/>
          </w:rPr>
          <w:t>פקודת הסמים המסוכנים</w:t>
        </w:r>
      </w:hyperlink>
      <w:r>
        <w:rPr>
          <w:rtl w:val="true"/>
        </w:rPr>
        <w:t xml:space="preserve"> ומדובר במעין הוראת שעה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המערער טוען כי מאחר ומדובר בחומר חדש ובדבר חקיקה חדש</w:t>
      </w:r>
      <w:r>
        <w:rPr>
          <w:rtl w:val="true"/>
        </w:rPr>
        <w:t xml:space="preserve">, </w:t>
      </w:r>
      <w:r>
        <w:rPr>
          <w:rtl w:val="true"/>
        </w:rPr>
        <w:t xml:space="preserve">לא מן ראוי להחמיר עם המערער שביצע את העבירה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חודשים לאחר ההכרזה על החומר כחומר מסכן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המשיבה תומך במתחם הענישה שנקבע על ידי ביהמ</w:t>
      </w:r>
      <w:r>
        <w:rPr>
          <w:rtl w:val="true"/>
        </w:rPr>
        <w:t>"</w:t>
      </w:r>
      <w:r>
        <w:rPr>
          <w:rtl w:val="true"/>
        </w:rPr>
        <w:t xml:space="preserve">ש קמא ובעונש המאסר שהוטל על המערער וטוען כי אין בעובדה שהעונש המירבי הקבוע בצד העבירה של סחר בחומר מסכן הוא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שנות מאסר כדי להשפיע על מתחם הענישה שנקבע על ידי ביהמ</w:t>
      </w:r>
      <w:r>
        <w:rPr>
          <w:rtl w:val="true"/>
        </w:rPr>
        <w:t>"</w:t>
      </w:r>
      <w:r>
        <w:rPr>
          <w:rtl w:val="true"/>
        </w:rPr>
        <w:t>ש קמא שכן לא מדובר במתחם ענישה קרוב לרף העליון לעונש המאסר המירבי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המשיבה מצביע על העובדה שהמערער מכר את החומר המסכן לסוכן משטרתי סמוי לאחר שהחומר היה ברשותו</w:t>
      </w:r>
      <w:r>
        <w:rPr>
          <w:rtl w:val="true"/>
        </w:rPr>
        <w:t xml:space="preserve">, </w:t>
      </w:r>
      <w:r>
        <w:rPr>
          <w:rtl w:val="true"/>
        </w:rPr>
        <w:t>וכן הוא מצביע על עברו הפלילי של המערער</w:t>
      </w:r>
      <w:r>
        <w:rPr>
          <w:rtl w:val="true"/>
        </w:rPr>
        <w:t xml:space="preserve">, </w:t>
      </w:r>
      <w:r>
        <w:rPr>
          <w:rtl w:val="true"/>
        </w:rPr>
        <w:t>הכולל בעיקר עבירות רכוש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עיון בגזר</w:t>
      </w:r>
      <w:r>
        <w:rPr>
          <w:rtl w:val="true"/>
        </w:rPr>
        <w:t>-</w:t>
      </w:r>
      <w:r>
        <w:rPr>
          <w:rtl w:val="true"/>
        </w:rPr>
        <w:t>הדין של ביהמ</w:t>
      </w:r>
      <w:r>
        <w:rPr>
          <w:rtl w:val="true"/>
        </w:rPr>
        <w:t>"</w:t>
      </w:r>
      <w:r>
        <w:rPr>
          <w:rtl w:val="true"/>
        </w:rPr>
        <w:t>ש קמא מעלה כי אכן השווה בין מתחם הענישה הראוי לעבירה של סחר בחומר מסכן לבין מתחם הענישה הראוי לעבירות של סחר בסם ולא בכדי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 קמא סמך דעתו על החלטת ביהמ</w:t>
      </w:r>
      <w:r>
        <w:rPr>
          <w:rtl w:val="true"/>
        </w:rPr>
        <w:t>"</w:t>
      </w:r>
      <w:r>
        <w:rPr>
          <w:rtl w:val="true"/>
        </w:rPr>
        <w:t>ש מחוזי מרכז ב</w:t>
      </w:r>
      <w:hyperlink r:id="rId5">
        <w:r>
          <w:rPr>
            <w:rStyle w:val="Hyperlink"/>
            <w:color w:val="0000FF"/>
            <w:u w:val="single"/>
            <w:rtl w:val="true"/>
          </w:rPr>
          <w:t>מ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 xml:space="preserve">ת </w:t>
        </w:r>
        <w:r>
          <w:rPr>
            <w:rStyle w:val="Hyperlink"/>
            <w:color w:val="0000FF"/>
            <w:u w:val="single"/>
          </w:rPr>
          <w:t>45420-03-14</w:t>
        </w:r>
      </w:hyperlink>
      <w:r>
        <w:rPr>
          <w:rtl w:val="true"/>
        </w:rPr>
        <w:t xml:space="preserve"> </w:t>
      </w:r>
      <w:r>
        <w:rPr>
          <w:rtl w:val="true"/>
        </w:rPr>
        <w:t>אך עיון בהחלטה הנ</w:t>
      </w:r>
      <w:r>
        <w:rPr>
          <w:rtl w:val="true"/>
        </w:rPr>
        <w:t>"</w:t>
      </w:r>
      <w:r>
        <w:rPr>
          <w:rtl w:val="true"/>
        </w:rPr>
        <w:t>ל מעלה כי רובה ככולה מסתמכת על דברי ההסבר להצעת החוק לפיהם היא באה להילחם בתופעת השימוש בחומרים המסכנים ובשיווקם</w:t>
      </w:r>
      <w:r>
        <w:rPr>
          <w:rtl w:val="true"/>
        </w:rPr>
        <w:t xml:space="preserve">, </w:t>
      </w:r>
      <w:r>
        <w:rPr>
          <w:rtl w:val="true"/>
        </w:rPr>
        <w:t>בין השאר</w:t>
      </w:r>
      <w:r>
        <w:rPr>
          <w:rtl w:val="true"/>
        </w:rPr>
        <w:t xml:space="preserve">, </w:t>
      </w:r>
      <w:r>
        <w:rPr>
          <w:rtl w:val="true"/>
        </w:rPr>
        <w:t>בקרב בני נוער וצעירים על ידי מתן כלים בידי הרשויות להתמודד עם התופעה</w:t>
      </w:r>
      <w:r>
        <w:rPr>
          <w:rtl w:val="true"/>
        </w:rPr>
        <w:t xml:space="preserve">, </w:t>
      </w:r>
      <w:r>
        <w:rPr>
          <w:rtl w:val="true"/>
        </w:rPr>
        <w:t>שנפוצה בשנים האחרונות במדינת ישראל</w:t>
      </w:r>
      <w:r>
        <w:rPr>
          <w:rtl w:val="true"/>
        </w:rPr>
        <w:t xml:space="preserve">, </w:t>
      </w:r>
      <w:r>
        <w:rPr>
          <w:rtl w:val="true"/>
        </w:rPr>
        <w:t>בדומה להסדרים שגובשו במדינות אחרות בעולם שמתמודדות אף הן עם אותה תופעה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יש במטרה הנ</w:t>
      </w:r>
      <w:r>
        <w:rPr>
          <w:rtl w:val="true"/>
        </w:rPr>
        <w:t>"</w:t>
      </w:r>
      <w:r>
        <w:rPr>
          <w:rtl w:val="true"/>
        </w:rPr>
        <w:t>ל של החוק</w:t>
      </w:r>
      <w:r>
        <w:rPr>
          <w:rtl w:val="true"/>
        </w:rPr>
        <w:t xml:space="preserve">, </w:t>
      </w:r>
      <w:r>
        <w:rPr>
          <w:rtl w:val="true"/>
        </w:rPr>
        <w:t>שהוא אמנם חוק חדש</w:t>
      </w:r>
      <w:r>
        <w:rPr>
          <w:rtl w:val="true"/>
        </w:rPr>
        <w:t xml:space="preserve">, </w:t>
      </w:r>
      <w:r>
        <w:rPr>
          <w:rtl w:val="true"/>
        </w:rPr>
        <w:t>כדי להצדיק השוואה</w:t>
      </w:r>
      <w:r>
        <w:rPr>
          <w:rtl w:val="true"/>
        </w:rPr>
        <w:t xml:space="preserve">, </w:t>
      </w:r>
      <w:r>
        <w:rPr>
          <w:rtl w:val="true"/>
        </w:rPr>
        <w:t>גם אם לא עד כדי זהות</w:t>
      </w:r>
      <w:r>
        <w:rPr>
          <w:rtl w:val="true"/>
        </w:rPr>
        <w:t xml:space="preserve">, </w:t>
      </w:r>
      <w:r>
        <w:rPr>
          <w:rtl w:val="true"/>
        </w:rPr>
        <w:t>בין סחר בחומר מסכן לבין סחר בסם מסוכן</w:t>
      </w:r>
      <w:r>
        <w:rPr>
          <w:rtl w:val="true"/>
        </w:rPr>
        <w:t xml:space="preserve">, </w:t>
      </w:r>
      <w:r>
        <w:rPr>
          <w:rtl w:val="true"/>
        </w:rPr>
        <w:t>כאשר המגמה היא בדרך כלל להכניס את החומר המסכן</w:t>
      </w:r>
      <w:r>
        <w:rPr>
          <w:rtl w:val="true"/>
        </w:rPr>
        <w:t xml:space="preserve">, </w:t>
      </w:r>
      <w:r>
        <w:rPr>
          <w:rtl w:val="true"/>
        </w:rPr>
        <w:t>בבוא העת</w:t>
      </w:r>
      <w:r>
        <w:rPr>
          <w:rtl w:val="true"/>
        </w:rPr>
        <w:t xml:space="preserve">, </w:t>
      </w:r>
      <w:r>
        <w:rPr>
          <w:rtl w:val="true"/>
        </w:rPr>
        <w:t>ל</w:t>
      </w:r>
      <w:hyperlink r:id="rId6">
        <w:r>
          <w:rPr>
            <w:rStyle w:val="Hyperlink"/>
            <w:color w:val="0000FF"/>
            <w:u w:val="single"/>
            <w:rtl w:val="true"/>
          </w:rPr>
          <w:t>פקודת הסמים המסוכנים</w:t>
        </w:r>
      </w:hyperlink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משכך הם פני הדברים</w:t>
      </w:r>
      <w:r>
        <w:rPr>
          <w:rtl w:val="true"/>
        </w:rPr>
        <w:t xml:space="preserve">, </w:t>
      </w:r>
      <w:r>
        <w:rPr>
          <w:rtl w:val="true"/>
        </w:rPr>
        <w:t xml:space="preserve">הרי גם אם מדובר בחוק חדש יחסית ובעונש מירבי של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שנות מאסר הקבוע בצד העבירה של סחר בחומר מסכן</w:t>
      </w:r>
      <w:r>
        <w:rPr>
          <w:rtl w:val="true"/>
        </w:rPr>
        <w:t xml:space="preserve">, </w:t>
      </w:r>
      <w:r>
        <w:rPr>
          <w:rtl w:val="true"/>
        </w:rPr>
        <w:t>אין לומר שמתחם ענישה שהרף העליון שלו מגיע כדי שליש מהעונש המירבי והרף התחתון שלו כדי שישית מהעונש המירבי</w:t>
      </w:r>
      <w:r>
        <w:rPr>
          <w:rtl w:val="true"/>
        </w:rPr>
        <w:t xml:space="preserve">, </w:t>
      </w:r>
      <w:r>
        <w:rPr>
          <w:rtl w:val="true"/>
        </w:rPr>
        <w:t>איננו סביר</w:t>
      </w:r>
      <w:r>
        <w:rPr>
          <w:rtl w:val="true"/>
        </w:rPr>
        <w:t xml:space="preserve">, </w:t>
      </w:r>
      <w:r>
        <w:rPr>
          <w:rtl w:val="true"/>
        </w:rPr>
        <w:t>בהתחשב במטרת הענישה כאשר מדובר בחומר מסכן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באשר לקביעת מקומו של המערער בתוך המתחם המוצדק שנקבע על ידי בימ</w:t>
      </w:r>
      <w:r>
        <w:rPr>
          <w:rtl w:val="true"/>
        </w:rPr>
        <w:t>"</w:t>
      </w:r>
      <w:r>
        <w:rPr>
          <w:rtl w:val="true"/>
        </w:rPr>
        <w:t>ש קמא</w:t>
      </w:r>
      <w:r>
        <w:rPr>
          <w:rtl w:val="true"/>
        </w:rPr>
        <w:t xml:space="preserve">, </w:t>
      </w:r>
      <w:r>
        <w:rPr>
          <w:rtl w:val="true"/>
        </w:rPr>
        <w:t>התחשב ביהמ</w:t>
      </w:r>
      <w:r>
        <w:rPr>
          <w:rtl w:val="true"/>
        </w:rPr>
        <w:t>"</w:t>
      </w:r>
      <w:r>
        <w:rPr>
          <w:rtl w:val="true"/>
        </w:rPr>
        <w:t>ש קמא בעברו הפלילי של המערער מחד</w:t>
      </w:r>
      <w:r>
        <w:rPr>
          <w:rtl w:val="true"/>
        </w:rPr>
        <w:t xml:space="preserve">, </w:t>
      </w:r>
      <w:r>
        <w:rPr>
          <w:rtl w:val="true"/>
        </w:rPr>
        <w:t>ובהודאתו של המערער מאידך</w:t>
      </w:r>
      <w:r>
        <w:rPr>
          <w:rtl w:val="true"/>
        </w:rPr>
        <w:t xml:space="preserve">, </w:t>
      </w:r>
      <w:r>
        <w:rPr>
          <w:rtl w:val="true"/>
        </w:rPr>
        <w:t>ולא התעלם כלל ועיקר מהעובדה שהחוק נכנס לתוקפו זה לא מכבר כאחד הנימוקים לקולת העונש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יש לזכור כי במקרה נושא הערעור מכר המערער לסוכן משטרתי סמוי</w:t>
      </w:r>
      <w:r>
        <w:rPr>
          <w:rtl w:val="true"/>
        </w:rPr>
        <w:t xml:space="preserve">, </w:t>
      </w:r>
      <w:r>
        <w:rPr>
          <w:rtl w:val="true"/>
        </w:rPr>
        <w:t>אשר התקשר אל אחר וביקש ממנו לרכוש סמים</w:t>
      </w:r>
      <w:r>
        <w:rPr>
          <w:rtl w:val="true"/>
        </w:rPr>
        <w:t xml:space="preserve">, </w:t>
      </w:r>
      <w:r>
        <w:rPr>
          <w:rtl w:val="true"/>
        </w:rPr>
        <w:t>אך הדבר לא הסתייע</w:t>
      </w:r>
      <w:r>
        <w:rPr>
          <w:rtl w:val="true"/>
        </w:rPr>
        <w:t xml:space="preserve">, </w:t>
      </w:r>
      <w:r>
        <w:rPr>
          <w:rtl w:val="true"/>
        </w:rPr>
        <w:t xml:space="preserve">שתי שקיות של החומר במחיר </w:t>
      </w:r>
      <w:r>
        <w:rPr/>
        <w:t>70</w:t>
      </w:r>
      <w:r>
        <w:rPr>
          <w:rtl w:val="true"/>
        </w:rPr>
        <w:t xml:space="preserve"> ₪ </w:t>
      </w:r>
      <w:r>
        <w:rPr>
          <w:rtl w:val="true"/>
        </w:rPr>
        <w:t>תמורת כל שקית ולאחר מכן הסכים להצעת הסוכן שימכור לו שקית נוספת בעבור יתרת הכסף והוא אף מימש את אותה הצעה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לאור כל האמור לעיל</w:t>
      </w:r>
      <w:r>
        <w:rPr>
          <w:rtl w:val="true"/>
        </w:rPr>
        <w:t xml:space="preserve">, </w:t>
      </w:r>
      <w:r>
        <w:rPr>
          <w:rtl w:val="true"/>
        </w:rPr>
        <w:t>עונש המאסר שהוטל על המערער נושא הערעור איננו חורג ממדיניות הענישה הנהוגה</w:t>
      </w:r>
      <w:r>
        <w:rPr>
          <w:rtl w:val="true"/>
        </w:rPr>
        <w:t xml:space="preserve">, </w:t>
      </w:r>
      <w:r>
        <w:rPr>
          <w:rtl w:val="true"/>
        </w:rPr>
        <w:t xml:space="preserve">גם אם מדובר בעבירה </w:t>
      </w:r>
      <w:r>
        <w:rPr>
          <w:rtl w:val="true"/>
        </w:rPr>
        <w:t>"</w:t>
      </w:r>
      <w:r>
        <w:rPr>
          <w:rtl w:val="true"/>
        </w:rPr>
        <w:t>חדשה</w:t>
      </w:r>
      <w:r>
        <w:rPr>
          <w:rtl w:val="true"/>
        </w:rPr>
        <w:t xml:space="preserve">" </w:t>
      </w:r>
      <w:r>
        <w:rPr>
          <w:rtl w:val="true"/>
        </w:rPr>
        <w:t>ומתחשב בכל הנסיבות לקולא ולחומרה ואיננו מצדיק התערבות ערכאת 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אנו דוחים את 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Style w:val="LineNumber"/>
        </w:rPr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Style w:val="LineNumber"/>
          <w:sz w:val="6"/>
          <w:szCs w:val="6"/>
        </w:rPr>
      </w:pPr>
      <w:r>
        <w:rPr>
          <w:rStyle w:val="LineNumber"/>
          <w:sz w:val="6"/>
          <w:szCs w:val="6"/>
          <w:rtl w:val="true"/>
        </w:rPr>
        <w:t>&lt;</w:t>
      </w:r>
      <w:r>
        <w:rPr>
          <w:rStyle w:val="LineNumber"/>
          <w:sz w:val="6"/>
          <w:szCs w:val="6"/>
        </w:rPr>
        <w:t>#4#</w:t>
      </w:r>
      <w:r>
        <w:rPr>
          <w:rStyle w:val="LineNumber"/>
          <w:sz w:val="6"/>
          <w:szCs w:val="6"/>
          <w:rtl w:val="true"/>
        </w:rPr>
        <w:t>&gt;</w:t>
      </w:r>
    </w:p>
    <w:p>
      <w:pPr>
        <w:pStyle w:val="David"/>
        <w:ind w:end="0"/>
        <w:jc w:val="both"/>
        <w:rPr/>
      </w:pPr>
      <w:bookmarkStart w:id="8" w:name="_GoBack"/>
      <w:bookmarkEnd w:id="8"/>
      <w:r>
        <w:rPr>
          <w:rFonts w:ascii="David" w:hAnsi="David" w:eastAsia="David" w:cs="David"/>
          <w:b/>
          <w:b/>
          <w:bCs/>
          <w:rtl w:val="true"/>
        </w:rPr>
        <w:t>ניתן והודע היום ח</w:t>
      </w:r>
      <w:r>
        <w:rPr>
          <w:rFonts w:eastAsia="David" w:cs="David" w:ascii="David" w:hAnsi="David"/>
          <w:b/>
          <w:bCs/>
          <w:rtl w:val="true"/>
        </w:rPr>
        <w:t xml:space="preserve">' </w:t>
      </w:r>
      <w:r>
        <w:rPr>
          <w:rFonts w:ascii="David" w:hAnsi="David" w:eastAsia="David" w:cs="David"/>
          <w:b/>
          <w:b/>
          <w:bCs/>
          <w:rtl w:val="true"/>
        </w:rPr>
        <w:t>תמוז תשע</w:t>
      </w:r>
      <w:r>
        <w:rPr>
          <w:rFonts w:eastAsia="David" w:cs="David" w:ascii="David" w:hAnsi="David"/>
          <w:b/>
          <w:bCs/>
          <w:rtl w:val="true"/>
        </w:rPr>
        <w:t>"</w:t>
      </w:r>
      <w:r>
        <w:rPr>
          <w:rFonts w:ascii="David" w:hAnsi="David" w:eastAsia="David" w:cs="David"/>
          <w:b/>
          <w:b/>
          <w:bCs/>
          <w:rtl w:val="true"/>
        </w:rPr>
        <w:t>ד</w:t>
      </w:r>
      <w:r>
        <w:rPr>
          <w:rFonts w:eastAsia="David" w:cs="David" w:ascii="David" w:hAnsi="David"/>
          <w:b/>
          <w:bCs/>
          <w:rtl w:val="true"/>
        </w:rPr>
        <w:t xml:space="preserve">, </w:t>
      </w:r>
      <w:r>
        <w:rPr>
          <w:rFonts w:eastAsia="David" w:cs="David" w:ascii="David" w:hAnsi="David"/>
          <w:b/>
          <w:bCs/>
        </w:rPr>
        <w:t>06/07/2014</w:t>
      </w:r>
      <w:r>
        <w:rPr>
          <w:rFonts w:eastAsia="David" w:cs="David" w:ascii="David" w:hAnsi="David"/>
          <w:b/>
          <w:bCs/>
          <w:rtl w:val="true"/>
        </w:rPr>
        <w:t xml:space="preserve"> </w:t>
      </w:r>
      <w:r>
        <w:rPr>
          <w:rFonts w:ascii="David" w:hAnsi="David" w:eastAsia="David" w:cs="David"/>
          <w:b/>
          <w:b/>
          <w:bCs/>
          <w:rtl w:val="true"/>
        </w:rPr>
        <w:t>במעמד ב</w:t>
      </w:r>
      <w:r>
        <w:rPr>
          <w:rFonts w:eastAsia="David" w:cs="David" w:ascii="David" w:hAnsi="David"/>
          <w:b/>
          <w:bCs/>
          <w:rtl w:val="true"/>
        </w:rPr>
        <w:t>"</w:t>
      </w:r>
      <w:r>
        <w:rPr>
          <w:rFonts w:ascii="David" w:hAnsi="David" w:eastAsia="David" w:cs="David"/>
          <w:b/>
          <w:b/>
          <w:bCs/>
          <w:rtl w:val="true"/>
        </w:rPr>
        <w:t>כ הצדדים והמערער</w:t>
      </w:r>
      <w:r>
        <w:rPr>
          <w:rFonts w:eastAsia="David" w:cs="David" w:ascii="David" w:hAnsi="David"/>
          <w:b/>
          <w:bCs/>
          <w:rtl w:val="true"/>
        </w:rPr>
        <w:t xml:space="preserve">.  </w:t>
      </w:r>
    </w:p>
    <w:tbl>
      <w:tblPr>
        <w:bidiVisual w:val="true"/>
        <w:tblW w:w="872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9"/>
        <w:gridCol w:w="332"/>
        <w:gridCol w:w="2961"/>
        <w:gridCol w:w="321"/>
        <w:gridCol w:w="2397"/>
      </w:tblGrid>
      <w:tr>
        <w:trPr/>
        <w:tc>
          <w:tcPr>
            <w:tcW w:w="27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32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96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21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709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אברהם טל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32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961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אברהם יעקב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סג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7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ר שמואל בורנשטין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David"/>
        <w:ind w:end="0"/>
        <w:jc w:val="both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אברהם טל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000000"/>
          <w:sz w:val="2"/>
          <w:sz w:val="2"/>
          <w:szCs w:val="2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color w:val="0000FF"/>
          <w:sz w:val="2"/>
          <w:u w:val="single"/>
        </w:rPr>
      </w:pPr>
      <w:hyperlink r:id="rId7">
        <w:r>
          <w:rPr>
            <w:rStyle w:val="Hyperlink"/>
            <w:color w:val="0000FF"/>
            <w:sz w:val="2"/>
            <w:sz w:val="2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sz w:val="2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sz w:val="2"/>
          <w:u w:val="single"/>
        </w:rPr>
      </w:pPr>
      <w:r>
        <w:rPr>
          <w:color w:val="0000FF"/>
          <w:sz w:val="2"/>
          <w:u w:val="single"/>
          <w:rtl w:val="true"/>
        </w:rPr>
      </w:r>
    </w:p>
    <w:sectPr>
      <w:headerReference w:type="default" r:id="rId8"/>
      <w:footerReference w:type="default" r:id="rId9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47767-06-14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צבי מור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>
      <w:rFonts w:cs="Arial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case/13026119" TargetMode="External"/><Relationship Id="rId4" Type="http://schemas.openxmlformats.org/officeDocument/2006/relationships/hyperlink" Target="http://www.nevo.co.il/law/4216" TargetMode="External"/><Relationship Id="rId5" Type="http://schemas.openxmlformats.org/officeDocument/2006/relationships/hyperlink" Target="http://www.nevo.co.il/case/13074354" TargetMode="External"/><Relationship Id="rId6" Type="http://schemas.openxmlformats.org/officeDocument/2006/relationships/hyperlink" Target="http://www.nevo.co.il/law/4216" TargetMode="External"/><Relationship Id="rId7" Type="http://schemas.openxmlformats.org/officeDocument/2006/relationships/hyperlink" Target="http://www.nevo.co.il/advertisements/nevo-100.doc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2014-07-14T08:06:00Z</dcterms:created>
  <dc:creator> </dc:creator>
  <dc:description/>
  <cp:keywords/>
  <dc:language>en-IL</dc:language>
  <cp:lastModifiedBy>hofit</cp:lastModifiedBy>
  <dcterms:modified xsi:type="dcterms:W3CDTF">2014-07-14T08:06:00Z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צבי מור</vt:lpwstr>
  </property>
  <property fmtid="{D5CDD505-2E9C-101B-9397-08002B2CF9AE}" pid="3" name="APPELLEE">
    <vt:lpwstr>מדינת ישראל</vt:lpwstr>
  </property>
  <property fmtid="{D5CDD505-2E9C-101B-9397-08002B2CF9AE}" pid="4" name="CASESLISTTMP1">
    <vt:lpwstr>13026119;13074354</vt:lpwstr>
  </property>
  <property fmtid="{D5CDD505-2E9C-101B-9397-08002B2CF9AE}" pid="5" name="CITY">
    <vt:lpwstr>מרכז</vt:lpwstr>
  </property>
  <property fmtid="{D5CDD505-2E9C-101B-9397-08002B2CF9AE}" pid="6" name="DATE">
    <vt:lpwstr>20140706</vt:lpwstr>
  </property>
  <property fmtid="{D5CDD505-2E9C-101B-9397-08002B2CF9AE}" pid="7" name="JUDGE">
    <vt:lpwstr>אברהם טל;אברהם יעקב ד"ר שמואל בורנשטין</vt:lpwstr>
  </property>
  <property fmtid="{D5CDD505-2E9C-101B-9397-08002B2CF9AE}" pid="8" name="LAWLISTTMP1">
    <vt:lpwstr>4216:2</vt:lpwstr>
  </property>
  <property fmtid="{D5CDD505-2E9C-101B-9397-08002B2CF9AE}" pid="9" name="LAWYER">
    <vt:lpwstr>מיקי פורן</vt:lpwstr>
  </property>
  <property fmtid="{D5CDD505-2E9C-101B-9397-08002B2CF9AE}" pid="10" name="NEWPARTA">
    <vt:lpwstr>47767</vt:lpwstr>
  </property>
  <property fmtid="{D5CDD505-2E9C-101B-9397-08002B2CF9AE}" pid="11" name="NEWPARTB">
    <vt:lpwstr>06</vt:lpwstr>
  </property>
  <property fmtid="{D5CDD505-2E9C-101B-9397-08002B2CF9AE}" pid="12" name="NEWPARTC">
    <vt:lpwstr>14</vt:lpwstr>
  </property>
  <property fmtid="{D5CDD505-2E9C-101B-9397-08002B2CF9AE}" pid="13" name="NEWPROC">
    <vt:lpwstr>עפג</vt:lpwstr>
  </property>
  <property fmtid="{D5CDD505-2E9C-101B-9397-08002B2CF9AE}" pid="14" name="PSAKDIN">
    <vt:lpwstr>פסק-דין</vt:lpwstr>
  </property>
  <property fmtid="{D5CDD505-2E9C-101B-9397-08002B2CF9AE}" pid="15" name="TYPE">
    <vt:lpwstr>2</vt:lpwstr>
  </property>
  <property fmtid="{D5CDD505-2E9C-101B-9397-08002B2CF9AE}" pid="16" name="TYPE_ABS_DATE">
    <vt:lpwstr>390020140706</vt:lpwstr>
  </property>
  <property fmtid="{D5CDD505-2E9C-101B-9397-08002B2CF9AE}" pid="17" name="TYPE_N_DATE">
    <vt:lpwstr>39020140706</vt:lpwstr>
  </property>
  <property fmtid="{D5CDD505-2E9C-101B-9397-08002B2CF9AE}" pid="18" name="WORDNUMPAGES">
    <vt:lpwstr>2</vt:lpwstr>
  </property>
</Properties>
</file>