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72"/>
        <w:gridCol w:w="840"/>
        <w:gridCol w:w="1908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FrankRueh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המשפט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המחוזי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בירושלים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בשבתו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כבית</w:t>
            </w:r>
            <w:r>
              <w:rPr>
                <w:rFonts w:cs="FrankRuehl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משפט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לערעורים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פליליים</w:t>
            </w:r>
          </w:p>
        </w:tc>
      </w:tr>
      <w:tr>
        <w:trPr>
          <w:trHeight w:val="337" w:hRule="atLeast"/>
        </w:trPr>
        <w:tc>
          <w:tcPr>
            <w:tcW w:w="5972" w:type="dxa"/>
            <w:tcBorders/>
          </w:tcPr>
          <w:p>
            <w:pPr>
              <w:pStyle w:val="Normal"/>
              <w:ind w:end="0"/>
              <w:jc w:val="start"/>
              <w:rPr>
                <w:rFonts w:cs="FrankRuehl"/>
                <w:b/>
                <w:bCs/>
                <w:sz w:val="26"/>
                <w:szCs w:val="26"/>
              </w:rPr>
            </w:pP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FrankRuehl"/>
                <w:b/>
                <w:bCs/>
                <w:sz w:val="26"/>
                <w:szCs w:val="26"/>
              </w:rPr>
              <w:t>49086-06-11</w:t>
            </w: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פיטוסי</w:t>
            </w: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rFonts w:cs="FrankRuehl"/>
                <w:b/>
                <w:bCs/>
                <w:sz w:val="26"/>
                <w:szCs w:val="26"/>
              </w:rPr>
            </w:pP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40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cs="FrankRuehl"/>
                <w:b/>
                <w:bCs/>
                <w:sz w:val="26"/>
                <w:szCs w:val="26"/>
              </w:rPr>
            </w:pP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908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rFonts w:cs="FrankRuehl"/>
                <w:b/>
                <w:bCs/>
                <w:sz w:val="26"/>
                <w:szCs w:val="26"/>
              </w:rPr>
            </w:pPr>
            <w:r>
              <w:rPr>
                <w:rFonts w:cs="FrankRuehl"/>
                <w:b/>
                <w:bCs/>
                <w:sz w:val="26"/>
                <w:szCs w:val="26"/>
              </w:rPr>
              <w:t>14</w:t>
            </w:r>
            <w:r>
              <w:rPr>
                <w:rFonts w:cs="FrankRuehl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6"/>
                <w:sz w:val="26"/>
                <w:szCs w:val="26"/>
                <w:rtl w:val="true"/>
              </w:rPr>
              <w:t>ספטמבר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FrankRuehl"/>
                <w:b/>
                <w:bCs/>
                <w:sz w:val="26"/>
                <w:szCs w:val="26"/>
              </w:rPr>
              <w:t>2011</w:t>
            </w:r>
          </w:p>
        </w:tc>
      </w:tr>
    </w:tbl>
    <w:p>
      <w:pPr>
        <w:pStyle w:val="Header"/>
        <w:ind w:end="0"/>
        <w:jc w:val="center"/>
        <w:rPr>
          <w:rFonts w:ascii="Tahoma" w:hAnsi="Tahoma" w:cs="FrankRuehl"/>
          <w:b/>
          <w:bCs/>
          <w:color w:val="000080"/>
          <w:sz w:val="20"/>
          <w:szCs w:val="20"/>
        </w:rPr>
      </w:pPr>
      <w:r>
        <w:rPr>
          <w:rFonts w:cs="FrankRuehl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color w:val="000080"/>
          <w:sz w:val="20"/>
          <w:szCs w:val="20"/>
        </w:rPr>
      </w:pPr>
      <w:r>
        <w:rPr>
          <w:rFonts w:cs="Arial" w:ascii="Arial" w:hAnsi="Arial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8"/>
        <w:gridCol w:w="2795"/>
        <w:gridCol w:w="360"/>
        <w:gridCol w:w="5559"/>
      </w:tblGrid>
      <w:tr>
        <w:trPr/>
        <w:tc>
          <w:tcPr>
            <w:tcW w:w="88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4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ind w:end="0"/>
              <w:jc w:val="both"/>
              <w:rPr>
                <w:rFonts w:cs="FrankRuehl"/>
                <w:b/>
                <w:bCs/>
                <w:sz w:val="28"/>
                <w:szCs w:val="28"/>
              </w:rPr>
            </w:pP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בפני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השופטים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 xml:space="preserve">: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צבי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סגל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 xml:space="preserve">,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סגן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הנשיאה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 xml:space="preserve">-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אב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ד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 xml:space="preserve">,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משה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יועד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הכהן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ובן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ציון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גרינברגר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2883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cs="FrankRuehl"/>
                <w:b/>
                <w:bCs/>
                <w:sz w:val="28"/>
                <w:szCs w:val="28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המערערת</w:t>
            </w:r>
          </w:p>
        </w:tc>
        <w:tc>
          <w:tcPr>
            <w:tcW w:w="591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cs="FrankRuehl"/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rFonts w:cs="FrankRuehl"/>
                <w:b/>
                <w:bCs/>
                <w:sz w:val="28"/>
                <w:szCs w:val="28"/>
              </w:rPr>
            </w:pP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802" w:type="dxa"/>
            <w:gridSpan w:val="4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>
              <w:rPr>
                <w:rFonts w:cs="FrankRuehl" w:ascii="Arial" w:hAnsi="Arial"/>
                <w:b/>
                <w:bCs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>
              <w:rPr>
                <w:rFonts w:ascii="Arial" w:hAnsi="Arial"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>
              <w:rPr>
                <w:rFonts w:cs="FrankRuehl" w:ascii="Arial" w:hAnsi="Arial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883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cs="FrankRuehl"/>
                <w:b/>
                <w:bCs/>
                <w:sz w:val="28"/>
                <w:szCs w:val="28"/>
              </w:rPr>
            </w:pP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המשיב</w:t>
            </w:r>
          </w:p>
        </w:tc>
        <w:tc>
          <w:tcPr>
            <w:tcW w:w="591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cs="FrankRuehl"/>
                <w:b/>
                <w:bCs/>
                <w:sz w:val="28"/>
                <w:szCs w:val="28"/>
              </w:rPr>
            </w:pP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פרדי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פיטוסי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עציר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>)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ת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>.</w:t>
            </w:r>
            <w:r>
              <w:rPr>
                <w:rFonts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ז</w:t>
            </w: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  <w:t xml:space="preserve">. </w:t>
            </w:r>
            <w:r>
              <w:rPr>
                <w:rFonts w:cs="FrankRuehl"/>
                <w:b/>
                <w:bCs/>
                <w:sz w:val="28"/>
                <w:szCs w:val="28"/>
              </w:rPr>
              <w:t>xxxxxxxxx</w:t>
            </w:r>
          </w:p>
          <w:p>
            <w:pPr>
              <w:pStyle w:val="Normal"/>
              <w:ind w:end="0"/>
              <w:jc w:val="start"/>
              <w:rPr>
                <w:rFonts w:cs="FrankRuehl"/>
                <w:b/>
                <w:bCs/>
                <w:sz w:val="28"/>
                <w:szCs w:val="28"/>
              </w:rPr>
            </w:pP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243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end"/>
              <w:rPr>
                <w:rFonts w:cs="FrankRuehl"/>
                <w:b/>
                <w:bCs/>
                <w:sz w:val="28"/>
                <w:szCs w:val="28"/>
              </w:rPr>
            </w:pPr>
            <w:r>
              <w:rPr>
                <w:rFonts w:cs="FrankRuehl"/>
                <w:b/>
                <w:bCs/>
                <w:sz w:val="28"/>
                <w:szCs w:val="28"/>
                <w:rtl w:val="true"/>
              </w:rPr>
            </w:r>
          </w:p>
        </w:tc>
        <w:tc>
          <w:tcPr>
            <w:tcW w:w="5559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end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המערערת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דני ויטמן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 xml:space="preserve">מפרקליטות מחוז ירושלים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המשיב וב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</w:t>
      </w:r>
      <w:r>
        <w:rPr>
          <w:b w:val="false"/>
          <w:b w:val="false"/>
          <w:bCs w:val="false"/>
          <w:u w:val="none"/>
          <w:rtl w:val="true"/>
        </w:rPr>
        <w:t>יהודה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שושן</w:t>
      </w:r>
      <w:r>
        <w:rPr>
          <w:b w:val="false"/>
          <w:b w:val="false"/>
          <w:bCs w:val="false"/>
          <w:u w:val="none"/>
          <w:rtl w:val="true"/>
        </w:rPr>
        <w:t xml:space="preserve">  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פרוטוקולים</w:t>
      </w:r>
      <w:bookmarkStart w:id="3" w:name="LawTable"/>
      <w:bookmarkEnd w:id="3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</w:r>
      <w:bookmarkStart w:id="4" w:name="LawTable_End"/>
      <w:bookmarkStart w:id="5" w:name="LawTable_End"/>
      <w:bookmarkEnd w:id="5"/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6" w:name="PsakDin"/>
      <w:bookmarkEnd w:id="6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  <w:bookmarkStart w:id="7" w:name="PsakDin"/>
      <w:bookmarkStart w:id="8" w:name="PsakDin"/>
      <w:bookmarkEnd w:id="8"/>
    </w:p>
    <w:p>
      <w:pPr>
        <w:pStyle w:val="Normal"/>
        <w:spacing w:lineRule="auto" w:line="360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 xml:space="preserve">לפנינו </w:t>
      </w:r>
      <w:bookmarkStart w:id="9" w:name="ABSTRACT_START"/>
      <w:bookmarkEnd w:id="9"/>
      <w:r>
        <w:rPr>
          <w:rtl w:val="true"/>
        </w:rPr>
        <w:t>ערעור המדינה על גזר</w:t>
      </w:r>
      <w:r>
        <w:rPr>
          <w:rtl w:val="true"/>
        </w:rPr>
        <w:t>-</w:t>
      </w:r>
      <w:r>
        <w:rPr>
          <w:rtl w:val="true"/>
        </w:rPr>
        <w:t xml:space="preserve">דינו של בית משפט השלום בירושלים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 א</w:t>
      </w:r>
      <w:r>
        <w:rPr>
          <w:rtl w:val="true"/>
        </w:rPr>
        <w:t xml:space="preserve">' </w:t>
      </w:r>
      <w:r>
        <w:rPr>
          <w:rtl w:val="true"/>
        </w:rPr>
        <w:t>רומנוב</w:t>
      </w:r>
      <w:r>
        <w:rPr>
          <w:rtl w:val="true"/>
        </w:rPr>
        <w:t xml:space="preserve">, </w:t>
      </w:r>
      <w:r>
        <w:rPr>
          <w:rtl w:val="true"/>
        </w:rPr>
        <w:t>כתוארו אז</w:t>
      </w:r>
      <w:r>
        <w:rPr>
          <w:rtl w:val="true"/>
        </w:rPr>
        <w:t xml:space="preserve">) </w:t>
      </w:r>
      <w:r>
        <w:rPr>
          <w:rtl w:val="true"/>
        </w:rPr>
        <w:t>ב</w:t>
      </w:r>
      <w:hyperlink r:id="rId3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.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. </w:t>
        </w:r>
        <w:r>
          <w:rPr>
            <w:rStyle w:val="Hyperlink"/>
            <w:color w:val="0000FF"/>
            <w:u w:val="single"/>
          </w:rPr>
          <w:t>1073/10</w:t>
        </w:r>
      </w:hyperlink>
      <w:r>
        <w:rPr>
          <w:rtl w:val="true"/>
        </w:rPr>
        <w:t xml:space="preserve"> </w:t>
      </w:r>
      <w:r>
        <w:rPr>
          <w:rtl w:val="true"/>
        </w:rPr>
        <w:t xml:space="preserve">מיום </w:t>
      </w:r>
      <w:r>
        <w:rPr/>
        <w:t>12.6.11</w:t>
      </w:r>
      <w:r>
        <w:rPr>
          <w:rtl w:val="true"/>
        </w:rPr>
        <w:t xml:space="preserve">, </w:t>
      </w:r>
      <w:r>
        <w:rPr>
          <w:rtl w:val="true"/>
        </w:rPr>
        <w:t xml:space="preserve">בגדרו נגזרו על המשיב </w:t>
      </w:r>
      <w:r>
        <w:rPr/>
        <w:t>340</w:t>
      </w:r>
      <w:r>
        <w:rPr>
          <w:rtl w:val="true"/>
        </w:rPr>
        <w:t xml:space="preserve"> </w:t>
      </w:r>
      <w:r>
        <w:rPr>
          <w:rtl w:val="true"/>
        </w:rPr>
        <w:t>שעות 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 xml:space="preserve">מאסר על תנאי של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 xml:space="preserve">חודשים למשך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 xml:space="preserve">שיופעל אם יורשע המשיב בעבירה לפי </w:t>
      </w:r>
      <w:hyperlink r:id="rId4">
        <w:r>
          <w:rPr>
            <w:rStyle w:val="Hyperlink"/>
            <w:color w:val="0000FF"/>
            <w:u w:val="single"/>
            <w:rtl w:val="true"/>
          </w:rPr>
          <w:t>פקודת הסמים</w:t>
        </w:r>
      </w:hyperlink>
      <w:r>
        <w:rPr>
          <w:rtl w:val="true"/>
        </w:rPr>
        <w:t xml:space="preserve">, </w:t>
      </w:r>
      <w:r>
        <w:rPr>
          <w:rtl w:val="true"/>
        </w:rPr>
        <w:t>למעט עבירה של שימוש בסם והחזקתו לצריכה עצמית</w:t>
      </w:r>
      <w:r>
        <w:rPr>
          <w:rtl w:val="true"/>
        </w:rPr>
        <w:t xml:space="preserve">, </w:t>
      </w:r>
      <w:r>
        <w:rPr>
          <w:rtl w:val="true"/>
        </w:rPr>
        <w:t xml:space="preserve">ומאסר על תנאי של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חודשים למשך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 אם יורשע המשיב בעבירה של שימוש בסם והחזקתו לצריכה עצמית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  <w:bookmarkStart w:id="10" w:name="ABSTRACT_END"/>
      <w:bookmarkStart w:id="11" w:name="ABSTRACT_END"/>
      <w:bookmarkEnd w:id="11"/>
    </w:p>
    <w:p>
      <w:pPr>
        <w:pStyle w:val="Normal"/>
        <w:spacing w:lineRule="auto" w:line="360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 xml:space="preserve">המשיב הורשע לפי עובדות כתב אישום מתוקן בו הודה בהחזקת סם מסוכן מסוג קוקאין במשקל </w:t>
      </w:r>
      <w:r>
        <w:rPr/>
        <w:t>9.3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 </w:t>
      </w:r>
      <w:r>
        <w:rPr>
          <w:rtl w:val="true"/>
        </w:rPr>
        <w:t xml:space="preserve">שלא לצריכה עצמית </w:t>
      </w:r>
      <w:r>
        <w:rPr>
          <w:rtl w:val="true"/>
        </w:rPr>
        <w:t>(</w:t>
      </w:r>
      <w:r>
        <w:rPr>
          <w:rtl w:val="true"/>
        </w:rPr>
        <w:t>אישום ראשון</w:t>
      </w:r>
      <w:r>
        <w:rPr>
          <w:rtl w:val="true"/>
        </w:rPr>
        <w:t xml:space="preserve">); </w:t>
      </w:r>
      <w:r>
        <w:rPr>
          <w:rtl w:val="true"/>
        </w:rPr>
        <w:t xml:space="preserve">מכירת סם מסוג קוקאין במשקל של </w:t>
      </w:r>
      <w:r>
        <w:rPr/>
        <w:t>2.0615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>' (</w:t>
      </w:r>
      <w:r>
        <w:rPr>
          <w:rtl w:val="true"/>
        </w:rPr>
        <w:t>אישום שני</w:t>
      </w:r>
      <w:r>
        <w:rPr>
          <w:rtl w:val="true"/>
        </w:rPr>
        <w:t xml:space="preserve">); </w:t>
      </w:r>
      <w:r>
        <w:rPr>
          <w:rtl w:val="true"/>
        </w:rPr>
        <w:t xml:space="preserve">והחזקת סם מסוכן מסוג חשיש במשקל </w:t>
      </w:r>
      <w:r>
        <w:rPr/>
        <w:t>4.95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 </w:t>
      </w:r>
      <w:r>
        <w:rPr>
          <w:rtl w:val="true"/>
        </w:rPr>
        <w:t>לצריכה עצמית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במסגרת הסדר הטיעון נקבע כי התבקש בעניינו של המשיב תסקיר והוא אכן הוגש לבית המשפט</w:t>
      </w:r>
      <w:r>
        <w:rPr>
          <w:rtl w:val="true"/>
        </w:rPr>
        <w:t xml:space="preserve">. </w:t>
      </w:r>
      <w:r>
        <w:rPr>
          <w:rtl w:val="true"/>
        </w:rPr>
        <w:t>לפי האמור בתסקיר</w:t>
      </w:r>
      <w:r>
        <w:rPr>
          <w:rtl w:val="true"/>
        </w:rPr>
        <w:t xml:space="preserve">, </w:t>
      </w:r>
      <w:r>
        <w:rPr>
          <w:rtl w:val="true"/>
        </w:rPr>
        <w:t>המשיב נשוי</w:t>
      </w:r>
      <w:r>
        <w:rPr>
          <w:rtl w:val="true"/>
        </w:rPr>
        <w:t xml:space="preserve">, </w:t>
      </w:r>
      <w:r>
        <w:rPr>
          <w:rtl w:val="true"/>
        </w:rPr>
        <w:t>אב לשישה ילדים</w:t>
      </w:r>
      <w:r>
        <w:rPr>
          <w:rtl w:val="true"/>
        </w:rPr>
        <w:t xml:space="preserve">, </w:t>
      </w:r>
      <w:r>
        <w:rPr>
          <w:rtl w:val="true"/>
        </w:rPr>
        <w:t>אשר ניהל אורח חיים נורמטיבי במרבית שנות חייו</w:t>
      </w:r>
      <w:r>
        <w:rPr>
          <w:rtl w:val="true"/>
        </w:rPr>
        <w:t xml:space="preserve">, </w:t>
      </w:r>
      <w:r>
        <w:rPr>
          <w:rtl w:val="true"/>
        </w:rPr>
        <w:t>ואשר על רקע משבר כלכלי נקלע גם למשבר אישי שעם השלכותיו ניסה להתמודד על</w:t>
      </w:r>
      <w:r>
        <w:rPr>
          <w:rtl w:val="true"/>
        </w:rPr>
        <w:t>-</w:t>
      </w:r>
      <w:r>
        <w:rPr>
          <w:rtl w:val="true"/>
        </w:rPr>
        <w:t>ידי שימוש בסמים ומכירתם</w:t>
      </w:r>
      <w:r>
        <w:rPr>
          <w:rtl w:val="true"/>
        </w:rPr>
        <w:t xml:space="preserve">. </w:t>
      </w:r>
      <w:r>
        <w:rPr>
          <w:rtl w:val="true"/>
        </w:rPr>
        <w:t>המשיב מסר בדיקות שתן בשירות המבחן אשר נמצאו נקיות</w:t>
      </w:r>
      <w:r>
        <w:rPr>
          <w:rtl w:val="true"/>
        </w:rPr>
        <w:t xml:space="preserve">. </w:t>
      </w:r>
      <w:r>
        <w:rPr>
          <w:rtl w:val="true"/>
        </w:rPr>
        <w:t>שירות המבחן התרשם</w:t>
      </w:r>
      <w:r>
        <w:rPr>
          <w:rtl w:val="true"/>
        </w:rPr>
        <w:t xml:space="preserve">, </w:t>
      </w:r>
      <w:r>
        <w:rPr>
          <w:rtl w:val="true"/>
        </w:rPr>
        <w:t>כי על</w:t>
      </w:r>
      <w:r>
        <w:rPr>
          <w:rtl w:val="true"/>
        </w:rPr>
        <w:t>-</w:t>
      </w:r>
      <w:r>
        <w:rPr>
          <w:rtl w:val="true"/>
        </w:rPr>
        <w:t>פי תפיסת המשיב</w:t>
      </w:r>
      <w:r>
        <w:rPr>
          <w:rtl w:val="true"/>
        </w:rPr>
        <w:t xml:space="preserve">, </w:t>
      </w:r>
      <w:r>
        <w:rPr>
          <w:rtl w:val="true"/>
        </w:rPr>
        <w:t>אשר נקי משימוש בסמים מזה כחצי שנה</w:t>
      </w:r>
      <w:r>
        <w:rPr>
          <w:rtl w:val="true"/>
        </w:rPr>
        <w:t xml:space="preserve">, </w:t>
      </w:r>
      <w:r>
        <w:rPr>
          <w:rtl w:val="true"/>
        </w:rPr>
        <w:t>הוא איננו נזקק להתערבות טיפולית וכי את מירב מאמציו הוא מעוניין להשקיע בשיקום מצבה הכלכלי של משפחתו</w:t>
      </w:r>
      <w:r>
        <w:rPr>
          <w:rtl w:val="true"/>
        </w:rPr>
        <w:t xml:space="preserve">. </w:t>
      </w:r>
      <w:r>
        <w:rPr>
          <w:rtl w:val="true"/>
        </w:rPr>
        <w:t>שירות המבחן העריך כי הסכמתו של המשיב להשתלב בהליך הטיפולי נובעת מהמצב המשפטי אליו הוא נקלע ולאו דווקא מההבנה של הצורך בבחינת המניעים העמוקים יותר שבבסיס מעשיו</w:t>
      </w:r>
      <w:r>
        <w:rPr>
          <w:rtl w:val="true"/>
        </w:rPr>
        <w:t xml:space="preserve">. </w:t>
      </w:r>
      <w:r>
        <w:rPr>
          <w:rtl w:val="true"/>
        </w:rPr>
        <w:t>לאור כל זאת</w:t>
      </w:r>
      <w:r>
        <w:rPr>
          <w:rtl w:val="true"/>
        </w:rPr>
        <w:t xml:space="preserve">, </w:t>
      </w:r>
      <w:r>
        <w:rPr>
          <w:rtl w:val="true"/>
        </w:rPr>
        <w:t>סבר שירות המבחן כי אין פתח אמיתי לטיפול ולכן נמנע מהמלצה טיפולית בעניינו של המשיב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לבית המשפט קמא הוגש גם תסקיר משלים בגדרו נקבע כי ניכר שינוי מסוים בגישתו של המשיב</w:t>
      </w:r>
      <w:r>
        <w:rPr>
          <w:rtl w:val="true"/>
        </w:rPr>
        <w:t xml:space="preserve">, </w:t>
      </w:r>
      <w:r>
        <w:rPr>
          <w:rtl w:val="true"/>
        </w:rPr>
        <w:t>אשר הביע את הסכמתו להשתלב בטיפול קבוצתי</w:t>
      </w:r>
      <w:r>
        <w:rPr>
          <w:rtl w:val="true"/>
        </w:rPr>
        <w:t xml:space="preserve">, </w:t>
      </w:r>
      <w:r>
        <w:rPr>
          <w:rtl w:val="true"/>
        </w:rPr>
        <w:t>והדגיש בפני שירות המבחן את רצונו לסיים את ההליכים המשפטיים בהקדם האפשרי</w:t>
      </w:r>
      <w:r>
        <w:rPr>
          <w:rtl w:val="true"/>
        </w:rPr>
        <w:t xml:space="preserve">. </w:t>
      </w:r>
      <w:r>
        <w:rPr>
          <w:rtl w:val="true"/>
        </w:rPr>
        <w:t>שירות המבחן התרשם כי המשיב מתקשה להתגייס להליך מעמיק המאפשר שינוי בדפוסי החשיבה מתוך קשייו להכיר במאפייני אישיותו</w:t>
      </w:r>
      <w:r>
        <w:rPr>
          <w:rtl w:val="true"/>
        </w:rPr>
        <w:t xml:space="preserve">. </w:t>
      </w:r>
      <w:r>
        <w:rPr>
          <w:rtl w:val="true"/>
        </w:rPr>
        <w:t>יחד</w:t>
      </w:r>
      <w:r>
        <w:rPr>
          <w:rtl w:val="true"/>
        </w:rPr>
        <w:t>-</w:t>
      </w:r>
      <w:r>
        <w:rPr>
          <w:rtl w:val="true"/>
        </w:rPr>
        <w:t>עם</w:t>
      </w:r>
      <w:r>
        <w:rPr>
          <w:rtl w:val="true"/>
        </w:rPr>
        <w:t>-</w:t>
      </w:r>
      <w:r>
        <w:rPr>
          <w:rtl w:val="true"/>
        </w:rPr>
        <w:t>זאת התרשם שירות המבחן כי נוצר פתח להשתלבות בטיפול</w:t>
      </w:r>
      <w:r>
        <w:rPr>
          <w:rtl w:val="true"/>
        </w:rPr>
        <w:t xml:space="preserve">. </w:t>
      </w:r>
      <w:r>
        <w:rPr>
          <w:rtl w:val="true"/>
        </w:rPr>
        <w:t>לכן ביקש דחייה קצרה של מספר חודשים</w:t>
      </w:r>
      <w:r>
        <w:rPr>
          <w:rtl w:val="true"/>
        </w:rPr>
        <w:t xml:space="preserve">. </w:t>
      </w:r>
      <w:r>
        <w:rPr>
          <w:rtl w:val="true"/>
        </w:rPr>
        <w:t>בחלוף פרק זמן נוסף הוגש תסקיר משלים נוסף בעניינו של המשיב</w:t>
      </w:r>
      <w:r>
        <w:rPr>
          <w:rtl w:val="true"/>
        </w:rPr>
        <w:t xml:space="preserve">, </w:t>
      </w:r>
      <w:r>
        <w:rPr>
          <w:rtl w:val="true"/>
        </w:rPr>
        <w:t>בגדרו נאמר כי המשיב החל לעבוד בקופ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"</w:t>
      </w:r>
      <w:r>
        <w:rPr>
          <w:rtl w:val="true"/>
        </w:rPr>
        <w:t>לאומית</w:t>
      </w:r>
      <w:r>
        <w:rPr>
          <w:rtl w:val="true"/>
        </w:rPr>
        <w:t xml:space="preserve">" </w:t>
      </w:r>
      <w:r>
        <w:rPr>
          <w:rtl w:val="true"/>
        </w:rPr>
        <w:t>בעיר אופקים</w:t>
      </w:r>
      <w:r>
        <w:rPr>
          <w:rtl w:val="true"/>
        </w:rPr>
        <w:t xml:space="preserve">. </w:t>
      </w:r>
      <w:r>
        <w:rPr>
          <w:rtl w:val="true"/>
        </w:rPr>
        <w:t>עוד נקבע</w:t>
      </w:r>
      <w:r>
        <w:rPr>
          <w:rtl w:val="true"/>
        </w:rPr>
        <w:t xml:space="preserve">, </w:t>
      </w:r>
      <w:r>
        <w:rPr>
          <w:rtl w:val="true"/>
        </w:rPr>
        <w:t>כי בתקופה האחרונה הביע המשיב פעם נוספת ספקות לגבי התועלת שיפיק מהליך טיפולי מאחר שהוא נקי מסמים מזה כשנה</w:t>
      </w:r>
      <w:r>
        <w:rPr>
          <w:rtl w:val="true"/>
        </w:rPr>
        <w:t xml:space="preserve">. </w:t>
      </w:r>
      <w:r>
        <w:rPr>
          <w:rtl w:val="true"/>
        </w:rPr>
        <w:t>בדיקות השתן שמסר המשיב בתקופה זו נמצאו נקיות</w:t>
      </w:r>
      <w:r>
        <w:rPr>
          <w:rtl w:val="true"/>
        </w:rPr>
        <w:t xml:space="preserve">. </w:t>
      </w:r>
      <w:r>
        <w:rPr>
          <w:rtl w:val="true"/>
        </w:rPr>
        <w:t>בסופו של יום</w:t>
      </w:r>
      <w:r>
        <w:rPr>
          <w:rtl w:val="true"/>
        </w:rPr>
        <w:t xml:space="preserve">, </w:t>
      </w:r>
      <w:r>
        <w:rPr>
          <w:rtl w:val="true"/>
        </w:rPr>
        <w:t>על אף הספקות שהביע המשיב</w:t>
      </w:r>
      <w:r>
        <w:rPr>
          <w:rtl w:val="true"/>
        </w:rPr>
        <w:t xml:space="preserve">, </w:t>
      </w:r>
      <w:r>
        <w:rPr>
          <w:rtl w:val="true"/>
        </w:rPr>
        <w:t>ולאור העובדה כי הוא הסכים להשתלב בהליך טיפולי</w:t>
      </w:r>
      <w:r>
        <w:rPr>
          <w:rtl w:val="true"/>
        </w:rPr>
        <w:t xml:space="preserve">, </w:t>
      </w:r>
      <w:r>
        <w:rPr>
          <w:rtl w:val="true"/>
        </w:rPr>
        <w:t>המליץ שירות המבחן להעמיד המשיב תחת פיקוח שירות המבחן למשך שנה</w:t>
      </w:r>
      <w:r>
        <w:rPr>
          <w:rtl w:val="true"/>
        </w:rPr>
        <w:t xml:space="preserve">, </w:t>
      </w:r>
      <w:r>
        <w:rPr>
          <w:rtl w:val="true"/>
        </w:rPr>
        <w:t>וחזר על המלצתו להטיל עליו של</w:t>
      </w:r>
      <w:r>
        <w:rPr>
          <w:rtl w:val="true"/>
        </w:rPr>
        <w:t>"</w:t>
      </w:r>
      <w:r>
        <w:rPr>
          <w:rtl w:val="true"/>
        </w:rPr>
        <w:t xml:space="preserve">צ בהיקף של </w:t>
      </w:r>
      <w:r>
        <w:rPr/>
        <w:t>340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במהלך הדיון בערעור היום</w:t>
      </w:r>
      <w:r>
        <w:rPr>
          <w:rtl w:val="true"/>
        </w:rPr>
        <w:t xml:space="preserve">, </w:t>
      </w:r>
      <w:r>
        <w:rPr>
          <w:rtl w:val="true"/>
        </w:rPr>
        <w:t>הוגש לבית המשפט</w:t>
      </w:r>
      <w:r>
        <w:rPr>
          <w:rtl w:val="true"/>
        </w:rPr>
        <w:t xml:space="preserve">, </w:t>
      </w:r>
      <w:r>
        <w:rPr>
          <w:rtl w:val="true"/>
        </w:rPr>
        <w:t>בהסכמה</w:t>
      </w:r>
      <w:r>
        <w:rPr>
          <w:rtl w:val="true"/>
        </w:rPr>
        <w:t xml:space="preserve">, </w:t>
      </w:r>
      <w:r>
        <w:rPr>
          <w:rtl w:val="true"/>
        </w:rPr>
        <w:t>מכתב שנכתב על</w:t>
      </w:r>
      <w:r>
        <w:rPr>
          <w:rtl w:val="true"/>
        </w:rPr>
        <w:t>-</w:t>
      </w:r>
      <w:r>
        <w:rPr>
          <w:rtl w:val="true"/>
        </w:rPr>
        <w:t>ידי אשת המערער</w:t>
      </w:r>
      <w:r>
        <w:rPr>
          <w:rtl w:val="true"/>
        </w:rPr>
        <w:t xml:space="preserve">, </w:t>
      </w:r>
      <w:r>
        <w:rPr>
          <w:rtl w:val="true"/>
        </w:rPr>
        <w:t>במסגרתו מתארת אשת המערער את חיי הזוגיות של השניים מאז נישאו ועד היום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עמד בעלה בכל התנאים המגבילים שהוטלו עליו</w:t>
      </w:r>
      <w:r>
        <w:rPr>
          <w:rtl w:val="true"/>
        </w:rPr>
        <w:t xml:space="preserve">, </w:t>
      </w:r>
      <w:r>
        <w:rPr>
          <w:rtl w:val="true"/>
        </w:rPr>
        <w:t>היה בקשר רציף עם קצינת המבחן</w:t>
      </w:r>
      <w:r>
        <w:rPr>
          <w:rtl w:val="true"/>
        </w:rPr>
        <w:t xml:space="preserve">, </w:t>
      </w:r>
      <w:r>
        <w:rPr>
          <w:rtl w:val="true"/>
        </w:rPr>
        <w:t>הוא מתרחק משימוש בסמים והשתנה לטובה בעקבות העונש שקיבל עד כי הוא מקדיש את מלוא זמנו לעבודה ולמשפחה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המערערת טען לפנינו כי יש לקבל את הערעור ולגזור על המשיב מאסר בפועל</w:t>
      </w:r>
      <w:r>
        <w:rPr>
          <w:rtl w:val="true"/>
        </w:rPr>
        <w:t xml:space="preserve">. </w:t>
      </w:r>
      <w:r>
        <w:rPr>
          <w:rtl w:val="true"/>
        </w:rPr>
        <w:t>הוא ציין את העובדה כי מדובר במספר עבירות</w:t>
      </w:r>
      <w:r>
        <w:rPr>
          <w:rtl w:val="true"/>
        </w:rPr>
        <w:t xml:space="preserve">, </w:t>
      </w:r>
      <w:r>
        <w:rPr>
          <w:rtl w:val="true"/>
        </w:rPr>
        <w:t>ביניהן עבירה של סחר בסם מסוכן מסוג קוקאין</w:t>
      </w:r>
      <w:r>
        <w:rPr>
          <w:rtl w:val="true"/>
        </w:rPr>
        <w:t xml:space="preserve">, </w:t>
      </w:r>
      <w:r>
        <w:rPr>
          <w:rtl w:val="true"/>
        </w:rPr>
        <w:t>המצוי ברף העליון במדרג הסמים המסוכנים</w:t>
      </w:r>
      <w:r>
        <w:rPr>
          <w:rtl w:val="true"/>
        </w:rPr>
        <w:t xml:space="preserve">, </w:t>
      </w:r>
      <w:r>
        <w:rPr>
          <w:rtl w:val="true"/>
        </w:rPr>
        <w:t>ואשר תמורתו קיבל המשיב סכום כסף בלתי מבוטל</w:t>
      </w:r>
      <w:r>
        <w:rPr>
          <w:rtl w:val="true"/>
        </w:rPr>
        <w:t xml:space="preserve">. </w:t>
      </w:r>
      <w:r>
        <w:rPr>
          <w:rtl w:val="true"/>
        </w:rPr>
        <w:t>עוד ציין ב</w:t>
      </w:r>
      <w:r>
        <w:rPr>
          <w:rtl w:val="true"/>
        </w:rPr>
        <w:t>"</w:t>
      </w:r>
      <w:r>
        <w:rPr>
          <w:rtl w:val="true"/>
        </w:rPr>
        <w:t xml:space="preserve">כ המערערת כי המשיב הורשע בהחזקה שלא לצריכה עצמית של סם מסוג קוקאין בכמות המחולקת ל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מנות</w:t>
      </w:r>
      <w:r>
        <w:rPr>
          <w:rtl w:val="true"/>
        </w:rPr>
        <w:t xml:space="preserve">, </w:t>
      </w:r>
      <w:r>
        <w:rPr>
          <w:rtl w:val="true"/>
        </w:rPr>
        <w:t>עובדה המדברת בעד עצמה</w:t>
      </w:r>
      <w:r>
        <w:rPr>
          <w:rtl w:val="true"/>
        </w:rPr>
        <w:t xml:space="preserve">, </w:t>
      </w:r>
      <w:r>
        <w:rPr>
          <w:rtl w:val="true"/>
        </w:rPr>
        <w:t>לפיה אין מדובר בסמים אשר יועדו לשימוש עצמי</w:t>
      </w:r>
      <w:r>
        <w:rPr>
          <w:rtl w:val="true"/>
        </w:rPr>
        <w:t xml:space="preserve">, </w:t>
      </w:r>
      <w:r>
        <w:rPr>
          <w:rtl w:val="true"/>
        </w:rPr>
        <w:t>אלא להפצה או למכירה</w:t>
      </w:r>
      <w:r>
        <w:rPr>
          <w:rtl w:val="true"/>
        </w:rPr>
        <w:t xml:space="preserve">, </w:t>
      </w:r>
      <w:r>
        <w:rPr>
          <w:rtl w:val="true"/>
        </w:rPr>
        <w:t>וכן הורשע בעבירה של החזקת סם מסוג חשיש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נסיבות כתב האישום בו הודה המשיב מצביעות על נגישותו</w:t>
      </w:r>
      <w:r>
        <w:rPr>
          <w:rtl w:val="true"/>
        </w:rPr>
        <w:t xml:space="preserve">, </w:t>
      </w:r>
      <w:r>
        <w:rPr>
          <w:rtl w:val="true"/>
        </w:rPr>
        <w:t>מעורבותו וזמינותו של המשיב לסמים מסוכנים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המערערת אזכר פסק</w:t>
      </w:r>
      <w:r>
        <w:rPr>
          <w:rtl w:val="true"/>
        </w:rPr>
        <w:t>-</w:t>
      </w:r>
      <w:r>
        <w:rPr>
          <w:rtl w:val="true"/>
        </w:rPr>
        <w:t xml:space="preserve">דין אחר שניתן בהרכב זה ביום </w:t>
      </w:r>
      <w:r>
        <w:rPr/>
        <w:t>12.9.11</w:t>
      </w:r>
      <w:r>
        <w:rPr>
          <w:rtl w:val="true"/>
        </w:rPr>
        <w:t xml:space="preserve"> (</w:t>
      </w:r>
      <w:hyperlink r:id="rId5">
        <w:r>
          <w:rPr>
            <w:rStyle w:val="Hyperlink"/>
            <w:rtl w:val="true"/>
          </w:rPr>
          <w:t>עפ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 xml:space="preserve">ג </w:t>
        </w:r>
        <w:r>
          <w:rPr>
            <w:rStyle w:val="Hyperlink"/>
          </w:rPr>
          <w:t>8927-06-11</w:t>
        </w:r>
      </w:hyperlink>
      <w:r>
        <w:rPr>
          <w:rtl w:val="true"/>
        </w:rPr>
        <w:t xml:space="preserve">), </w:t>
      </w:r>
      <w:r>
        <w:rPr>
          <w:rtl w:val="true"/>
        </w:rPr>
        <w:t>בגדרו קיבלנו את ערעור המדינה וגזרנו על נאשם שהורשע ב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עבירות  של סחר בסם מסוכן מאסר בפועל לתקופה של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וביקש לאמץ גישה זו גם במקרה דנן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המשיב עתר להותרת העונש על</w:t>
      </w:r>
      <w:r>
        <w:rPr>
          <w:rtl w:val="true"/>
        </w:rPr>
        <w:t>-</w:t>
      </w:r>
      <w:r>
        <w:rPr>
          <w:rtl w:val="true"/>
        </w:rPr>
        <w:t>כנו</w:t>
      </w:r>
      <w:r>
        <w:rPr>
          <w:rtl w:val="true"/>
        </w:rPr>
        <w:t xml:space="preserve">. </w:t>
      </w:r>
      <w:r>
        <w:rPr>
          <w:rtl w:val="true"/>
        </w:rPr>
        <w:t>הוא ביקש שלא לסטות מהמלצת שירות המבחן ולהסתפק במקרה זה בעונשים שהשית בית משפט קמא</w:t>
      </w:r>
      <w:r>
        <w:rPr>
          <w:rtl w:val="true"/>
        </w:rPr>
        <w:t xml:space="preserve">, </w:t>
      </w:r>
      <w:r>
        <w:rPr>
          <w:rtl w:val="true"/>
        </w:rPr>
        <w:t xml:space="preserve">אם כי הסכים לצרף לכך עונש נוסף </w:t>
      </w:r>
      <w:r>
        <w:rPr>
          <w:rtl w:val="true"/>
        </w:rPr>
        <w:t>(</w:t>
      </w:r>
      <w:r>
        <w:rPr>
          <w:rtl w:val="true"/>
        </w:rPr>
        <w:t>צו מבחן טהור</w:t>
      </w:r>
      <w:r>
        <w:rPr>
          <w:rtl w:val="true"/>
        </w:rPr>
        <w:t xml:space="preserve">), </w:t>
      </w:r>
      <w:r>
        <w:rPr>
          <w:rtl w:val="true"/>
        </w:rPr>
        <w:t>כפי שהמליץ שירות המבחן</w:t>
      </w:r>
      <w:r>
        <w:rPr>
          <w:rtl w:val="true"/>
        </w:rPr>
        <w:t xml:space="preserve">, </w:t>
      </w:r>
      <w:r>
        <w:rPr>
          <w:rtl w:val="true"/>
        </w:rPr>
        <w:t>אך בית</w:t>
      </w:r>
      <w:r>
        <w:rPr>
          <w:rtl w:val="true"/>
        </w:rPr>
        <w:t>-</w:t>
      </w:r>
      <w:r>
        <w:rPr>
          <w:rtl w:val="true"/>
        </w:rPr>
        <w:t>משפט קמא</w:t>
      </w:r>
      <w:r>
        <w:rPr>
          <w:rtl w:val="true"/>
        </w:rPr>
        <w:t xml:space="preserve">, </w:t>
      </w:r>
      <w:r>
        <w:rPr>
          <w:rtl w:val="true"/>
        </w:rPr>
        <w:t>כנראה בשל טעות</w:t>
      </w:r>
      <w:r>
        <w:rPr>
          <w:rtl w:val="true"/>
        </w:rPr>
        <w:t xml:space="preserve">, </w:t>
      </w:r>
      <w:r>
        <w:rPr>
          <w:rtl w:val="true"/>
        </w:rPr>
        <w:t>זנח המלצה זו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המשיב נטל אחריות מלאה על מעשיו</w:t>
      </w:r>
      <w:r>
        <w:rPr>
          <w:rtl w:val="true"/>
        </w:rPr>
        <w:t xml:space="preserve">, </w:t>
      </w:r>
      <w:r>
        <w:rPr>
          <w:rtl w:val="true"/>
        </w:rPr>
        <w:t>עבר שינוי אמיתי בחייו</w:t>
      </w:r>
      <w:r>
        <w:rPr>
          <w:rtl w:val="true"/>
        </w:rPr>
        <w:t xml:space="preserve">, </w:t>
      </w:r>
      <w:r>
        <w:rPr>
          <w:rtl w:val="true"/>
        </w:rPr>
        <w:t>וכיום</w:t>
      </w:r>
      <w:r>
        <w:rPr>
          <w:rtl w:val="true"/>
        </w:rPr>
        <w:t xml:space="preserve">, </w:t>
      </w:r>
      <w:r>
        <w:rPr>
          <w:rtl w:val="true"/>
        </w:rPr>
        <w:t>על אף מעידתו</w:t>
      </w:r>
      <w:r>
        <w:rPr>
          <w:rtl w:val="true"/>
        </w:rPr>
        <w:t xml:space="preserve">, </w:t>
      </w:r>
      <w:r>
        <w:rPr>
          <w:rtl w:val="true"/>
        </w:rPr>
        <w:t>הוא מנהל אורח חיים תקין ומפרנס את משפחתו בכבוד</w:t>
      </w:r>
      <w:r>
        <w:rPr>
          <w:rtl w:val="true"/>
        </w:rPr>
        <w:t xml:space="preserve">. </w:t>
      </w:r>
      <w:r>
        <w:rPr>
          <w:rtl w:val="true"/>
        </w:rPr>
        <w:t>עוד ציין את העובדה</w:t>
      </w:r>
      <w:r>
        <w:rPr>
          <w:rtl w:val="true"/>
        </w:rPr>
        <w:t xml:space="preserve">, </w:t>
      </w:r>
      <w:r>
        <w:rPr>
          <w:rtl w:val="true"/>
        </w:rPr>
        <w:t>כי המשיב שהה במעצר קרוב לחודש ולאחר מכן במעצר בית במשך מספר חודשים שלא בביתו</w:t>
      </w:r>
      <w:r>
        <w:rPr>
          <w:rtl w:val="true"/>
        </w:rPr>
        <w:t xml:space="preserve">, </w:t>
      </w:r>
      <w:r>
        <w:rPr>
          <w:rtl w:val="true"/>
        </w:rPr>
        <w:t>בניתוק מוחלט מבני משפחתו</w:t>
      </w:r>
      <w:r>
        <w:rPr>
          <w:rtl w:val="true"/>
        </w:rPr>
        <w:t xml:space="preserve">. </w:t>
      </w:r>
      <w:r>
        <w:rPr>
          <w:rtl w:val="true"/>
        </w:rPr>
        <w:t>לדברי ב</w:t>
      </w:r>
      <w:r>
        <w:rPr>
          <w:rtl w:val="true"/>
        </w:rPr>
        <w:t>"</w:t>
      </w:r>
      <w:r>
        <w:rPr>
          <w:rtl w:val="true"/>
        </w:rPr>
        <w:t>כ המשיב</w:t>
      </w:r>
      <w:r>
        <w:rPr>
          <w:rtl w:val="true"/>
        </w:rPr>
        <w:t xml:space="preserve">, </w:t>
      </w:r>
      <w:r>
        <w:rPr>
          <w:rtl w:val="true"/>
        </w:rPr>
        <w:t>אין לראות בחומרה את סירובו של המשיב להצעת שירות המבחן לעבור תהליך שיקומי</w:t>
      </w:r>
      <w:r>
        <w:rPr>
          <w:rtl w:val="true"/>
        </w:rPr>
        <w:t xml:space="preserve">, </w:t>
      </w:r>
      <w:r>
        <w:rPr>
          <w:rtl w:val="true"/>
        </w:rPr>
        <w:t>זאת בעיקר משום שהמשיב מאמין ביכולתו להשתקם לבדו והוא סבר שהוא עלול להינזק אם ישהה בקרב נרקומנים נוספים לצורכי הליך השיקום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המשיב הוסיף וציין</w:t>
      </w:r>
      <w:r>
        <w:rPr>
          <w:rtl w:val="true"/>
        </w:rPr>
        <w:t xml:space="preserve">, </w:t>
      </w:r>
      <w:r>
        <w:rPr>
          <w:rtl w:val="true"/>
        </w:rPr>
        <w:t>כי על אף חומרת עבירת הסחר בסמים בה הורשע המשיב</w:t>
      </w:r>
      <w:r>
        <w:rPr>
          <w:rtl w:val="true"/>
        </w:rPr>
        <w:t xml:space="preserve">, </w:t>
      </w:r>
      <w:r>
        <w:rPr>
          <w:rtl w:val="true"/>
        </w:rPr>
        <w:t>מדובר בסופו של יום באירוע חד</w:t>
      </w:r>
      <w:r>
        <w:rPr>
          <w:rtl w:val="true"/>
        </w:rPr>
        <w:t>-</w:t>
      </w:r>
      <w:r>
        <w:rPr>
          <w:rtl w:val="true"/>
        </w:rPr>
        <w:t>פעמי</w:t>
      </w:r>
      <w:r>
        <w:rPr>
          <w:rtl w:val="true"/>
        </w:rPr>
        <w:t xml:space="preserve">, </w:t>
      </w:r>
      <w:r>
        <w:rPr>
          <w:rtl w:val="true"/>
        </w:rPr>
        <w:t>כאשר מכירת הסם נעשתה לחבר טוב של המשיב</w:t>
      </w:r>
      <w:r>
        <w:rPr>
          <w:rtl w:val="true"/>
        </w:rPr>
        <w:t xml:space="preserve">. </w:t>
      </w:r>
      <w:r>
        <w:rPr>
          <w:rtl w:val="true"/>
        </w:rPr>
        <w:t>לבסוף טען ב</w:t>
      </w:r>
      <w:r>
        <w:rPr>
          <w:rtl w:val="true"/>
        </w:rPr>
        <w:t>"</w:t>
      </w:r>
      <w:r>
        <w:rPr>
          <w:rtl w:val="true"/>
        </w:rPr>
        <w:t>כ המשיב</w:t>
      </w:r>
      <w:r>
        <w:rPr>
          <w:rtl w:val="true"/>
        </w:rPr>
        <w:t xml:space="preserve">, </w:t>
      </w:r>
      <w:r>
        <w:rPr>
          <w:rtl w:val="true"/>
        </w:rPr>
        <w:t>כי המשיב נטול עבר פלילי</w:t>
      </w:r>
      <w:r>
        <w:rPr>
          <w:rtl w:val="true"/>
        </w:rPr>
        <w:t xml:space="preserve">, </w:t>
      </w:r>
      <w:r>
        <w:rPr>
          <w:rtl w:val="true"/>
        </w:rPr>
        <w:t>הודה והורשע במיוחס לו</w:t>
      </w:r>
      <w:r>
        <w:rPr>
          <w:rtl w:val="true"/>
        </w:rPr>
        <w:t xml:space="preserve">, </w:t>
      </w:r>
      <w:r>
        <w:rPr>
          <w:rtl w:val="true"/>
        </w:rPr>
        <w:t>הביע חרטה מלאה על מעשיו</w:t>
      </w:r>
      <w:r>
        <w:rPr>
          <w:rtl w:val="true"/>
        </w:rPr>
        <w:t xml:space="preserve">, </w:t>
      </w:r>
      <w:r>
        <w:rPr>
          <w:rtl w:val="true"/>
        </w:rPr>
        <w:t>חסך זמן שיפוטי יקר</w:t>
      </w:r>
      <w:r>
        <w:rPr>
          <w:rtl w:val="true"/>
        </w:rPr>
        <w:t xml:space="preserve">, </w:t>
      </w:r>
      <w:r>
        <w:rPr>
          <w:rtl w:val="true"/>
        </w:rPr>
        <w:t>ועבר את העבירות בעקבות משבר כלכלי קשה אליו נקלע עקב קריסת העסק שהקים</w:t>
      </w:r>
      <w:r>
        <w:rPr>
          <w:rtl w:val="true"/>
        </w:rPr>
        <w:t xml:space="preserve">. </w:t>
      </w:r>
      <w:r>
        <w:rPr>
          <w:rtl w:val="true"/>
        </w:rPr>
        <w:t>כיום</w:t>
      </w:r>
      <w:r>
        <w:rPr>
          <w:rtl w:val="true"/>
        </w:rPr>
        <w:t xml:space="preserve">, </w:t>
      </w:r>
      <w:r>
        <w:rPr>
          <w:rtl w:val="true"/>
        </w:rPr>
        <w:t xml:space="preserve">עובד המשיב כבר קרוב ל </w:t>
      </w:r>
      <w:r>
        <w:rPr>
          <w:rtl w:val="true"/>
        </w:rPr>
        <w:t xml:space="preserve">-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חודשים בקופ</w:t>
      </w:r>
      <w:r>
        <w:rPr>
          <w:rtl w:val="true"/>
        </w:rPr>
        <w:t>"</w:t>
      </w:r>
      <w:r>
        <w:rPr>
          <w:rtl w:val="true"/>
        </w:rPr>
        <w:t>ח לאומית</w:t>
      </w:r>
      <w:r>
        <w:rPr>
          <w:rtl w:val="true"/>
        </w:rPr>
        <w:t xml:space="preserve">, </w:t>
      </w:r>
      <w:r>
        <w:rPr>
          <w:rtl w:val="true"/>
        </w:rPr>
        <w:t>הוא נקי מסמים ומשוקם מבחינה פיזית</w:t>
      </w:r>
      <w:r>
        <w:rPr>
          <w:rtl w:val="true"/>
        </w:rPr>
        <w:t xml:space="preserve">, </w:t>
      </w:r>
      <w:r>
        <w:rPr>
          <w:rtl w:val="true"/>
        </w:rPr>
        <w:t xml:space="preserve">אך נמצא בהליך של פשיטת רגל שעה שתיקי ההוצאה לפועל התלויים ופתוחים נגדו מצביעים על חוב כולל של  למעלה מ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/>
        <w:t>3,000,000</w:t>
      </w:r>
      <w:r>
        <w:rPr>
          <w:rtl w:val="true"/>
        </w:rPr>
        <w:t xml:space="preserve"> ₪, </w:t>
      </w:r>
      <w:r>
        <w:rPr>
          <w:rtl w:val="true"/>
        </w:rPr>
        <w:t xml:space="preserve">כאשר לרעייתו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 xml:space="preserve">תיקי הוצאה לפעול פתוחים המצביעים על חוב כולל של למעלה מ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/>
        <w:t>700,000</w:t>
      </w:r>
      <w:r>
        <w:rPr>
          <w:rtl w:val="true"/>
        </w:rPr>
        <w:t xml:space="preserve"> ₪. 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לאחר ששמענו את טענות הצדדים</w:t>
      </w:r>
      <w:r>
        <w:rPr>
          <w:rtl w:val="true"/>
        </w:rPr>
        <w:t xml:space="preserve">, </w:t>
      </w:r>
      <w:r>
        <w:rPr>
          <w:rtl w:val="true"/>
        </w:rPr>
        <w:t>מזה ומזה</w:t>
      </w:r>
      <w:r>
        <w:rPr>
          <w:rtl w:val="true"/>
        </w:rPr>
        <w:t xml:space="preserve">, </w:t>
      </w:r>
      <w:r>
        <w:rPr>
          <w:rtl w:val="true"/>
        </w:rPr>
        <w:t>נחה דעתנו כי דין הערעור להתקבל</w:t>
      </w:r>
      <w:r>
        <w:rPr>
          <w:rtl w:val="true"/>
        </w:rPr>
        <w:t xml:space="preserve">. </w:t>
      </w:r>
      <w:r>
        <w:rPr>
          <w:rtl w:val="true"/>
        </w:rPr>
        <w:t>בכל הכבוד הראוי</w:t>
      </w:r>
      <w:r>
        <w:rPr>
          <w:rtl w:val="true"/>
        </w:rPr>
        <w:t xml:space="preserve">, </w:t>
      </w:r>
      <w:r>
        <w:rPr>
          <w:rtl w:val="true"/>
        </w:rPr>
        <w:t>סבורים אנו כי בית</w:t>
      </w:r>
      <w:r>
        <w:rPr>
          <w:rtl w:val="true"/>
        </w:rPr>
        <w:t>-</w:t>
      </w:r>
      <w:r>
        <w:rPr>
          <w:rtl w:val="true"/>
        </w:rPr>
        <w:t>משפט קמא</w:t>
      </w:r>
      <w:r>
        <w:rPr>
          <w:rtl w:val="true"/>
        </w:rPr>
        <w:t xml:space="preserve">, </w:t>
      </w:r>
      <w:r>
        <w:rPr>
          <w:rtl w:val="true"/>
        </w:rPr>
        <w:t>בסופו של יום</w:t>
      </w:r>
      <w:r>
        <w:rPr>
          <w:rtl w:val="true"/>
        </w:rPr>
        <w:t xml:space="preserve">, </w:t>
      </w:r>
      <w:r>
        <w:rPr>
          <w:rtl w:val="true"/>
        </w:rPr>
        <w:t>לא ייחס את החומרה הראויה והמתבקשת לעבירות החמורות אותן עבר ובהן הורשע המשיב</w:t>
      </w:r>
      <w:r>
        <w:rPr>
          <w:rtl w:val="true"/>
        </w:rPr>
        <w:t xml:space="preserve">, </w:t>
      </w:r>
      <w:r>
        <w:rPr>
          <w:rtl w:val="true"/>
        </w:rPr>
        <w:t>ולא גזר עליו את העונש ההולם את חומרתן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כבר קבענו לא אחת</w:t>
      </w:r>
      <w:r>
        <w:rPr>
          <w:rtl w:val="true"/>
        </w:rPr>
        <w:t xml:space="preserve">, </w:t>
      </w:r>
      <w:r>
        <w:rPr>
          <w:rtl w:val="true"/>
        </w:rPr>
        <w:t>כי סחר בסמים מסוכנים הינו אחת העבירות החמורות הקיימות בספר החוקים</w:t>
      </w:r>
      <w:r>
        <w:rPr>
          <w:rtl w:val="true"/>
        </w:rPr>
        <w:t xml:space="preserve">, </w:t>
      </w:r>
      <w:r>
        <w:rPr>
          <w:rtl w:val="true"/>
        </w:rPr>
        <w:t>זאת עקב הפגיעה הקשה בחיי החברה הסדירים והסכנה הרבה שהיא נושאת לשלום הציבור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בית משפט קמא העניק בסופו של יום</w:t>
      </w:r>
      <w:r>
        <w:rPr>
          <w:rtl w:val="true"/>
        </w:rPr>
        <w:t xml:space="preserve">, </w:t>
      </w:r>
      <w:r>
        <w:rPr>
          <w:rtl w:val="true"/>
        </w:rPr>
        <w:t>לאחר שקלא וטריא</w:t>
      </w:r>
      <w:r>
        <w:rPr>
          <w:rtl w:val="true"/>
        </w:rPr>
        <w:t xml:space="preserve">, </w:t>
      </w:r>
      <w:r>
        <w:rPr>
          <w:rtl w:val="true"/>
        </w:rPr>
        <w:t>משקל מכריע לקולא לנסיבות חייו האישיות של המשיב ולעובדה כי המעשים נעשו בתקופת משבר אשר יש לקוות</w:t>
      </w:r>
      <w:r>
        <w:rPr>
          <w:rtl w:val="true"/>
        </w:rPr>
        <w:t xml:space="preserve">, </w:t>
      </w:r>
      <w:r>
        <w:rPr>
          <w:rtl w:val="true"/>
        </w:rPr>
        <w:t>כך קבע</w:t>
      </w:r>
      <w:r>
        <w:rPr>
          <w:rtl w:val="true"/>
        </w:rPr>
        <w:t xml:space="preserve">, </w:t>
      </w:r>
      <w:r>
        <w:rPr>
          <w:rtl w:val="true"/>
        </w:rPr>
        <w:t>כי חלפה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סבורים אנו</w:t>
      </w:r>
      <w:r>
        <w:rPr>
          <w:rtl w:val="true"/>
        </w:rPr>
        <w:t xml:space="preserve">, </w:t>
      </w:r>
      <w:r>
        <w:rPr>
          <w:rtl w:val="true"/>
        </w:rPr>
        <w:t>כי אין לתת משקל אך ורק לשיקול השיקומי הצופה פני עתיד כפי שעולה מגזר דינו של בית משפט קמא</w:t>
      </w:r>
      <w:r>
        <w:rPr>
          <w:rtl w:val="true"/>
        </w:rPr>
        <w:t xml:space="preserve">. </w:t>
      </w:r>
      <w:r>
        <w:rPr>
          <w:rtl w:val="true"/>
        </w:rPr>
        <w:t>ראוי כי יועבר מסר ברור וחד משמעי הן למשיב והן לעבריינים פוטנציאליים אחרים</w:t>
      </w:r>
      <w:r>
        <w:rPr>
          <w:rtl w:val="true"/>
        </w:rPr>
        <w:t xml:space="preserve">, </w:t>
      </w:r>
      <w:r>
        <w:rPr>
          <w:rtl w:val="true"/>
        </w:rPr>
        <w:t>כי עבירה של סחר בסמים מסוכנים</w:t>
      </w:r>
      <w:r>
        <w:rPr>
          <w:rtl w:val="true"/>
        </w:rPr>
        <w:t xml:space="preserve">, </w:t>
      </w:r>
      <w:r>
        <w:rPr>
          <w:rtl w:val="true"/>
        </w:rPr>
        <w:t>כמו גם החזקתם בכמויות המעידות על כוונה להפצה או למכירה של הסם</w:t>
      </w:r>
      <w:r>
        <w:rPr>
          <w:rtl w:val="true"/>
        </w:rPr>
        <w:t xml:space="preserve">, </w:t>
      </w:r>
      <w:r>
        <w:rPr>
          <w:rtl w:val="true"/>
        </w:rPr>
        <w:t>יוליכו לענישה מרתיעה הכוללת רכיב של מאסר בפועל</w:t>
      </w:r>
      <w:r>
        <w:rPr>
          <w:rtl w:val="true"/>
        </w:rPr>
        <w:t xml:space="preserve">. </w:t>
      </w:r>
      <w:r>
        <w:rPr>
          <w:rtl w:val="true"/>
        </w:rPr>
        <w:t>זאת בפרט</w:t>
      </w:r>
      <w:r>
        <w:rPr>
          <w:rtl w:val="true"/>
        </w:rPr>
        <w:t xml:space="preserve">, </w:t>
      </w:r>
      <w:r>
        <w:rPr>
          <w:rtl w:val="true"/>
        </w:rPr>
        <w:t>בנסיבות שבהן מדובר בסם מסוכן מסוג קוקאין</w:t>
      </w:r>
      <w:r>
        <w:rPr>
          <w:rtl w:val="true"/>
        </w:rPr>
        <w:t xml:space="preserve">, </w:t>
      </w:r>
      <w:r>
        <w:rPr>
          <w:rtl w:val="true"/>
        </w:rPr>
        <w:t>אשר נמצא ברף העליון במדרג הסמים המסוכנים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cs="Times New Roman"/>
        </w:rPr>
      </w:pPr>
      <w:r>
        <w:rPr/>
        <w:t>10</w:t>
      </w:r>
      <w:r>
        <w:rPr>
          <w:rtl w:val="true"/>
        </w:rPr>
        <w:t>.</w:t>
        <w:tab/>
      </w:r>
      <w:r>
        <w:rPr>
          <w:rtl w:val="true"/>
        </w:rPr>
        <w:t>בידוע הוא</w:t>
      </w:r>
      <w:r>
        <w:rPr>
          <w:rtl w:val="true"/>
        </w:rPr>
        <w:t xml:space="preserve">, </w:t>
      </w:r>
      <w:r>
        <w:rPr>
          <w:rtl w:val="true"/>
        </w:rPr>
        <w:t>כי אין זה נוהגה של ערכאת הערעור למצות הדין עם נאשם</w:t>
      </w:r>
      <w:r>
        <w:rPr>
          <w:rtl w:val="true"/>
        </w:rPr>
        <w:t xml:space="preserve">. </w:t>
      </w:r>
      <w:r>
        <w:rPr>
          <w:rtl w:val="true"/>
        </w:rPr>
        <w:t>במקרה זה אנו מביאים בחשבון שיקולינו גם את העובדות הבאות</w:t>
      </w:r>
      <w:r>
        <w:rPr>
          <w:rtl w:val="true"/>
        </w:rPr>
        <w:t xml:space="preserve">: </w:t>
      </w:r>
      <w:r>
        <w:rPr>
          <w:rtl w:val="true"/>
        </w:rPr>
        <w:t>המשיב נטול עבר פלילי</w:t>
      </w:r>
      <w:r>
        <w:rPr>
          <w:rtl w:val="true"/>
        </w:rPr>
        <w:t xml:space="preserve">; </w:t>
      </w:r>
      <w:r>
        <w:rPr>
          <w:rtl w:val="true"/>
        </w:rPr>
        <w:t>הודה מיד בביצוע העבירות המיוחסות לו וחסך מזמנו היקר של בית המשפט</w:t>
      </w:r>
      <w:r>
        <w:rPr>
          <w:rtl w:val="true"/>
        </w:rPr>
        <w:t xml:space="preserve">; </w:t>
      </w:r>
      <w:r>
        <w:rPr>
          <w:rtl w:val="true"/>
        </w:rPr>
        <w:t>המלצת שירות המבחן</w:t>
      </w:r>
      <w:r>
        <w:rPr>
          <w:rtl w:val="true"/>
        </w:rPr>
        <w:t xml:space="preserve">;  </w:t>
      </w:r>
      <w:r>
        <w:rPr>
          <w:rtl w:val="true"/>
        </w:rPr>
        <w:t>ישיבתו במעצר למשך תקופה של כחודש ימים</w:t>
      </w:r>
      <w:r>
        <w:rPr>
          <w:rtl w:val="true"/>
        </w:rPr>
        <w:t xml:space="preserve">; </w:t>
      </w:r>
      <w:r>
        <w:rPr>
          <w:rtl w:val="true"/>
        </w:rPr>
        <w:t>שהייתו במשך מספר חודשים במעצר בית מלא כשהוא מנותק מבני משפחתו</w:t>
      </w:r>
      <w:r>
        <w:rPr>
          <w:rtl w:val="true"/>
        </w:rPr>
        <w:t xml:space="preserve">; </w:t>
      </w:r>
      <w:r>
        <w:rPr>
          <w:rtl w:val="true"/>
        </w:rPr>
        <w:t>מצבו הכלכלי הקש</w:t>
      </w:r>
      <w:r>
        <w:rPr>
          <w:rFonts w:ascii="Times New Roman" w:hAnsi="Times New Roman" w:cs="Times New Roman"/>
          <w:rtl w:val="true"/>
        </w:rPr>
        <w:t>ה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ומכתבה של רעייתו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בנסיבות אלו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באנו לכלל מסקנה כי לרכיבי העונש שנגזרו על המשיב יתווסף עונש מאסר בפועל למשך </w:t>
      </w: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אשר ירצה בפועל ולא בדרך של עבודת שירות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מתקופה זו ינוכו </w:t>
      </w:r>
      <w:r>
        <w:rPr>
          <w:rFonts w:cs="Times New Roman" w:ascii="Times New Roman" w:hAnsi="Times New Roman"/>
        </w:rPr>
        <w:t>29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ימי המעצר אותם ריצה בתיק זה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פועל יוצא מן האמור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כי תקופת השל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צ של </w:t>
      </w:r>
      <w:r>
        <w:rPr>
          <w:rFonts w:cs="Times New Roman" w:ascii="Times New Roman" w:hAnsi="Times New Roman"/>
        </w:rPr>
        <w:t>340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שעות תבוטל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 xml:space="preserve">המשיב יתייצב לריצוי המאסר שהושת עליו ביום </w:t>
      </w:r>
      <w:r>
        <w:rPr>
          <w:rFonts w:cs="Times New Roman" w:ascii="Times New Roman" w:hAnsi="Times New Roman"/>
        </w:rPr>
        <w:t>1.1.12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בשעה </w:t>
      </w:r>
      <w:r>
        <w:rPr>
          <w:rFonts w:cs="Times New Roman" w:ascii="Times New Roman" w:hAnsi="Times New Roman"/>
        </w:rPr>
        <w:t>8:30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בבית המעצר במגרש הרוסים בירושלים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#4#</w:t>
      </w:r>
      <w:r>
        <w:rPr>
          <w:sz w:val="6"/>
          <w:szCs w:val="6"/>
          <w:rtl w:val="true"/>
        </w:rPr>
        <w:t>&gt;</w:t>
      </w:r>
    </w:p>
    <w:p>
      <w:pPr>
        <w:pStyle w:val="Normal"/>
        <w:ind w:end="0"/>
        <w:jc w:val="both"/>
        <w:rPr/>
      </w:pPr>
      <w:r>
        <w:rPr>
          <w:b/>
          <w:b/>
          <w:bCs/>
          <w:sz w:val="28"/>
          <w:sz w:val="28"/>
          <w:szCs w:val="28"/>
          <w:rtl w:val="true"/>
        </w:rPr>
        <w:t>ניתן והודע היום ט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ו אלול 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14/09/2011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  </w:t>
      </w:r>
      <w:r>
        <w:rPr>
          <w:rtl w:val="true"/>
        </w:rPr>
        <w:t xml:space="preserve"> </w:t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צבי</w:t>
            </w:r>
            <w:r>
              <w:rPr>
                <w:rtl w:val="true"/>
              </w:rPr>
              <w:t xml:space="preserve">  </w:t>
            </w:r>
            <w:r>
              <w:rPr>
                <w:rFonts w:cs="FrankRuehl"/>
                <w:rtl w:val="true"/>
              </w:rPr>
              <w:t>סגל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סגן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נשיא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משה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יועד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הכהן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שופט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בן</w:t>
            </w:r>
            <w:r>
              <w:rPr>
                <w:rFonts w:cs="FrankRuehl"/>
                <w:rtl w:val="true"/>
              </w:rPr>
              <w:t>-</w:t>
            </w:r>
            <w:r>
              <w:rPr>
                <w:rFonts w:cs="FrankRuehl"/>
                <w:rtl w:val="true"/>
              </w:rPr>
              <w:t>ציון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גרינברגר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שופט</w:t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end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end"/>
              <w:rPr/>
            </w:pPr>
            <w:r>
              <w:rPr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center"/>
        <w:rPr/>
      </w:pPr>
      <w:r>
        <w:rPr>
          <w:color w:val="FFFFFF"/>
          <w:sz w:val="2"/>
          <w:szCs w:val="2"/>
        </w:rPr>
        <w:t>54678313</w:t>
      </w:r>
    </w:p>
    <w:p>
      <w:pPr>
        <w:pStyle w:val="David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David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 w:cs="David"/>
          <w:color w:val="000000"/>
          <w:sz w:val="22"/>
          <w:sz w:val="22"/>
          <w:szCs w:val="22"/>
          <w:rtl w:val="true"/>
        </w:rPr>
        <w:t xml:space="preserve">צבי סגל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David"/>
        <w:ind w:end="0"/>
        <w:jc w:val="both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rFonts w:cs="FrankRuehl"/>
          <w:sz w:val="28"/>
          <w:szCs w:val="28"/>
        </w:rPr>
      </w:pPr>
      <w:r>
        <w:rPr>
          <w:rFonts w:ascii="Arial" w:hAnsi="Arial" w:cs="FrankRuehl"/>
          <w:sz w:val="28"/>
          <w:sz w:val="28"/>
          <w:szCs w:val="28"/>
          <w:rtl w:val="true"/>
        </w:rPr>
        <w:t>הוקלד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על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ידי</w:t>
      </w:r>
      <w:r>
        <w:rPr>
          <w:rFonts w:cs="FrankRuehl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FrankRuehl"/>
          <w:sz w:val="28"/>
          <w:sz w:val="28"/>
          <w:szCs w:val="28"/>
          <w:rtl w:val="true"/>
        </w:rPr>
        <w:t>מיכל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FrankRuehl"/>
          <w:sz w:val="28"/>
          <w:sz w:val="28"/>
          <w:szCs w:val="28"/>
          <w:rtl w:val="true"/>
        </w:rPr>
        <w:t>ברמלי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00"/>
          <w:rtl w:val="true"/>
        </w:rPr>
        <w:t>בעניין עריכה ושינויים במסמכי פסיקה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חקיקה ועוד באתר נבו – הקש כאן</w:t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6"/>
      <w:footerReference w:type="default" r:id="rId7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5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י</w:t>
    </w:r>
    <w:r>
      <w:rPr>
        <w:color w:val="000000"/>
        <w:sz w:val="22"/>
        <w:szCs w:val="22"/>
        <w:rtl w:val="true"/>
      </w:rPr>
      <w:t>-</w:t>
    </w:r>
    <w:r>
      <w:rPr>
        <w:color w:val="000000"/>
        <w:sz w:val="22"/>
        <w:sz w:val="22"/>
        <w:szCs w:val="22"/>
        <w:rtl w:val="true"/>
      </w:rPr>
      <w:t>ם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49086-06-11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מדינת ישראל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פרדי פיטוסי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case/2427769" TargetMode="External"/><Relationship Id="rId4" Type="http://schemas.openxmlformats.org/officeDocument/2006/relationships/hyperlink" Target="http://www.nevo.co.il/law/4216" TargetMode="External"/><Relationship Id="rId5" Type="http://schemas.openxmlformats.org/officeDocument/2006/relationships/hyperlink" Target="http://www.nevo.co.il/case/3786071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2016-05-03T12:16:00Z</dcterms:created>
  <dc:creator>סתיו צולר</dc:creator>
  <dc:description/>
  <cp:keywords/>
  <dc:language>en-IL</dc:language>
  <cp:lastModifiedBy>hofit</cp:lastModifiedBy>
  <dcterms:modified xsi:type="dcterms:W3CDTF">2016-05-03T12:16:00Z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פרדי פיטוסי</vt:lpwstr>
  </property>
  <property fmtid="{D5CDD505-2E9C-101B-9397-08002B2CF9AE}" pid="4" name="CASESLISTTMP1">
    <vt:lpwstr>2427769;3786071</vt:lpwstr>
  </property>
  <property fmtid="{D5CDD505-2E9C-101B-9397-08002B2CF9AE}" pid="5" name="CITY">
    <vt:lpwstr>י-ם</vt:lpwstr>
  </property>
  <property fmtid="{D5CDD505-2E9C-101B-9397-08002B2CF9AE}" pid="6" name="DATE">
    <vt:lpwstr>20110914</vt:lpwstr>
  </property>
  <property fmtid="{D5CDD505-2E9C-101B-9397-08002B2CF9AE}" pid="7" name="ISABSTRACT">
    <vt:lpwstr>Y</vt:lpwstr>
  </property>
  <property fmtid="{D5CDD505-2E9C-101B-9397-08002B2CF9AE}" pid="8" name="JUDGE">
    <vt:lpwstr>צבי סגל;משה יועד הכהן ובן ציון גרינברגר</vt:lpwstr>
  </property>
  <property fmtid="{D5CDD505-2E9C-101B-9397-08002B2CF9AE}" pid="9" name="LAWLISTTMP1">
    <vt:lpwstr>4216</vt:lpwstr>
  </property>
  <property fmtid="{D5CDD505-2E9C-101B-9397-08002B2CF9AE}" pid="10" name="LAWYER">
    <vt:lpwstr>דני ויטמן;מפרקליטות מחוז ירושלים;ו יהודה שושן</vt:lpwstr>
  </property>
  <property fmtid="{D5CDD505-2E9C-101B-9397-08002B2CF9AE}" pid="11" name="NEWPARTA">
    <vt:lpwstr>49086</vt:lpwstr>
  </property>
  <property fmtid="{D5CDD505-2E9C-101B-9397-08002B2CF9AE}" pid="12" name="NEWPARTB">
    <vt:lpwstr>06</vt:lpwstr>
  </property>
  <property fmtid="{D5CDD505-2E9C-101B-9397-08002B2CF9AE}" pid="13" name="NEWPARTC">
    <vt:lpwstr>11</vt:lpwstr>
  </property>
  <property fmtid="{D5CDD505-2E9C-101B-9397-08002B2CF9AE}" pid="14" name="NEWPROC">
    <vt:lpwstr>עפג</vt:lpwstr>
  </property>
  <property fmtid="{D5CDD505-2E9C-101B-9397-08002B2CF9AE}" pid="15" name="PSAKDIN">
    <vt:lpwstr>פסק-דין</vt:lpwstr>
  </property>
  <property fmtid="{D5CDD505-2E9C-101B-9397-08002B2CF9AE}" pid="16" name="TYPE">
    <vt:lpwstr>2</vt:lpwstr>
  </property>
  <property fmtid="{D5CDD505-2E9C-101B-9397-08002B2CF9AE}" pid="17" name="TYPE_ABS_DATE">
    <vt:lpwstr>390020110914</vt:lpwstr>
  </property>
  <property fmtid="{D5CDD505-2E9C-101B-9397-08002B2CF9AE}" pid="18" name="TYPE_N_DATE">
    <vt:lpwstr>39020110914</vt:lpwstr>
  </property>
  <property fmtid="{D5CDD505-2E9C-101B-9397-08002B2CF9AE}" pid="19" name="WORDNUMPAGES">
    <vt:lpwstr>4</vt:lpwstr>
  </property>
</Properties>
</file>