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7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96"/>
        <w:gridCol w:w="239"/>
        <w:gridCol w:w="2085"/>
      </w:tblGrid>
      <w:tr>
        <w:trPr>
          <w:trHeight w:val="418" w:hRule="exact"/>
        </w:trPr>
        <w:tc>
          <w:tcPr>
            <w:tcW w:w="8720" w:type="dxa"/>
            <w:gridSpan w:val="3"/>
            <w:tcBorders/>
          </w:tcPr>
          <w:p>
            <w:pPr>
              <w:pStyle w:val="Header"/>
              <w:tabs>
                <w:tab w:val="clear" w:pos="8306"/>
                <w:tab w:val="center" w:pos="4153" w:leader="none"/>
              </w:tabs>
              <w:ind w:end="0"/>
              <w:jc w:val="center"/>
              <w:rPr>
                <w:rFonts w:ascii="Tahoma" w:hAnsi="Tahoma" w:cs="Tahoma"/>
                <w:b/>
                <w:bCs/>
                <w:color w:val="000080"/>
                <w:sz w:val="20"/>
                <w:szCs w:val="20"/>
              </w:rPr>
            </w:pPr>
            <w:r>
              <w:rPr>
                <w:rFonts w:ascii="Tahoma" w:hAnsi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בית המשפט המחוזי בחיפה בשבתו כבית</w:t>
            </w:r>
            <w:r>
              <w:rPr>
                <w:rFonts w:cs="Tahoma" w:ascii="Tahoma" w:hAnsi="Tahoma"/>
                <w:b/>
                <w:bCs/>
                <w:color w:val="000080"/>
                <w:sz w:val="20"/>
                <w:szCs w:val="20"/>
                <w:rtl w:val="true"/>
              </w:rPr>
              <w:t>-</w:t>
            </w:r>
            <w:r>
              <w:rPr>
                <w:rFonts w:ascii="Tahoma" w:hAnsi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משפט לערעורים פליליים</w:t>
            </w:r>
          </w:p>
        </w:tc>
      </w:tr>
      <w:tr>
        <w:trPr>
          <w:trHeight w:val="337" w:hRule="atLeast"/>
        </w:trPr>
        <w:tc>
          <w:tcPr>
            <w:tcW w:w="6396" w:type="dxa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עפ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ג </w:t>
            </w:r>
            <w:bookmarkStart w:id="0" w:name="_GoBack"/>
            <w:r>
              <w:rPr>
                <w:b/>
                <w:bCs/>
                <w:sz w:val="26"/>
                <w:szCs w:val="26"/>
              </w:rPr>
              <w:t>49266-02-17</w:t>
            </w:r>
            <w:bookmarkEnd w:id="0"/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מדינת ישראל נ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אוחיון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239" w:type="dxa"/>
            <w:tcBorders/>
          </w:tcPr>
          <w:p>
            <w:pPr>
              <w:pStyle w:val="Header"/>
              <w:snapToGrid w:val="false"/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2085" w:type="dxa"/>
            <w:tcBorders/>
          </w:tcPr>
          <w:p>
            <w:pPr>
              <w:pStyle w:val="Header"/>
              <w:tabs>
                <w:tab w:val="clear" w:pos="4153"/>
                <w:tab w:val="right" w:pos="8306" w:leader="none"/>
              </w:tabs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16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מרץ </w:t>
            </w:r>
            <w:r>
              <w:rPr>
                <w:b/>
                <w:bCs/>
                <w:sz w:val="26"/>
                <w:szCs w:val="26"/>
              </w:rPr>
              <w:t>2017</w:t>
            </w:r>
          </w:p>
        </w:tc>
      </w:tr>
    </w:tbl>
    <w:p>
      <w:pPr>
        <w:pStyle w:val="Header"/>
        <w:ind w:end="0"/>
        <w:jc w:val="center"/>
        <w:rPr>
          <w:rFonts w:ascii="Tahoma" w:hAnsi="Tahoma" w:cs="Tahoma"/>
          <w:b/>
          <w:bCs/>
          <w:color w:val="000080"/>
          <w:sz w:val="20"/>
          <w:szCs w:val="20"/>
        </w:rPr>
      </w:pPr>
      <w:r>
        <w:rPr>
          <w:rFonts w:cs="Tahoma" w:ascii="Tahoma" w:hAnsi="Tahoma"/>
          <w:b/>
          <w:bCs/>
          <w:color w:val="000080"/>
          <w:sz w:val="20"/>
          <w:szCs w:val="20"/>
          <w:rtl w:val="true"/>
        </w:rPr>
      </w:r>
    </w:p>
    <w:p>
      <w:pPr>
        <w:pStyle w:val="Normal"/>
        <w:suppressLineNumbers/>
        <w:ind w:end="0"/>
        <w:jc w:val="start"/>
        <w:rPr>
          <w:rFonts w:ascii="Arial" w:hAnsi="Arial" w:cs="Arial"/>
          <w:b/>
          <w:bCs/>
          <w:color w:val="000080"/>
          <w:sz w:val="20"/>
          <w:szCs w:val="20"/>
        </w:rPr>
      </w:pPr>
      <w:r>
        <w:rPr>
          <w:rFonts w:cs="Arial" w:ascii="Arial" w:hAnsi="Arial"/>
          <w:b/>
          <w:bCs/>
          <w:color w:val="000080"/>
          <w:sz w:val="20"/>
          <w:szCs w:val="20"/>
          <w:rtl w:val="true"/>
        </w:rPr>
      </w:r>
    </w:p>
    <w:tbl>
      <w:tblPr>
        <w:bidiVisual w:val="true"/>
        <w:tblW w:w="871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718"/>
      </w:tblGrid>
      <w:tr>
        <w:trPr/>
        <w:tc>
          <w:tcPr>
            <w:tcW w:w="8718" w:type="dxa"/>
            <w:tcBorders/>
          </w:tcPr>
          <w:p>
            <w:pPr>
              <w:pStyle w:val="Normal"/>
              <w:ind w:end="0"/>
              <w:jc w:val="star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לפני הרכב כבוד השופטים</w:t>
            </w: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rtl w:val="true"/>
              </w:rPr>
              <w:t>:</w:t>
            </w:r>
          </w:p>
          <w:p>
            <w:pPr>
              <w:pStyle w:val="Normal"/>
              <w:ind w:end="0"/>
              <w:jc w:val="star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רון שפירא</w:t>
            </w: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rtl w:val="true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סגן נשיא </w:t>
            </w: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rtl w:val="true"/>
              </w:rPr>
              <w:t>[</w:t>
            </w:r>
            <w:r>
              <w:rPr>
                <w:rFonts w:ascii="Times New Roman" w:hAnsi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אב</w:t>
            </w: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rFonts w:ascii="Times New Roman" w:hAnsi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ד</w:t>
            </w: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rtl w:val="true"/>
              </w:rPr>
              <w:t>]</w:t>
            </w:r>
          </w:p>
          <w:p>
            <w:pPr>
              <w:pStyle w:val="Normal"/>
              <w:ind w:end="0"/>
              <w:jc w:val="star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אברהם אליקים</w:t>
            </w: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rtl w:val="true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סגן נשיא</w:t>
            </w:r>
          </w:p>
          <w:p>
            <w:pPr>
              <w:pStyle w:val="Normal"/>
              <w:ind w:end="0"/>
              <w:jc w:val="star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בטינה טאובר</w:t>
            </w:r>
          </w:p>
        </w:tc>
      </w:tr>
      <w:tr>
        <w:trPr/>
        <w:tc>
          <w:tcPr>
            <w:tcW w:w="8718" w:type="dxa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rtl w:val="true"/>
              </w:rPr>
            </w:r>
            <w:bookmarkStart w:id="1" w:name="LastJudge"/>
            <w:bookmarkStart w:id="2" w:name="LastJudge"/>
            <w:bookmarkEnd w:id="2"/>
          </w:p>
        </w:tc>
      </w:tr>
    </w:tbl>
    <w:p>
      <w:pPr>
        <w:pStyle w:val="Normal"/>
        <w:suppressLineNumbers/>
        <w:ind w:end="0"/>
        <w:jc w:val="start"/>
        <w:rPr>
          <w:rFonts w:ascii="Arial" w:hAnsi="Arial" w:cs="Arial"/>
        </w:rPr>
      </w:pPr>
      <w:r>
        <w:rPr>
          <w:rFonts w:cs="Arial" w:ascii="Arial" w:hAnsi="Arial"/>
          <w:rtl w:val="true"/>
        </w:rPr>
      </w:r>
    </w:p>
    <w:p>
      <w:pPr>
        <w:pStyle w:val="Normal"/>
        <w:suppressLineNumbers/>
        <w:spacing w:lineRule="auto" w:line="360"/>
        <w:ind w:end="0"/>
        <w:jc w:val="start"/>
        <w:rPr>
          <w:rFonts w:ascii="Arial" w:hAnsi="Arial" w:cs="Arial"/>
        </w:rPr>
      </w:pPr>
      <w:r>
        <w:rPr>
          <w:rFonts w:cs="Arial" w:ascii="Arial" w:hAnsi="Arial"/>
          <w:rtl w:val="true"/>
        </w:rPr>
      </w:r>
    </w:p>
    <w:tbl>
      <w:tblPr>
        <w:bidiVisual w:val="true"/>
        <w:tblW w:w="8802" w:type="dxa"/>
        <w:jc w:val="start"/>
        <w:tblInd w:w="-5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80"/>
        <w:gridCol w:w="5922"/>
      </w:tblGrid>
      <w:tr>
        <w:trPr>
          <w:trHeight w:val="724" w:hRule="atLeast"/>
          <w:cantSplit w:val="true"/>
        </w:trPr>
        <w:tc>
          <w:tcPr>
            <w:tcW w:w="2880" w:type="dxa"/>
            <w:tcBorders/>
          </w:tcPr>
          <w:p>
            <w:pPr>
              <w:pStyle w:val="Normal"/>
              <w:snapToGrid w:val="false"/>
              <w:ind w:hanging="694" w:start="720" w:end="0"/>
              <w:jc w:val="star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rtl w:val="true"/>
              </w:rPr>
            </w:r>
            <w:bookmarkStart w:id="3" w:name="FirstAppellant"/>
            <w:bookmarkStart w:id="4" w:name="FirstAppellant"/>
            <w:bookmarkEnd w:id="4"/>
          </w:p>
          <w:p>
            <w:pPr>
              <w:pStyle w:val="Normal"/>
              <w:ind w:hanging="694" w:start="720" w:end="0"/>
              <w:jc w:val="star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המערערת</w:t>
            </w:r>
          </w:p>
        </w:tc>
        <w:tc>
          <w:tcPr>
            <w:tcW w:w="5922" w:type="dxa"/>
            <w:tcBorders/>
          </w:tcPr>
          <w:p>
            <w:pPr>
              <w:pStyle w:val="Normal"/>
              <w:snapToGrid w:val="false"/>
              <w:ind w:hanging="694" w:start="720" w:end="0"/>
              <w:jc w:val="star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rtl w:val="true"/>
              </w:rPr>
            </w:r>
          </w:p>
          <w:p>
            <w:pPr>
              <w:pStyle w:val="Normal"/>
              <w:ind w:hanging="694" w:start="720" w:end="0"/>
              <w:jc w:val="star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rtl w:val="tru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מדינת ישראל</w:t>
            </w:r>
            <w:r>
              <w:rPr>
                <w:rFonts w:ascii="Times New Roman" w:hAnsi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</w:p>
        </w:tc>
      </w:tr>
      <w:tr>
        <w:trPr/>
        <w:tc>
          <w:tcPr>
            <w:tcW w:w="8802" w:type="dxa"/>
            <w:gridSpan w:val="2"/>
            <w:tcBorders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</w:rPr>
              <w:t>נגד</w:t>
            </w:r>
          </w:p>
          <w:p>
            <w:pPr>
              <w:pStyle w:val="Normal"/>
              <w:ind w:end="0"/>
              <w:jc w:val="end"/>
              <w:rPr>
                <w:rFonts w:ascii="Arial" w:hAnsi="Arial" w:cs="Arial"/>
                <w:b/>
                <w:bCs/>
                <w:sz w:val="26"/>
                <w:szCs w:val="26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ind w:start="26" w:end="0"/>
              <w:jc w:val="star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המשיב</w:t>
            </w:r>
          </w:p>
        </w:tc>
        <w:tc>
          <w:tcPr>
            <w:tcW w:w="5922" w:type="dxa"/>
            <w:tcBorders/>
          </w:tcPr>
          <w:p>
            <w:pPr>
              <w:pStyle w:val="Normal"/>
              <w:ind w:end="0"/>
              <w:jc w:val="star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/>
                <w:bCs/>
                <w:rtl w:val="true"/>
              </w:rPr>
              <w:t>דן אוחיון</w:t>
            </w:r>
            <w:r>
              <w:rPr>
                <w:rFonts w:cs="Times New Roman" w:ascii="Times New Roman" w:hAnsi="Times New Roman"/>
                <w:b/>
                <w:bCs/>
                <w:rtl w:val="true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/>
                <w:bCs/>
                <w:rtl w:val="true"/>
              </w:rPr>
              <w:t>ת</w:t>
            </w:r>
            <w:r>
              <w:rPr>
                <w:rFonts w:cs="Times New Roman" w:ascii="Times New Roman" w:hAnsi="Times New Roman"/>
                <w:b/>
                <w:bCs/>
                <w:rtl w:val="true"/>
              </w:rPr>
              <w:t>"</w:t>
            </w:r>
            <w:r>
              <w:rPr>
                <w:rFonts w:ascii="Times New Roman" w:hAnsi="Times New Roman" w:cs="Times New Roman"/>
                <w:b/>
                <w:b/>
                <w:bCs/>
                <w:rtl w:val="true"/>
              </w:rPr>
              <w:t xml:space="preserve">ז </w:t>
            </w:r>
            <w:r>
              <w:rPr>
                <w:rFonts w:cs="Times New Roman" w:ascii="Times New Roman" w:hAnsi="Times New Roman"/>
                <w:b/>
                <w:bCs/>
              </w:rPr>
              <w:t>xxxxxxxxx</w:t>
            </w:r>
          </w:p>
          <w:p>
            <w:pPr>
              <w:pStyle w:val="Normal"/>
              <w:ind w:end="0"/>
              <w:jc w:val="star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rtl w:val="true"/>
              </w:rPr>
            </w:r>
          </w:p>
        </w:tc>
      </w:tr>
    </w:tbl>
    <w:p>
      <w:pPr>
        <w:pStyle w:val="Normal"/>
        <w:suppressLineNumbers/>
        <w:spacing w:lineRule="auto" w:line="360"/>
        <w:ind w:end="0"/>
        <w:jc w:val="start"/>
        <w:rPr>
          <w:rFonts w:ascii="Arial" w:hAnsi="Arial" w:cs="Arial"/>
        </w:rPr>
      </w:pPr>
      <w:r>
        <w:rPr>
          <w:rFonts w:cs="Arial" w:ascii="Arial" w:hAnsi="Arial"/>
          <w:rtl w:val="true"/>
        </w:rPr>
      </w:r>
    </w:p>
    <w:p>
      <w:pPr>
        <w:pStyle w:val="Normal"/>
        <w:spacing w:lineRule="auto" w:line="360"/>
        <w:ind w:end="0"/>
        <w:jc w:val="both"/>
        <w:rPr>
          <w:sz w:val="6"/>
          <w:szCs w:val="6"/>
        </w:rPr>
      </w:pPr>
      <w:r>
        <w:rPr>
          <w:sz w:val="6"/>
          <w:szCs w:val="6"/>
          <w:rtl w:val="true"/>
        </w:rPr>
        <w:t>&lt;</w:t>
      </w:r>
      <w:r>
        <w:rPr>
          <w:sz w:val="6"/>
          <w:szCs w:val="6"/>
        </w:rPr>
        <w:t>#2#</w:t>
      </w:r>
      <w:r>
        <w:rPr>
          <w:sz w:val="6"/>
          <w:szCs w:val="6"/>
          <w:rtl w:val="true"/>
        </w:rPr>
        <w:t>&gt;</w:t>
      </w:r>
    </w:p>
    <w:p>
      <w:pPr>
        <w:pStyle w:val="12"/>
        <w:spacing w:lineRule="auto" w:line="360"/>
        <w:ind w:end="0"/>
        <w:jc w:val="start"/>
        <w:rPr>
          <w:u w:val="none"/>
        </w:rPr>
      </w:pPr>
      <w:r>
        <w:rPr>
          <w:u w:val="none"/>
          <w:rtl w:val="true"/>
        </w:rPr>
        <w:t>נוכחים</w:t>
      </w:r>
      <w:r>
        <w:rPr>
          <w:u w:val="none"/>
          <w:rtl w:val="true"/>
        </w:rPr>
        <w:t>:</w:t>
      </w:r>
    </w:p>
    <w:p>
      <w:pPr>
        <w:pStyle w:val="12"/>
        <w:spacing w:lineRule="auto" w:line="360"/>
        <w:ind w:end="0"/>
        <w:jc w:val="start"/>
        <w:rPr>
          <w:b w:val="false"/>
          <w:bCs w:val="false"/>
          <w:u w:val="none"/>
        </w:rPr>
      </w:pPr>
      <w:bookmarkStart w:id="5" w:name="FirstLawyer"/>
      <w:r>
        <w:rPr>
          <w:b w:val="false"/>
          <w:b w:val="false"/>
          <w:bCs w:val="false"/>
          <w:u w:val="none"/>
          <w:rtl w:val="true"/>
        </w:rPr>
        <w:t>ב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כ</w:t>
      </w:r>
      <w:bookmarkEnd w:id="5"/>
      <w:r>
        <w:rPr>
          <w:b w:val="false"/>
          <w:b w:val="false"/>
          <w:bCs w:val="false"/>
          <w:u w:val="none"/>
          <w:rtl w:val="true"/>
        </w:rPr>
        <w:t xml:space="preserve"> המערערת</w:t>
      </w:r>
      <w:r>
        <w:rPr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עו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ד גב</w:t>
      </w:r>
      <w:r>
        <w:rPr>
          <w:b w:val="false"/>
          <w:bCs w:val="false"/>
          <w:u w:val="none"/>
          <w:rtl w:val="true"/>
        </w:rPr>
        <w:t xml:space="preserve">' </w:t>
      </w:r>
      <w:r>
        <w:rPr>
          <w:b w:val="false"/>
          <w:b w:val="false"/>
          <w:bCs w:val="false"/>
          <w:u w:val="none"/>
          <w:rtl w:val="true"/>
        </w:rPr>
        <w:t>שרון איל</w:t>
      </w:r>
    </w:p>
    <w:p>
      <w:pPr>
        <w:pStyle w:val="12"/>
        <w:spacing w:lineRule="auto" w:line="360"/>
        <w:ind w:end="0"/>
        <w:jc w:val="start"/>
        <w:rPr>
          <w:b w:val="false"/>
          <w:bCs w:val="false"/>
          <w:u w:val="none"/>
        </w:rPr>
      </w:pPr>
      <w:r>
        <w:rPr>
          <w:b w:val="false"/>
          <w:b w:val="false"/>
          <w:bCs w:val="false"/>
          <w:u w:val="none"/>
          <w:rtl w:val="true"/>
        </w:rPr>
        <w:t>ב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כ המשיב</w:t>
      </w:r>
      <w:r>
        <w:rPr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עו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ד סיבוני</w:t>
      </w:r>
    </w:p>
    <w:p>
      <w:pPr>
        <w:pStyle w:val="12"/>
        <w:spacing w:lineRule="auto" w:line="360"/>
        <w:ind w:end="0"/>
        <w:jc w:val="start"/>
        <w:rPr>
          <w:b w:val="false"/>
          <w:bCs w:val="false"/>
          <w:u w:val="none"/>
        </w:rPr>
      </w:pPr>
      <w:r>
        <w:rPr>
          <w:b w:val="false"/>
          <w:b w:val="false"/>
          <w:bCs w:val="false"/>
          <w:u w:val="none"/>
          <w:rtl w:val="true"/>
        </w:rPr>
        <w:t>המשיב נוכח</w:t>
      </w:r>
    </w:p>
    <w:p>
      <w:pPr>
        <w:pStyle w:val="12"/>
        <w:spacing w:lineRule="auto" w:line="360"/>
        <w:ind w:end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  <w:rtl w:val="true"/>
        </w:rPr>
      </w:r>
    </w:p>
    <w:p>
      <w:pPr>
        <w:pStyle w:val="Normal"/>
        <w:spacing w:lineRule="auto" w:line="360"/>
        <w:ind w:end="0"/>
        <w:jc w:val="both"/>
        <w:rPr>
          <w:sz w:val="6"/>
          <w:szCs w:val="6"/>
        </w:rPr>
      </w:pPr>
      <w:r>
        <w:rPr>
          <w:sz w:val="6"/>
          <w:szCs w:val="6"/>
          <w:rtl w:val="true"/>
        </w:rPr>
        <w:t>&lt;</w:t>
      </w:r>
      <w:r>
        <w:rPr>
          <w:sz w:val="6"/>
          <w:szCs w:val="6"/>
        </w:rPr>
        <w:t>#6#</w:t>
      </w:r>
      <w:r>
        <w:rPr>
          <w:sz w:val="6"/>
          <w:szCs w:val="6"/>
          <w:rtl w:val="true"/>
        </w:rPr>
        <w:t>&gt;</w:t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  <w:rtl w:val="true"/>
        </w:rPr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bookmarkStart w:id="6" w:name="PsakDin"/>
      <w:bookmarkEnd w:id="6"/>
      <w:r>
        <w:rPr>
          <w:rFonts w:ascii="Arial" w:hAnsi="Arial" w:cs="Arial"/>
          <w:b/>
          <w:b/>
          <w:bCs/>
          <w:sz w:val="28"/>
          <w:sz w:val="28"/>
          <w:szCs w:val="28"/>
          <w:u w:val="single"/>
          <w:rtl w:val="true"/>
        </w:rPr>
        <w:t>פסק דין</w:t>
      </w:r>
    </w:p>
    <w:p>
      <w:pPr>
        <w:pStyle w:val="Normal"/>
        <w:spacing w:lineRule="auto" w:line="360"/>
        <w:ind w:end="0"/>
        <w:jc w:val="both"/>
        <w:rPr/>
      </w:pPr>
      <w:bookmarkStart w:id="7" w:name="PsakDin"/>
      <w:bookmarkEnd w:id="7"/>
      <w:r>
        <w:rPr>
          <w:rtl w:val="true"/>
        </w:rPr>
        <w:t xml:space="preserve">בפנינו </w:t>
      </w:r>
      <w:bookmarkStart w:id="8" w:name="ABSTRACT_START"/>
      <w:bookmarkEnd w:id="8"/>
      <w:r>
        <w:rPr>
          <w:rtl w:val="true"/>
        </w:rPr>
        <w:t xml:space="preserve">ערעור על גזר דינו של בית המשפט השלום בחדרה </w:t>
      </w:r>
      <w:r>
        <w:rPr>
          <w:rtl w:val="true"/>
        </w:rPr>
        <w:t>(</w:t>
      </w:r>
      <w:r>
        <w:rPr>
          <w:rtl w:val="true"/>
        </w:rPr>
        <w:t>כב</w:t>
      </w:r>
      <w:r>
        <w:rPr>
          <w:rtl w:val="true"/>
        </w:rPr>
        <w:t xml:space="preserve">' </w:t>
      </w:r>
      <w:r>
        <w:rPr>
          <w:rtl w:val="true"/>
        </w:rPr>
        <w:t>השופט הבכיר</w:t>
      </w:r>
      <w:r>
        <w:rPr>
          <w:rtl w:val="true"/>
        </w:rPr>
        <w:t xml:space="preserve">, </w:t>
      </w:r>
      <w:r>
        <w:rPr>
          <w:rtl w:val="true"/>
        </w:rPr>
        <w:t>אביהו גופמן</w:t>
      </w:r>
      <w:r>
        <w:rPr>
          <w:rtl w:val="true"/>
        </w:rPr>
        <w:t>) (</w:t>
      </w:r>
      <w:r>
        <w:rPr>
          <w:rtl w:val="true"/>
        </w:rPr>
        <w:t>להלן</w:t>
      </w:r>
      <w:r>
        <w:rPr>
          <w:rtl w:val="true"/>
        </w:rPr>
        <w:t>: "</w:t>
      </w:r>
      <w:r>
        <w:rPr>
          <w:rtl w:val="true"/>
        </w:rPr>
        <w:t>בית משפט קמא</w:t>
      </w:r>
      <w:r>
        <w:rPr>
          <w:rtl w:val="true"/>
        </w:rPr>
        <w:t xml:space="preserve">") </w:t>
      </w:r>
      <w:r>
        <w:rPr>
          <w:rtl w:val="true"/>
        </w:rPr>
        <w:t>שניתן ב</w:t>
      </w:r>
      <w:hyperlink r:id="rId2">
        <w:r>
          <w:rPr>
            <w:rStyle w:val="Hyperlink"/>
            <w:color w:val="0000FF"/>
            <w:u w:val="single"/>
            <w:rtl w:val="true"/>
          </w:rPr>
          <w:t>ת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 xml:space="preserve">פ </w:t>
        </w:r>
        <w:r>
          <w:rPr>
            <w:rStyle w:val="Hyperlink"/>
            <w:color w:val="0000FF"/>
            <w:u w:val="single"/>
          </w:rPr>
          <w:t>56927-06-15</w:t>
        </w:r>
      </w:hyperlink>
      <w:r>
        <w:rPr>
          <w:rtl w:val="true"/>
        </w:rPr>
        <w:t xml:space="preserve">, </w:t>
      </w:r>
      <w:r>
        <w:rPr>
          <w:rtl w:val="true"/>
        </w:rPr>
        <w:t xml:space="preserve">ביום </w:t>
      </w:r>
      <w:r>
        <w:rPr/>
        <w:t>31.1.17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בתמצית יצוין</w:t>
      </w:r>
      <w:r>
        <w:rPr>
          <w:rtl w:val="true"/>
        </w:rPr>
        <w:t xml:space="preserve">, </w:t>
      </w:r>
      <w:r>
        <w:rPr>
          <w:rtl w:val="true"/>
        </w:rPr>
        <w:t xml:space="preserve">כי המשיב הורשע על פי הודאתו בכך שגידל בדירה שתילי סם מסוג קנבוס במשקל כולל </w:t>
      </w:r>
      <w:r>
        <w:rPr/>
        <w:t>12.85</w:t>
      </w:r>
      <w:r>
        <w:rPr>
          <w:rtl w:val="true"/>
        </w:rPr>
        <w:t xml:space="preserve">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 xml:space="preserve">ג והחזיק בסם מסוג קנבוס במשקל של </w:t>
      </w:r>
      <w:r>
        <w:rPr/>
        <w:t>2.12</w:t>
      </w:r>
      <w:r>
        <w:rPr>
          <w:rtl w:val="true"/>
        </w:rPr>
        <w:t xml:space="preserve"> </w:t>
      </w:r>
      <w:r>
        <w:rPr>
          <w:rtl w:val="true"/>
        </w:rPr>
        <w:t>גר</w:t>
      </w:r>
      <w:r>
        <w:rPr>
          <w:rtl w:val="true"/>
        </w:rPr>
        <w:t xml:space="preserve">' </w:t>
      </w:r>
      <w:r>
        <w:rPr>
          <w:rtl w:val="true"/>
        </w:rPr>
        <w:t xml:space="preserve">ועוד סם מסוג חשיש במשקל של </w:t>
      </w:r>
      <w:r>
        <w:rPr/>
        <w:t>2.98</w:t>
      </w:r>
      <w:r>
        <w:rPr>
          <w:rtl w:val="true"/>
        </w:rPr>
        <w:t xml:space="preserve"> </w:t>
      </w:r>
      <w:r>
        <w:rPr>
          <w:rtl w:val="true"/>
        </w:rPr>
        <w:t>גר</w:t>
      </w:r>
      <w:r>
        <w:rPr>
          <w:rtl w:val="true"/>
        </w:rPr>
        <w:t xml:space="preserve">' </w:t>
      </w:r>
      <w:r>
        <w:rPr>
          <w:rtl w:val="true"/>
        </w:rPr>
        <w:t>וכן החזיק כלים להכנת סמים</w:t>
      </w:r>
      <w:r>
        <w:rPr>
          <w:rtl w:val="true"/>
        </w:rPr>
        <w:t xml:space="preserve">. </w:t>
      </w:r>
      <w:r>
        <w:rPr>
          <w:rtl w:val="true"/>
        </w:rPr>
        <w:t>הוראות החיקוק והעבירות שיוחסו לו הן של גידול ויצור סם מסוכן והחזקת כלים להכנת סם שלא לצריכה עצמית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  <w:bookmarkStart w:id="9" w:name="ABSTRACT_END"/>
      <w:bookmarkStart w:id="10" w:name="ABSTRACT_END"/>
      <w:bookmarkEnd w:id="10"/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בית משפט קמא ציין בגזר דינו</w:t>
      </w:r>
      <w:r>
        <w:rPr>
          <w:rtl w:val="true"/>
        </w:rPr>
        <w:t xml:space="preserve">, </w:t>
      </w:r>
      <w:r>
        <w:rPr>
          <w:rtl w:val="true"/>
        </w:rPr>
        <w:t>שכ</w:t>
      </w:r>
      <w:bookmarkStart w:id="11" w:name="Seif2"/>
      <w:r>
        <w:rPr>
          <w:rtl w:val="true"/>
        </w:rPr>
        <w:t xml:space="preserve">כלל הענישה </w:t>
      </w:r>
      <w:bookmarkEnd w:id="11"/>
      <w:r>
        <w:rPr>
          <w:rtl w:val="true"/>
        </w:rPr>
        <w:t>המקובלת בעבירות של גידול סמים היא ענישה הכוללת מאסרים</w:t>
      </w:r>
      <w:r>
        <w:rPr>
          <w:rtl w:val="true"/>
        </w:rPr>
        <w:t xml:space="preserve">, </w:t>
      </w:r>
      <w:r>
        <w:rPr>
          <w:rtl w:val="true"/>
        </w:rPr>
        <w:t>לרבות לתקופות שאינן קצרות</w:t>
      </w:r>
      <w:r>
        <w:rPr>
          <w:rtl w:val="true"/>
        </w:rPr>
        <w:t xml:space="preserve">. </w:t>
      </w:r>
      <w:r>
        <w:rPr>
          <w:rtl w:val="true"/>
        </w:rPr>
        <w:t>עם זאת</w:t>
      </w:r>
      <w:r>
        <w:rPr>
          <w:rtl w:val="true"/>
        </w:rPr>
        <w:t xml:space="preserve">, </w:t>
      </w:r>
      <w:r>
        <w:rPr>
          <w:rtl w:val="true"/>
        </w:rPr>
        <w:t>מטעמים שפורטו</w:t>
      </w:r>
      <w:r>
        <w:rPr>
          <w:rtl w:val="true"/>
        </w:rPr>
        <w:t xml:space="preserve">, </w:t>
      </w:r>
      <w:r>
        <w:rPr>
          <w:rtl w:val="true"/>
        </w:rPr>
        <w:t>ובתוך שהוא מבהיר כי מדובר בהזדמנות אחרונה הניתנת לנאשם שבפניו לשנות את דרכיו</w:t>
      </w:r>
      <w:r>
        <w:rPr>
          <w:rtl w:val="true"/>
        </w:rPr>
        <w:t xml:space="preserve">, </w:t>
      </w:r>
      <w:r>
        <w:rPr>
          <w:rtl w:val="true"/>
        </w:rPr>
        <w:t>החליט מטעמי שיקום לחרוג ממתחם הענישה המקובל והראוי ולגזור עונש של של</w:t>
      </w:r>
      <w:r>
        <w:rPr>
          <w:rtl w:val="true"/>
        </w:rPr>
        <w:t>"</w:t>
      </w:r>
      <w:r>
        <w:rPr>
          <w:rtl w:val="true"/>
        </w:rPr>
        <w:t xml:space="preserve">צ בצד מאסר מותנה למשך </w:t>
      </w: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rtl w:val="true"/>
        </w:rPr>
        <w:t xml:space="preserve">, </w:t>
      </w:r>
      <w:r>
        <w:rPr>
          <w:rtl w:val="true"/>
        </w:rPr>
        <w:t xml:space="preserve">פסילת רישיון נהיגה לתקופה של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rtl w:val="true"/>
        </w:rPr>
        <w:t xml:space="preserve">, </w:t>
      </w:r>
      <w:r>
        <w:rPr>
          <w:rtl w:val="true"/>
        </w:rPr>
        <w:t xml:space="preserve">תשלום קנס בסך </w:t>
      </w:r>
      <w:r>
        <w:rPr/>
        <w:t>3,000</w:t>
      </w:r>
      <w:r>
        <w:rPr>
          <w:rtl w:val="true"/>
        </w:rPr>
        <w:t xml:space="preserve"> ₪ </w:t>
      </w:r>
      <w:r>
        <w:rPr>
          <w:rtl w:val="true"/>
        </w:rPr>
        <w:t>שישולם בתשלומים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יצוין</w:t>
      </w:r>
      <w:r>
        <w:rPr>
          <w:rtl w:val="true"/>
        </w:rPr>
        <w:t xml:space="preserve">, </w:t>
      </w:r>
      <w:r>
        <w:rPr>
          <w:rtl w:val="true"/>
        </w:rPr>
        <w:t>כי בנוסף ניתנה החלטה משלימה לפיה יועמד המשיב בפיקוח שירות המבחן למשך שנה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המאשימה מערערת על קולת העונש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נימוקי הצדדים פורטו בהרחבה בפרוטוקול ולא נחזור עליהם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 xml:space="preserve">לאחר ששמענו את טענות הצדדים החלטנו לדחות את הערעור בכפוף להארכת משך צו המבחן לתקופה של </w:t>
      </w:r>
      <w:r>
        <w:rPr/>
        <w:t>24</w:t>
      </w:r>
      <w:r>
        <w:rPr>
          <w:rtl w:val="true"/>
        </w:rPr>
        <w:t xml:space="preserve"> </w:t>
      </w:r>
      <w:r>
        <w:rPr>
          <w:rtl w:val="true"/>
        </w:rPr>
        <w:t xml:space="preserve">חודשים במקום 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אין חולק</w:t>
      </w:r>
      <w:r>
        <w:rPr>
          <w:rtl w:val="true"/>
        </w:rPr>
        <w:t xml:space="preserve">, </w:t>
      </w:r>
      <w:r>
        <w:rPr>
          <w:rtl w:val="true"/>
        </w:rPr>
        <w:t>כי העונש שגזר בית משפט קמא הוא עונש מקל כפי שבית משפט קמא עצמו אמר</w:t>
      </w:r>
      <w:r>
        <w:rPr>
          <w:rtl w:val="true"/>
        </w:rPr>
        <w:t xml:space="preserve">. </w:t>
      </w:r>
      <w:r>
        <w:rPr>
          <w:rtl w:val="true"/>
        </w:rPr>
        <w:t>אלא שבית משפט קמא נימק והסביר כי מצא לנכון לחרוג מהענישה הראויה והמקובלת במקרה זה</w:t>
      </w:r>
      <w:r>
        <w:rPr>
          <w:rtl w:val="true"/>
        </w:rPr>
        <w:t xml:space="preserve">, </w:t>
      </w:r>
      <w:r>
        <w:rPr>
          <w:rtl w:val="true"/>
        </w:rPr>
        <w:t>משיקולי שיקום</w:t>
      </w:r>
      <w:r>
        <w:rPr>
          <w:rtl w:val="true"/>
        </w:rPr>
        <w:t xml:space="preserve">. </w:t>
      </w:r>
      <w:r>
        <w:rPr>
          <w:rtl w:val="true"/>
        </w:rPr>
        <w:t>לעניין זה פירט בית משפט קמא את נסיבותיו האישיות של המשיב כפי שגם פורטו בתסקיר שירות המבחן</w:t>
      </w:r>
      <w:r>
        <w:rPr>
          <w:rtl w:val="true"/>
        </w:rPr>
        <w:t xml:space="preserve">, </w:t>
      </w:r>
      <w:r>
        <w:rPr>
          <w:rtl w:val="true"/>
        </w:rPr>
        <w:t xml:space="preserve">וכן להליך השיקום הממושך אשר המשיב לקח בו </w:t>
      </w:r>
      <w:bookmarkStart w:id="12" w:name="Seif1"/>
      <w:r>
        <w:rPr>
          <w:rtl w:val="true"/>
        </w:rPr>
        <w:t xml:space="preserve">חלק במהלך </w:t>
      </w:r>
      <w:bookmarkEnd w:id="12"/>
      <w:r>
        <w:rPr>
          <w:rtl w:val="true"/>
        </w:rPr>
        <w:t>ההליך השיפוטי</w:t>
      </w:r>
      <w:r>
        <w:rPr>
          <w:rtl w:val="true"/>
        </w:rPr>
        <w:t xml:space="preserve">, </w:t>
      </w:r>
      <w:r>
        <w:rPr>
          <w:rtl w:val="true"/>
        </w:rPr>
        <w:t>כפי שפורט בתסקיר</w:t>
      </w:r>
      <w:r>
        <w:rPr>
          <w:rtl w:val="true"/>
        </w:rPr>
        <w:t xml:space="preserve">. </w:t>
      </w:r>
      <w:r>
        <w:rPr>
          <w:rtl w:val="true"/>
        </w:rPr>
        <w:t>עוד התייחס בית משפט קמא להודאתו המידית ולגילו הצעיר והחליט כפי שהחליט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איננו סבורים כי החלטתו זו של בית משפט קמא להעדיף שיקולי שיקום</w:t>
      </w:r>
      <w:r>
        <w:rPr>
          <w:rtl w:val="true"/>
        </w:rPr>
        <w:t xml:space="preserve">, </w:t>
      </w:r>
      <w:r>
        <w:rPr>
          <w:rtl w:val="true"/>
        </w:rPr>
        <w:t>היא החלטה בלתי סבירה בצורה קיצונית המצדיקה את התערבותה של ערכאת הערעור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לעניין זה נזכיר</w:t>
      </w:r>
      <w:r>
        <w:rPr>
          <w:rtl w:val="true"/>
        </w:rPr>
        <w:t xml:space="preserve">, </w:t>
      </w:r>
      <w:r>
        <w:rPr>
          <w:rtl w:val="true"/>
        </w:rPr>
        <w:t>בין היתר</w:t>
      </w:r>
      <w:r>
        <w:rPr>
          <w:rtl w:val="true"/>
        </w:rPr>
        <w:t xml:space="preserve">, </w:t>
      </w:r>
      <w:r>
        <w:rPr>
          <w:rtl w:val="true"/>
        </w:rPr>
        <w:t>את המלצות הוועדה הציבורית לבחינת מדיניות הענישה בראשות כב</w:t>
      </w:r>
      <w:r>
        <w:rPr>
          <w:rtl w:val="true"/>
        </w:rPr>
        <w:t xml:space="preserve">' </w:t>
      </w:r>
      <w:r>
        <w:rPr>
          <w:rtl w:val="true"/>
        </w:rPr>
        <w:t xml:space="preserve">השופטת דורנר שפורסמו בחודש נובמבר </w:t>
      </w:r>
      <w:r>
        <w:rPr/>
        <w:t>2015</w:t>
      </w:r>
      <w:r>
        <w:rPr>
          <w:rtl w:val="true"/>
        </w:rPr>
        <w:t xml:space="preserve"> </w:t>
      </w:r>
      <w:r>
        <w:rPr>
          <w:rtl w:val="true"/>
        </w:rPr>
        <w:t>ושעניינם בהגברת מאמצי שיקום וצמצום השימוש במאסרים קצרים כאשר מדובר בעבריינים המגיעים לראשונה להליך משפטי ולקראת גזירת עונש מאסר ראשון</w:t>
      </w:r>
      <w:r>
        <w:rPr>
          <w:rtl w:val="true"/>
        </w:rPr>
        <w:t xml:space="preserve">. </w:t>
      </w:r>
      <w:r>
        <w:rPr>
          <w:rtl w:val="true"/>
        </w:rPr>
        <w:t>גזר דינו של בית משפט קמא מאמץ בפועל את המדיניות כפי שוועדה ממשלתית מצאה לנכון לעודד ובנסיבות אלו איננו סבורים כי מדובר במקרה המצדיק את התערבותנו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עם זאת</w:t>
      </w:r>
      <w:r>
        <w:rPr>
          <w:rtl w:val="true"/>
        </w:rPr>
        <w:t xml:space="preserve">, </w:t>
      </w:r>
      <w:r>
        <w:rPr>
          <w:rtl w:val="true"/>
        </w:rPr>
        <w:t>בשים לב לחומרת המעשה</w:t>
      </w:r>
      <w:r>
        <w:rPr>
          <w:rtl w:val="true"/>
        </w:rPr>
        <w:t xml:space="preserve">, </w:t>
      </w:r>
      <w:r>
        <w:rPr>
          <w:rtl w:val="true"/>
        </w:rPr>
        <w:t>מצאנו לנכון להאריך את צו המבחן וזאת מעבר לתקופה שקבע בית משפט קמא וזאת כדי להבטיח שהליך הפיקוח על שיקומו של המשיב יהיה ממושך יותר</w:t>
      </w:r>
      <w:r>
        <w:rPr>
          <w:rtl w:val="true"/>
        </w:rPr>
        <w:t xml:space="preserve">. </w:t>
      </w:r>
      <w:r>
        <w:rPr>
          <w:rtl w:val="true"/>
        </w:rPr>
        <w:t>בהתאם</w:t>
      </w:r>
      <w:r>
        <w:rPr>
          <w:rtl w:val="true"/>
        </w:rPr>
        <w:t xml:space="preserve">, </w:t>
      </w:r>
      <w:r>
        <w:rPr>
          <w:rtl w:val="true"/>
        </w:rPr>
        <w:t xml:space="preserve">אנו מעמידים את צו המבחן למשך </w:t>
      </w:r>
      <w:r>
        <w:rPr/>
        <w:t>24</w:t>
      </w:r>
      <w:r>
        <w:rPr>
          <w:rtl w:val="true"/>
        </w:rPr>
        <w:t xml:space="preserve"> </w:t>
      </w:r>
      <w:r>
        <w:rPr>
          <w:rtl w:val="true"/>
        </w:rPr>
        <w:t xml:space="preserve">חודשים במקום 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rtl w:val="true"/>
        </w:rPr>
        <w:t xml:space="preserve">, </w:t>
      </w:r>
      <w:r>
        <w:rPr>
          <w:rtl w:val="true"/>
        </w:rPr>
        <w:t>כפי שקבע בית משפט קמא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נציין כי המשיב הבהיר כי הוא מודע לכך שאם לא יעמוד בתנאי הפיקוח ו</w:t>
      </w:r>
      <w:r>
        <w:rPr>
          <w:rtl w:val="true"/>
        </w:rPr>
        <w:t>/</w:t>
      </w:r>
      <w:r>
        <w:rPr>
          <w:rtl w:val="true"/>
        </w:rPr>
        <w:t>או יבצע עבירה נוספת כלשהי בתקופת המבחן</w:t>
      </w:r>
      <w:r>
        <w:rPr>
          <w:rtl w:val="true"/>
        </w:rPr>
        <w:t xml:space="preserve">, </w:t>
      </w:r>
      <w:r>
        <w:rPr>
          <w:rtl w:val="true"/>
        </w:rPr>
        <w:t>כי אז ידוע לו שניתן יהא להחזיר את עניינו לבית משפט קמא ולגזור עליו עונש חדש בשים לב לחומרת העבירות שבביצוען הורשע ונבהיר לו</w:t>
      </w:r>
      <w:r>
        <w:rPr>
          <w:rtl w:val="true"/>
        </w:rPr>
        <w:t xml:space="preserve">, </w:t>
      </w:r>
      <w:r>
        <w:rPr>
          <w:rtl w:val="true"/>
        </w:rPr>
        <w:t>למען הסר ספק</w:t>
      </w:r>
      <w:r>
        <w:rPr>
          <w:rtl w:val="true"/>
        </w:rPr>
        <w:t xml:space="preserve">, </w:t>
      </w:r>
      <w:r>
        <w:rPr>
          <w:rtl w:val="true"/>
        </w:rPr>
        <w:t xml:space="preserve">כי בית משפט קמא ציין כי העונש המקובל הוא בדרך </w:t>
      </w:r>
      <w:bookmarkStart w:id="13" w:name="Seif3"/>
      <w:r>
        <w:rPr>
          <w:rtl w:val="true"/>
        </w:rPr>
        <w:t xml:space="preserve">כלל עונש </w:t>
      </w:r>
      <w:bookmarkEnd w:id="13"/>
      <w:r>
        <w:rPr>
          <w:rtl w:val="true"/>
        </w:rPr>
        <w:t>של מאסר לריצוי בפועל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בסיכומו של דבר</w:t>
      </w:r>
      <w:r>
        <w:rPr>
          <w:rtl w:val="true"/>
        </w:rPr>
        <w:t xml:space="preserve">, </w:t>
      </w:r>
      <w:r>
        <w:rPr>
          <w:rtl w:val="true"/>
        </w:rPr>
        <w:t>בכפוף להארכת משך הפיקוח לשנתיים</w:t>
      </w:r>
      <w:r>
        <w:rPr>
          <w:rtl w:val="true"/>
        </w:rPr>
        <w:t xml:space="preserve">, </w:t>
      </w:r>
      <w:r>
        <w:rPr>
          <w:rtl w:val="true"/>
        </w:rPr>
        <w:t>הערעור נדחה</w:t>
      </w:r>
      <w:r>
        <w:rPr>
          <w:rtl w:val="true"/>
        </w:rPr>
        <w:t xml:space="preserve">. </w:t>
      </w:r>
      <w:r>
        <w:rPr>
          <w:rtl w:val="true"/>
        </w:rPr>
        <w:t>יתר חלקי גזר דינו של ביהמ</w:t>
      </w:r>
      <w:r>
        <w:rPr>
          <w:rtl w:val="true"/>
        </w:rPr>
        <w:t>"</w:t>
      </w:r>
      <w:r>
        <w:rPr>
          <w:rtl w:val="true"/>
        </w:rPr>
        <w:t>ש קמא יישארו בעינם ללא שינוי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>
          <w:b/>
          <w:bCs/>
        </w:rPr>
      </w:pPr>
      <w:r>
        <w:rPr>
          <w:b/>
          <w:b/>
          <w:bCs/>
          <w:rtl w:val="true"/>
        </w:rPr>
        <w:t>המזכירות תשלח עותק פסק הדין לשירות המבחן</w:t>
      </w:r>
      <w:r>
        <w:rPr>
          <w:b/>
          <w:bCs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360"/>
        <w:ind w:end="0"/>
        <w:jc w:val="both"/>
        <w:rPr>
          <w:b/>
          <w:bCs/>
        </w:rPr>
      </w:pPr>
      <w:r>
        <w:rPr>
          <w:b/>
          <w:b/>
          <w:bCs/>
          <w:rtl w:val="true"/>
        </w:rPr>
        <w:t>הסניגור יסייע בהמצאת עותק מפסק הדין לקצינת המבחן המטפלת</w:t>
      </w:r>
      <w:r>
        <w:rPr>
          <w:b/>
          <w:bCs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360"/>
        <w:ind w:end="0"/>
        <w:jc w:val="both"/>
        <w:rPr>
          <w:sz w:val="6"/>
          <w:szCs w:val="6"/>
        </w:rPr>
      </w:pPr>
      <w:r>
        <w:rPr>
          <w:sz w:val="6"/>
          <w:szCs w:val="6"/>
          <w:rtl w:val="true"/>
        </w:rPr>
        <w:t>&lt;</w:t>
      </w:r>
      <w:r>
        <w:rPr>
          <w:sz w:val="6"/>
          <w:szCs w:val="6"/>
        </w:rPr>
        <w:t>#7#</w:t>
      </w:r>
      <w:r>
        <w:rPr>
          <w:sz w:val="6"/>
          <w:szCs w:val="6"/>
          <w:rtl w:val="true"/>
        </w:rPr>
        <w:t>&gt;</w:t>
      </w:r>
    </w:p>
    <w:p>
      <w:pPr>
        <w:pStyle w:val="Normal"/>
        <w:spacing w:lineRule="auto" w:line="360"/>
        <w:ind w:end="0"/>
        <w:jc w:val="start"/>
        <w:rPr>
          <w:b/>
          <w:bCs/>
          <w:sz w:val="28"/>
          <w:szCs w:val="28"/>
        </w:rPr>
      </w:pPr>
      <w:bookmarkStart w:id="14" w:name="Nitan"/>
      <w:r>
        <w:rPr>
          <w:b/>
          <w:b/>
          <w:bCs/>
          <w:sz w:val="28"/>
          <w:sz w:val="28"/>
          <w:szCs w:val="28"/>
          <w:rtl w:val="true"/>
        </w:rPr>
        <w:t>ניתן והודע היום י</w:t>
      </w:r>
      <w:r>
        <w:rPr>
          <w:b/>
          <w:bCs/>
          <w:sz w:val="28"/>
          <w:szCs w:val="28"/>
          <w:rtl w:val="true"/>
        </w:rPr>
        <w:t>"</w:t>
      </w:r>
      <w:r>
        <w:rPr>
          <w:b/>
          <w:b/>
          <w:bCs/>
          <w:sz w:val="28"/>
          <w:sz w:val="28"/>
          <w:szCs w:val="28"/>
          <w:rtl w:val="true"/>
        </w:rPr>
        <w:t>ח אדר תשע</w:t>
      </w:r>
      <w:r>
        <w:rPr>
          <w:b/>
          <w:bCs/>
          <w:sz w:val="28"/>
          <w:szCs w:val="28"/>
          <w:rtl w:val="true"/>
        </w:rPr>
        <w:t>"</w:t>
      </w:r>
      <w:r>
        <w:rPr>
          <w:b/>
          <w:b/>
          <w:bCs/>
          <w:sz w:val="28"/>
          <w:sz w:val="28"/>
          <w:szCs w:val="28"/>
          <w:rtl w:val="true"/>
        </w:rPr>
        <w:t>ז</w:t>
      </w:r>
      <w:r>
        <w:rPr>
          <w:b/>
          <w:bCs/>
          <w:sz w:val="28"/>
          <w:szCs w:val="28"/>
          <w:rtl w:val="true"/>
        </w:rPr>
        <w:t xml:space="preserve">, </w:t>
      </w:r>
      <w:r>
        <w:rPr>
          <w:b/>
          <w:bCs/>
          <w:sz w:val="28"/>
          <w:szCs w:val="28"/>
        </w:rPr>
        <w:t>16/03/2017</w:t>
      </w:r>
      <w:r>
        <w:rPr>
          <w:b/>
          <w:bCs/>
          <w:sz w:val="28"/>
          <w:szCs w:val="28"/>
          <w:rtl w:val="true"/>
        </w:rPr>
        <w:t xml:space="preserve"> </w:t>
      </w:r>
      <w:r>
        <w:rPr>
          <w:b/>
          <w:b/>
          <w:bCs/>
          <w:sz w:val="28"/>
          <w:sz w:val="28"/>
          <w:szCs w:val="28"/>
          <w:rtl w:val="true"/>
        </w:rPr>
        <w:t>במעמד הנוכחים</w:t>
      </w:r>
      <w:r>
        <w:rPr>
          <w:b/>
          <w:bCs/>
          <w:sz w:val="28"/>
          <w:szCs w:val="28"/>
          <w:rtl w:val="true"/>
        </w:rPr>
        <w:t xml:space="preserve">.  </w:t>
      </w:r>
      <w:bookmarkEnd w:id="14"/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4"/>
        <w:gridCol w:w="360"/>
        <w:gridCol w:w="2406"/>
        <w:gridCol w:w="346"/>
        <w:gridCol w:w="2576"/>
      </w:tblGrid>
      <w:tr>
        <w:trPr/>
        <w:tc>
          <w:tcPr>
            <w:tcW w:w="2834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406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346" w:type="dxa"/>
            <w:tcBorders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576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Fonts w:cs="Courier New" w:ascii="Courier New" w:hAnsi="Courier New"/>
                <w:b/>
                <w:bCs/>
                <w:rtl w:val="true"/>
              </w:rPr>
            </w:r>
          </w:p>
        </w:tc>
      </w:tr>
      <w:tr>
        <w:trPr/>
        <w:tc>
          <w:tcPr>
            <w:tcW w:w="2834" w:type="dxa"/>
            <w:tcBorders>
              <w:top w:val="single" w:sz="4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/>
                <w:bCs/>
                <w:rtl w:val="true"/>
              </w:rPr>
              <w:t>רון שפירא</w:t>
            </w:r>
            <w:r>
              <w:rPr>
                <w:rFonts w:cs="Times New Roman" w:ascii="Times New Roman" w:hAnsi="Times New Roman"/>
                <w:b/>
                <w:bCs/>
                <w:rtl w:val="true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/>
                <w:bCs/>
                <w:rtl w:val="true"/>
              </w:rPr>
              <w:t>סגן נשיא</w:t>
            </w:r>
          </w:p>
          <w:p>
            <w:pPr>
              <w:pStyle w:val="Normal"/>
              <w:ind w:end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rtl w:val="true"/>
              </w:rPr>
              <w:t>[</w:t>
            </w:r>
            <w:r>
              <w:rPr>
                <w:rFonts w:ascii="Times New Roman" w:hAnsi="Times New Roman" w:cs="Times New Roman"/>
                <w:b/>
                <w:b/>
                <w:bCs/>
                <w:rtl w:val="true"/>
              </w:rPr>
              <w:t>אב</w:t>
            </w:r>
            <w:r>
              <w:rPr>
                <w:rFonts w:cs="Times New Roman" w:ascii="Times New Roman" w:hAnsi="Times New Roman"/>
                <w:b/>
                <w:bCs/>
                <w:rtl w:val="true"/>
              </w:rPr>
              <w:t>"</w:t>
            </w:r>
            <w:r>
              <w:rPr>
                <w:rFonts w:ascii="Times New Roman" w:hAnsi="Times New Roman" w:cs="Times New Roman"/>
                <w:b/>
                <w:b/>
                <w:bCs/>
                <w:rtl w:val="true"/>
              </w:rPr>
              <w:t>ד</w:t>
            </w:r>
            <w:r>
              <w:rPr>
                <w:rFonts w:cs="Times New Roman" w:ascii="Times New Roman" w:hAnsi="Times New Roman"/>
                <w:b/>
                <w:bCs/>
                <w:rtl w:val="true"/>
              </w:rPr>
              <w:t>]</w:t>
            </w:r>
          </w:p>
        </w:tc>
        <w:tc>
          <w:tcPr>
            <w:tcW w:w="360" w:type="dxa"/>
            <w:tcBorders/>
          </w:tcPr>
          <w:p>
            <w:pPr>
              <w:pStyle w:val="Normal"/>
              <w:snapToGrid w:val="false"/>
              <w:ind w:end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rtl w:val="true"/>
              </w:rPr>
            </w:r>
          </w:p>
        </w:tc>
        <w:tc>
          <w:tcPr>
            <w:tcW w:w="2406" w:type="dxa"/>
            <w:tcBorders>
              <w:top w:val="single" w:sz="4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/>
                <w:bCs/>
                <w:rtl w:val="true"/>
              </w:rPr>
              <w:t>אברהם אליקים</w:t>
            </w:r>
            <w:r>
              <w:rPr>
                <w:rFonts w:cs="Times New Roman" w:ascii="Times New Roman" w:hAnsi="Times New Roman"/>
                <w:b/>
                <w:bCs/>
                <w:rtl w:val="true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/>
                <w:bCs/>
                <w:rtl w:val="true"/>
              </w:rPr>
              <w:t>שופט</w:t>
            </w:r>
          </w:p>
        </w:tc>
        <w:tc>
          <w:tcPr>
            <w:tcW w:w="346" w:type="dxa"/>
            <w:tcBorders/>
          </w:tcPr>
          <w:p>
            <w:pPr>
              <w:pStyle w:val="Normal"/>
              <w:snapToGrid w:val="false"/>
              <w:ind w:end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rtl w:val="true"/>
              </w:rPr>
            </w:r>
          </w:p>
        </w:tc>
        <w:tc>
          <w:tcPr>
            <w:tcW w:w="2576" w:type="dxa"/>
            <w:tcBorders>
              <w:top w:val="single" w:sz="4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/>
                <w:bCs/>
                <w:rtl w:val="true"/>
              </w:rPr>
              <w:t>בטינה טאובר</w:t>
            </w:r>
            <w:r>
              <w:rPr>
                <w:rFonts w:cs="Times New Roman" w:ascii="Times New Roman" w:hAnsi="Times New Roman"/>
                <w:b/>
                <w:bCs/>
                <w:rtl w:val="true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/>
                <w:bCs/>
                <w:rtl w:val="true"/>
              </w:rPr>
              <w:t>שופטת</w:t>
            </w:r>
          </w:p>
        </w:tc>
      </w:tr>
    </w:tbl>
    <w:p>
      <w:pPr>
        <w:pStyle w:val="Normal"/>
        <w:ind w:end="0"/>
        <w:jc w:val="start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p>
      <w:pPr>
        <w:pStyle w:val="Normal"/>
        <w:ind w:end="0"/>
        <w:jc w:val="start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54678313</w:t>
      </w:r>
    </w:p>
    <w:p>
      <w:pPr>
        <w:pStyle w:val="Normal"/>
        <w:ind w:end="0"/>
        <w:jc w:val="start"/>
        <w:rPr>
          <w:color w:val="FFFFFF"/>
          <w:sz w:val="14"/>
          <w:szCs w:val="14"/>
        </w:rPr>
      </w:pPr>
      <w:r>
        <w:rPr>
          <w:color w:val="FFFFFF"/>
          <w:sz w:val="14"/>
          <w:szCs w:val="14"/>
          <w:rtl w:val="true"/>
        </w:rPr>
      </w:r>
    </w:p>
    <w:p>
      <w:pPr>
        <w:pStyle w:val="Normal"/>
        <w:ind w:end="0"/>
        <w:jc w:val="start"/>
        <w:rPr>
          <w:sz w:val="14"/>
          <w:szCs w:val="14"/>
        </w:rPr>
      </w:pPr>
      <w:r>
        <w:rPr>
          <w:sz w:val="14"/>
          <w:szCs w:val="14"/>
          <w:rtl w:val="true"/>
        </w:rPr>
      </w:r>
    </w:p>
    <w:p>
      <w:pPr>
        <w:pStyle w:val="Normal"/>
        <w:ind w:end="0"/>
        <w:jc w:val="start"/>
        <w:rPr>
          <w:sz w:val="14"/>
          <w:szCs w:val="14"/>
        </w:rPr>
      </w:pPr>
      <w:r>
        <w:rPr>
          <w:sz w:val="14"/>
          <w:sz w:val="14"/>
          <w:szCs w:val="14"/>
          <w:rtl w:val="true"/>
        </w:rPr>
        <w:t xml:space="preserve">יהודית </w:t>
      </w:r>
    </w:p>
    <w:p>
      <w:pPr>
        <w:pStyle w:val="Normal"/>
        <w:keepNext w:val="true"/>
        <w:ind w:end="0"/>
        <w:jc w:val="start"/>
        <w:rPr>
          <w:color w:val="000000"/>
          <w:sz w:val="22"/>
          <w:szCs w:val="22"/>
        </w:rPr>
      </w:pPr>
      <w:r>
        <w:rPr>
          <w:rtl w:val="true"/>
        </w:rPr>
        <w:t>הוקלד</w:t>
      </w:r>
      <w:r>
        <w:rPr>
          <w:rtl w:val="true"/>
        </w:rPr>
        <w:t xml:space="preserve"> </w:t>
      </w:r>
      <w:r>
        <w:rPr>
          <w:rtl w:val="true"/>
        </w:rPr>
        <w:t>על</w:t>
      </w:r>
      <w:r>
        <w:rPr>
          <w:rtl w:val="true"/>
        </w:rPr>
        <w:t xml:space="preserve"> </w:t>
      </w:r>
      <w:r>
        <w:rPr>
          <w:rtl w:val="true"/>
        </w:rPr>
        <w:t>ידי</w:t>
      </w:r>
      <w:r>
        <w:rPr>
          <w:rtl w:val="true"/>
        </w:rPr>
        <w:t xml:space="preserve"> </w:t>
      </w:r>
      <w:r>
        <w:rPr>
          <w:rtl w:val="true"/>
        </w:rPr>
        <w:t>ליאת</w:t>
      </w:r>
      <w:r>
        <w:rPr>
          <w:rtl w:val="true"/>
        </w:rPr>
        <w:t xml:space="preserve"> </w:t>
      </w:r>
      <w:r>
        <w:rPr>
          <w:rtl w:val="true"/>
        </w:rPr>
        <w:t>פנקר</w:t>
      </w:r>
    </w:p>
    <w:p>
      <w:pPr>
        <w:pStyle w:val="Normal"/>
        <w:keepNext w:val="true"/>
        <w:ind w:end="0"/>
        <w:jc w:val="start"/>
        <w:rPr>
          <w:color w:val="000000"/>
          <w:sz w:val="22"/>
          <w:szCs w:val="22"/>
        </w:rPr>
      </w:pPr>
      <w:r>
        <w:rPr>
          <w:color w:val="000000"/>
          <w:sz w:val="22"/>
          <w:sz w:val="22"/>
          <w:szCs w:val="22"/>
          <w:rtl w:val="true"/>
        </w:rPr>
        <w:t xml:space="preserve">הרכב </w:t>
      </w:r>
      <w:r>
        <w:rPr>
          <w:color w:val="000000"/>
          <w:sz w:val="22"/>
          <w:szCs w:val="22"/>
        </w:rPr>
        <w:t>54678313</w:t>
      </w:r>
    </w:p>
    <w:p>
      <w:pPr>
        <w:pStyle w:val="Normal"/>
        <w:ind w:end="0"/>
        <w:jc w:val="start"/>
        <w:rPr>
          <w:color w:val="000000"/>
        </w:rPr>
      </w:pPr>
      <w:r>
        <w:rPr>
          <w:color w:val="000000"/>
          <w:rtl w:val="true"/>
        </w:rPr>
        <w:t>נוסח מסמך זה כפוף לשינויי ניסוח ועריכה</w:t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hyperlink r:id="rId3">
        <w:r>
          <w:rPr>
            <w:rStyle w:val="Hyperlink"/>
            <w:color w:val="0000FF"/>
            <w:u w:val="single"/>
            <w:rtl w:val="true"/>
          </w:rPr>
          <w:t>בעניין עריכה ושינויים במסמכי פסיקה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חקיקה ועוד באתר נבו – הקש כאן</w:t>
        </w:r>
      </w:hyperlink>
    </w:p>
    <w:p>
      <w:pPr>
        <w:pStyle w:val="Normal"/>
        <w:ind w:end="0"/>
        <w:jc w:val="center"/>
        <w:rPr>
          <w:color w:val="0000FF"/>
          <w:u w:val="single"/>
        </w:rPr>
      </w:pPr>
      <w:r>
        <w:rPr>
          <w:color w:val="0000FF"/>
          <w:u w:val="single"/>
          <w:rtl w:val="true"/>
        </w:rPr>
      </w:r>
    </w:p>
    <w:sectPr>
      <w:headerReference w:type="default" r:id="rId4"/>
      <w:footerReference w:type="default" r:id="rId5"/>
      <w:type w:val="nextPage"/>
      <w:pgSz w:w="11906" w:h="16838"/>
      <w:pgMar w:left="1701" w:right="1701" w:gutter="0" w:header="1077" w:top="1701" w:footer="1157" w:bottom="1440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David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FrankRuehl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</w:rPr>
    </w:pPr>
    <w:r>
      <w:rPr>
        <w:rFonts w:cs="FrankRuehl" w:ascii="FrankRuehl" w:hAnsi="FrankRuehl"/>
        <w:rtl w:val="true"/>
      </w:rPr>
      <w:fldChar w:fldCharType="begin"/>
    </w:r>
    <w:r>
      <w:rPr>
        <w:rtl w:val="true"/>
        <w:rFonts w:cs="FrankRuehl" w:ascii="FrankRuehl" w:hAnsi="FrankRuehl"/>
      </w:rPr>
      <w:instrText xml:space="preserve"> PAGE </w:instrText>
    </w:r>
    <w:r>
      <w:rPr>
        <w:rtl w:val="true"/>
        <w:rFonts w:cs="FrankRuehl" w:ascii="FrankRuehl" w:hAnsi="FrankRuehl"/>
      </w:rPr>
      <w:fldChar w:fldCharType="separate"/>
    </w:r>
    <w:r>
      <w:rPr>
        <w:rtl w:val="true"/>
        <w:rFonts w:cs="FrankRuehl" w:ascii="FrankRuehl" w:hAnsi="FrankRuehl"/>
      </w:rPr>
      <w:t>3</w:t>
    </w:r>
    <w:r>
      <w:rPr>
        <w:rtl w:val="true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</w:rPr>
    </w:pPr>
    <w:r>
      <w:rPr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8311" w:leader="none"/>
      </w:tabs>
      <w:spacing w:lineRule="exact" w:line="220"/>
      <w:ind w:end="0"/>
      <w:jc w:val="start"/>
      <w:rPr>
        <w:color w:val="000000"/>
        <w:sz w:val="22"/>
        <w:szCs w:val="22"/>
      </w:rPr>
    </w:pPr>
    <w:r>
      <w:rPr>
        <w:color w:val="000000"/>
        <w:sz w:val="22"/>
        <w:sz w:val="22"/>
        <w:szCs w:val="22"/>
        <w:rtl w:val="true"/>
      </w:rPr>
      <w:t xml:space="preserve">עפג </w:t>
    </w:r>
    <w:r>
      <w:rPr>
        <w:color w:val="000000"/>
        <w:sz w:val="22"/>
        <w:szCs w:val="22"/>
        <w:rtl w:val="true"/>
      </w:rPr>
      <w:t>(</w:t>
    </w:r>
    <w:r>
      <w:rPr>
        <w:color w:val="000000"/>
        <w:sz w:val="22"/>
        <w:sz w:val="22"/>
        <w:szCs w:val="22"/>
        <w:rtl w:val="true"/>
      </w:rPr>
      <w:t>חי</w:t>
    </w:r>
    <w:r>
      <w:rPr>
        <w:color w:val="000000"/>
        <w:sz w:val="22"/>
        <w:szCs w:val="22"/>
        <w:rtl w:val="true"/>
      </w:rPr>
      <w:t xml:space="preserve">') </w:t>
    </w:r>
    <w:r>
      <w:rPr>
        <w:color w:val="000000"/>
        <w:sz w:val="22"/>
        <w:szCs w:val="22"/>
      </w:rPr>
      <w:t>49266-02-17</w:t>
    </w:r>
    <w:r>
      <w:rPr>
        <w:color w:val="000000"/>
        <w:sz w:val="22"/>
        <w:szCs w:val="22"/>
        <w:rtl w:val="true"/>
      </w:rPr>
      <w:tab/>
      <w:t xml:space="preserve"> </w:t>
    </w:r>
    <w:r>
      <w:rPr>
        <w:color w:val="000000"/>
        <w:sz w:val="22"/>
        <w:sz w:val="22"/>
        <w:szCs w:val="22"/>
        <w:rtl w:val="true"/>
      </w:rPr>
      <w:t>מדינת ישראל נ</w:t>
    </w:r>
    <w:r>
      <w:rPr>
        <w:color w:val="000000"/>
        <w:sz w:val="22"/>
        <w:szCs w:val="22"/>
        <w:rtl w:val="true"/>
      </w:rPr>
      <w:t xml:space="preserve">' </w:t>
    </w:r>
    <w:r>
      <w:rPr>
        <w:color w:val="000000"/>
        <w:sz w:val="22"/>
        <w:sz w:val="22"/>
        <w:szCs w:val="22"/>
        <w:rtl w:val="true"/>
      </w:rPr>
      <w:t>דן אוחיון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CaseDisplayIdentifier" w:val="49266-02-17"/>
    <w:docVar w:name="caseId" w:val="74311492"/>
    <w:docVar w:name="deriveClass" w:val="NGCS.Protocol.BL.Client.ProtocolBLClientCriminal"/>
    <w:docVar w:name="firstPageNumber" w:val="1"/>
    <w:docVar w:name="MyInfo" w:val="This document was extracted from Nevo's site"/>
    <w:docVar w:name="NGCS.caseTypeID" w:val="-1"/>
    <w:docVar w:name="NGCS.courtID" w:val="-1"/>
    <w:docVar w:name="NGCS.isReservedAddressPlace" w:val="0"/>
    <w:docVar w:name="NGCS.isReservedVoucherPlace" w:val="0"/>
    <w:docVar w:name="NGCS.proceedingID" w:val="17"/>
    <w:docVar w:name="NGCS.TemplateCategoryID" w:val="14"/>
    <w:docVar w:name="NGCS.userUPN" w:val="????"/>
    <w:docVar w:name="privellegeId" w:val="1"/>
    <w:docVar w:name="protocolId" w:val="7496020"/>
    <w:docVar w:name="releaseSign" w:val="0"/>
    <w:docVar w:name="sittingDateTime" w:val="16/03/2017 10:30     "/>
    <w:docVar w:name="sittingId" w:val="82313708"/>
    <w:docVar w:name="sittingTypeId" w:val="-1"/>
    <w:docVar w:name="WordClientAssemblyName" w:val="NGCS.Protocol.BL.Client"/>
    <w:docVar w:name="WordClientClassName" w:val="NGCS.Templates.UIP.TemplateWordClient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David" w:hAnsi="David" w:eastAsia="Times New Roman" w:cs="David"/>
      <w:color w:val="auto"/>
      <w:sz w:val="24"/>
      <w:szCs w:val="24"/>
      <w:lang w:val="en-US" w:bidi="he-IL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ind w:hanging="0" w:start="0" w:end="0"/>
      <w:jc w:val="start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ind w:hanging="0" w:start="0" w:end="0"/>
      <w:jc w:val="start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ind w:hanging="0" w:start="0" w:end="0"/>
      <w:jc w:val="start"/>
      <w:outlineLvl w:val="2"/>
    </w:pPr>
    <w:rPr>
      <w:b/>
      <w:bCs/>
      <w:sz w:val="26"/>
      <w:szCs w:val="26"/>
    </w:rPr>
  </w:style>
  <w:style w:type="character" w:styleId="WW8Num1z0">
    <w:name w:val="WW8Num1z0"/>
    <w:qFormat/>
    <w:rPr>
      <w:rFonts w:cs="Times New Roman"/>
    </w:rPr>
  </w:style>
  <w:style w:type="character" w:styleId="WW8Num2z0">
    <w:name w:val="WW8Num2z0"/>
    <w:qFormat/>
    <w:rPr>
      <w:rFonts w:cs="Times New Roman"/>
    </w:rPr>
  </w:style>
  <w:style w:type="character" w:styleId="WW8Num3z0">
    <w:name w:val="WW8Num3z0"/>
    <w:qFormat/>
    <w:rPr>
      <w:rFonts w:cs="Times New Roman"/>
    </w:rPr>
  </w:style>
  <w:style w:type="character" w:styleId="WW8Num4z0">
    <w:name w:val="WW8Num4z0"/>
    <w:qFormat/>
    <w:rPr>
      <w:rFonts w:cs="Times New Roman"/>
    </w:rPr>
  </w:style>
  <w:style w:type="character" w:styleId="WW8Num5z0">
    <w:name w:val="WW8Num5z0"/>
    <w:qFormat/>
    <w:rPr>
      <w:rFonts w:cs="Times New Roman"/>
    </w:rPr>
  </w:style>
  <w:style w:type="character" w:styleId="WW8Num5z1">
    <w:name w:val="WW8Num5z1"/>
    <w:qFormat/>
    <w:rPr>
      <w:rFonts w:cs="Times New Roman"/>
    </w:rPr>
  </w:style>
  <w:style w:type="character" w:styleId="WW8Num6z0">
    <w:name w:val="WW8Num6z0"/>
    <w:qFormat/>
    <w:rPr>
      <w:rFonts w:cs="Times New Roman"/>
    </w:rPr>
  </w:style>
  <w:style w:type="character" w:styleId="WW8Num7z0">
    <w:name w:val="WW8Num7z0"/>
    <w:qFormat/>
    <w:rPr>
      <w:rFonts w:cs="Times New Roman"/>
    </w:rPr>
  </w:style>
  <w:style w:type="character" w:styleId="WW8Num7z1">
    <w:name w:val="WW8Num7z1"/>
    <w:qFormat/>
    <w:rPr>
      <w:rFonts w:cs="Times New Roman"/>
    </w:rPr>
  </w:style>
  <w:style w:type="character" w:styleId="WW8Num8z0">
    <w:name w:val="WW8Num8z0"/>
    <w:qFormat/>
    <w:rPr>
      <w:rFonts w:cs="Times New Roman"/>
    </w:rPr>
  </w:style>
  <w:style w:type="character" w:styleId="WW8Num9z0">
    <w:name w:val="WW8Num9z0"/>
    <w:qFormat/>
    <w:rPr>
      <w:rFonts w:cs="Times New Roman"/>
    </w:rPr>
  </w:style>
  <w:style w:type="character" w:styleId="WW8Num10z0">
    <w:name w:val="WW8Num10z0"/>
    <w:qFormat/>
    <w:rPr>
      <w:rFonts w:cs="Times New Roman"/>
    </w:rPr>
  </w:style>
  <w:style w:type="character" w:styleId="WW8Num11z0">
    <w:name w:val="WW8Num11z0"/>
    <w:qFormat/>
    <w:rPr>
      <w:rFonts w:cs="Times New Roman"/>
    </w:rPr>
  </w:style>
  <w:style w:type="character" w:styleId="WW8Num11z1">
    <w:name w:val="WW8Num11z1"/>
    <w:qFormat/>
    <w:rPr>
      <w:rFonts w:cs="Times New Roman"/>
    </w:rPr>
  </w:style>
  <w:style w:type="character" w:styleId="WW8Num12z0">
    <w:name w:val="WW8Num12z0"/>
    <w:qFormat/>
    <w:rPr>
      <w:rFonts w:cs="Times New Roman"/>
    </w:rPr>
  </w:style>
  <w:style w:type="character" w:styleId="WW8Num12z1">
    <w:name w:val="WW8Num12z1"/>
    <w:qFormat/>
    <w:rPr>
      <w:rFonts w:cs="Times New Roman"/>
    </w:rPr>
  </w:style>
  <w:style w:type="character" w:styleId="WW8Num13z0">
    <w:name w:val="WW8Num13z0"/>
    <w:qFormat/>
    <w:rPr>
      <w:rFonts w:cs="Times New Roman"/>
    </w:rPr>
  </w:style>
  <w:style w:type="character" w:styleId="WW8Num14z0">
    <w:name w:val="WW8Num14z0"/>
    <w:qFormat/>
    <w:rPr>
      <w:rFonts w:cs="Times New Roman"/>
    </w:rPr>
  </w:style>
  <w:style w:type="character" w:styleId="WW8Num15z0">
    <w:name w:val="WW8Num15z0"/>
    <w:qFormat/>
    <w:rPr>
      <w:rFonts w:cs="Times New Roman"/>
    </w:rPr>
  </w:style>
  <w:style w:type="character" w:styleId="WW8Num16z0">
    <w:name w:val="WW8Num16z0"/>
    <w:qFormat/>
    <w:rPr>
      <w:rFonts w:cs="Times New Roman"/>
    </w:rPr>
  </w:style>
  <w:style w:type="character" w:styleId="WW8Num17z0">
    <w:name w:val="WW8Num17z0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CharChar6">
    <w:name w:val=" Char Char6"/>
    <w:qFormat/>
    <w:rPr>
      <w:rFonts w:ascii="Cambria" w:hAnsi="Cambria" w:cs="Times New Roman"/>
      <w:b/>
      <w:bCs/>
      <w:kern w:val="2"/>
      <w:sz w:val="32"/>
      <w:szCs w:val="32"/>
    </w:rPr>
  </w:style>
  <w:style w:type="character" w:styleId="CharChar5">
    <w:name w:val=" Char Char5"/>
    <w:qFormat/>
    <w:rPr>
      <w:rFonts w:ascii="Cambria" w:hAnsi="Cambria" w:cs="Times New Roman"/>
      <w:b/>
      <w:bCs/>
      <w:i/>
      <w:iCs/>
      <w:sz w:val="28"/>
      <w:szCs w:val="28"/>
    </w:rPr>
  </w:style>
  <w:style w:type="character" w:styleId="CharChar4">
    <w:name w:val=" Char Char4"/>
    <w:qFormat/>
    <w:rPr>
      <w:rFonts w:ascii="Cambria" w:hAnsi="Cambria" w:cs="Times New Roman"/>
      <w:b/>
      <w:bCs/>
      <w:sz w:val="26"/>
      <w:szCs w:val="26"/>
    </w:rPr>
  </w:style>
  <w:style w:type="character" w:styleId="CharChar3">
    <w:name w:val=" Char Char3"/>
    <w:qFormat/>
    <w:rPr>
      <w:rFonts w:cs="Times New Roman"/>
      <w:sz w:val="24"/>
      <w:szCs w:val="24"/>
    </w:rPr>
  </w:style>
  <w:style w:type="character" w:styleId="CharChar2">
    <w:name w:val=" Char Char2"/>
    <w:qFormat/>
    <w:rPr>
      <w:rFonts w:cs="Times New Roman"/>
      <w:sz w:val="24"/>
      <w:szCs w:val="24"/>
    </w:rPr>
  </w:style>
  <w:style w:type="character" w:styleId="CharChar1">
    <w:name w:val=" Char Char1"/>
    <w:qFormat/>
    <w:rPr>
      <w:rFonts w:cs="Times New Roman"/>
      <w:sz w:val="20"/>
      <w:szCs w:val="20"/>
    </w:rPr>
  </w:style>
  <w:style w:type="character" w:styleId="CommentReference">
    <w:name w:val="Comment Reference"/>
    <w:qFormat/>
    <w:rPr>
      <w:rFonts w:cs="Times New Roman"/>
      <w:sz w:val="16"/>
      <w:szCs w:val="16"/>
    </w:rPr>
  </w:style>
  <w:style w:type="character" w:styleId="CharChar">
    <w:name w:val=" Char Char"/>
    <w:qFormat/>
    <w:rPr>
      <w:rFonts w:ascii="Times New Roman" w:hAnsi="Times New Roman" w:cs="Times New Roman"/>
      <w:sz w:val="2"/>
    </w:rPr>
  </w:style>
  <w:style w:type="character" w:styleId="PageNumber">
    <w:name w:val="page number"/>
    <w:rPr>
      <w:rFonts w:cs="Times New Roman"/>
    </w:rPr>
  </w:style>
  <w:style w:type="character" w:styleId="LineNumber">
    <w:name w:val="line number"/>
    <w:rPr>
      <w:rFonts w:cs="Arial"/>
      <w:sz w:val="20"/>
      <w:szCs w:val="20"/>
    </w:rPr>
  </w:style>
  <w:style w:type="character" w:styleId="TimesNewRomanTimesNewRoman">
    <w:name w:val="סגנון (לטיני) Times New Roman (עברית ושפות אחרות) Times New Roman..."/>
    <w:qFormat/>
    <w:rPr>
      <w:rFonts w:ascii="Times New Roman" w:hAnsi="Times New Roman" w:cs="David"/>
      <w:b/>
      <w:bCs/>
      <w:sz w:val="26"/>
      <w:szCs w:val="26"/>
    </w:rPr>
  </w:style>
  <w:style w:type="character" w:styleId="PlaceholderText">
    <w:name w:val="Placeholder Text"/>
    <w:qFormat/>
    <w:rPr>
      <w:rFonts w:cs="Times New Roman"/>
      <w:color w:val="808080"/>
    </w:rPr>
  </w:style>
  <w:style w:type="character" w:styleId="Hyperlink">
    <w:name w:val="Hyperlink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CommentText">
    <w:name w:val="Comment Text"/>
    <w:basedOn w:val="Normal"/>
    <w:qFormat/>
    <w:pPr>
      <w:ind w:hanging="0" w:start="0" w:end="0"/>
      <w:jc w:val="start"/>
    </w:pPr>
    <w:rPr>
      <w:rFonts w:ascii="Times New Roman" w:hAnsi="Times New Roman" w:eastAsia="David" w:cs="Times New Roman"/>
      <w:sz w:val="20"/>
      <w:szCs w:val="20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Arial">
    <w:name w:val="סגנון (לטיני) Arial מיושר לשני הצדדים מרווח בין שורות:  שורה וחצי"/>
    <w:basedOn w:val="Normal"/>
    <w:qFormat/>
    <w:pPr>
      <w:spacing w:lineRule="auto" w:line="360"/>
      <w:ind w:hanging="0" w:start="0" w:end="0"/>
      <w:jc w:val="both"/>
    </w:pPr>
    <w:rPr>
      <w:rFonts w:ascii="Arial" w:hAnsi="Arial" w:eastAsia="David" w:cs="Arial"/>
    </w:rPr>
  </w:style>
  <w:style w:type="paragraph" w:styleId="Arial1">
    <w:name w:val="סגנון (לטיני) Arial מודגש מיושר לשני הצדדים מרווח בין שורות:  שו..."/>
    <w:basedOn w:val="Normal"/>
    <w:qFormat/>
    <w:pPr>
      <w:spacing w:lineRule="auto" w:line="360"/>
      <w:ind w:hanging="0" w:start="0" w:end="0"/>
      <w:jc w:val="both"/>
    </w:pPr>
    <w:rPr>
      <w:rFonts w:ascii="Arial" w:hAnsi="Arial" w:eastAsia="David" w:cs="Arial"/>
      <w:b/>
      <w:bCs/>
    </w:rPr>
  </w:style>
  <w:style w:type="paragraph" w:styleId="TimesNewRoman13">
    <w:name w:val="סגנון (לטיני) Times New Roman ‏13 נק' מודגש מיושר לשני הצדדים מ..."/>
    <w:basedOn w:val="Normal"/>
    <w:qFormat/>
    <w:pPr>
      <w:spacing w:lineRule="auto" w:line="360"/>
      <w:ind w:hanging="0" w:start="0" w:end="0"/>
      <w:jc w:val="both"/>
    </w:pPr>
    <w:rPr>
      <w:rFonts w:ascii="Times New Roman" w:hAnsi="Times New Roman" w:eastAsia="David" w:cs="Times New Roman"/>
      <w:b/>
      <w:bCs/>
      <w:sz w:val="26"/>
      <w:szCs w:val="26"/>
    </w:rPr>
  </w:style>
  <w:style w:type="paragraph" w:styleId="12">
    <w:name w:val="רגיל + ‏12 נק'"/>
    <w:basedOn w:val="Normal"/>
    <w:qFormat/>
    <w:pPr>
      <w:ind w:hanging="0" w:start="0" w:end="0"/>
      <w:jc w:val="start"/>
    </w:pPr>
    <w:rPr>
      <w:rFonts w:ascii="Times New Roman" w:hAnsi="Times New Roman" w:eastAsia="David" w:cs="Times New Roman"/>
      <w:b/>
      <w:bCs/>
      <w:u w:val="single"/>
    </w:rPr>
  </w:style>
  <w:style w:type="paragraph" w:styleId="David">
    <w:name w:val="סגנון (עברית ושפות אחרות) David מיושר לשני הצדדים מרווח בין שורות..."/>
    <w:basedOn w:val="Normal"/>
    <w:qFormat/>
    <w:pPr>
      <w:spacing w:lineRule="auto" w:line="360"/>
      <w:ind w:hanging="0" w:start="0" w:end="0"/>
      <w:jc w:val="both"/>
    </w:pPr>
    <w:rPr>
      <w:rFonts w:ascii="Times New Roman" w:hAnsi="Times New Roman" w:eastAsia="David" w:cs="Times New Roma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20395358" TargetMode="External"/><Relationship Id="rId3" Type="http://schemas.openxmlformats.org/officeDocument/2006/relationships/hyperlink" Target="http://www.nevo.co.il/advertisements/nevo-100.doc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2019-12-24T08:06:00Z</dcterms:created>
  <dc:creator> </dc:creator>
  <dc:description/>
  <cp:keywords/>
  <dc:language>en-IL</dc:language>
  <cp:lastModifiedBy>hofit</cp:lastModifiedBy>
  <cp:lastPrinted>2017-03-16T11:44:00Z</cp:lastPrinted>
  <dcterms:modified xsi:type="dcterms:W3CDTF">2019-12-24T08:06:00Z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מדינת ישראל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דן אוחיון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20395358</vt:lpwstr>
  </property>
  <property fmtid="{D5CDD505-2E9C-101B-9397-08002B2CF9AE}" pid="9" name="CITY">
    <vt:lpwstr>חי'</vt:lpwstr>
  </property>
  <property fmtid="{D5CDD505-2E9C-101B-9397-08002B2CF9AE}" pid="10" name="DATE">
    <vt:lpwstr>20170316</vt:lpwstr>
  </property>
  <property fmtid="{D5CDD505-2E9C-101B-9397-08002B2CF9AE}" pid="11" name="DELEMATA">
    <vt:lpwstr/>
  </property>
  <property fmtid="{D5CDD505-2E9C-101B-9397-08002B2CF9AE}" pid="12" name="ISABSTRACT">
    <vt:lpwstr>Y</vt:lpwstr>
  </property>
  <property fmtid="{D5CDD505-2E9C-101B-9397-08002B2CF9AE}" pid="13" name="JUDGE">
    <vt:lpwstr>רון שפירא;אברהם אליקים;בטינה טאובר</vt:lpwstr>
  </property>
  <property fmtid="{D5CDD505-2E9C-101B-9397-08002B2CF9AE}" pid="14" name="LAWYER">
    <vt:lpwstr>שרון איל;סיבוני</vt:lpwstr>
  </property>
  <property fmtid="{D5CDD505-2E9C-101B-9397-08002B2CF9AE}" pid="15" name="LINKK1">
    <vt:lpwstr/>
  </property>
  <property fmtid="{D5CDD505-2E9C-101B-9397-08002B2CF9AE}" pid="16" name="LINKK2">
    <vt:lpwstr/>
  </property>
  <property fmtid="{D5CDD505-2E9C-101B-9397-08002B2CF9AE}" pid="17" name="LINKK3">
    <vt:lpwstr/>
  </property>
  <property fmtid="{D5CDD505-2E9C-101B-9397-08002B2CF9AE}" pid="18" name="LINKK4">
    <vt:lpwstr/>
  </property>
  <property fmtid="{D5CDD505-2E9C-101B-9397-08002B2CF9AE}" pid="19" name="LINKK5">
    <vt:lpwstr/>
  </property>
  <property fmtid="{D5CDD505-2E9C-101B-9397-08002B2CF9AE}" pid="20" name="NEWPARTA">
    <vt:lpwstr>49266</vt:lpwstr>
  </property>
  <property fmtid="{D5CDD505-2E9C-101B-9397-08002B2CF9AE}" pid="21" name="NEWPARTB">
    <vt:lpwstr>02</vt:lpwstr>
  </property>
  <property fmtid="{D5CDD505-2E9C-101B-9397-08002B2CF9AE}" pid="22" name="NEWPARTC">
    <vt:lpwstr>17</vt:lpwstr>
  </property>
  <property fmtid="{D5CDD505-2E9C-101B-9397-08002B2CF9AE}" pid="23" name="NEWPROC">
    <vt:lpwstr>עפג</vt:lpwstr>
  </property>
  <property fmtid="{D5CDD505-2E9C-101B-9397-08002B2CF9AE}" pid="24" name="PADIMAIL">
    <vt:lpwstr/>
  </property>
  <property fmtid="{D5CDD505-2E9C-101B-9397-08002B2CF9AE}" pid="25" name="PAGE">
    <vt:lpwstr/>
  </property>
  <property fmtid="{D5CDD505-2E9C-101B-9397-08002B2CF9AE}" pid="26" name="PART">
    <vt:lpwstr/>
  </property>
  <property fmtid="{D5CDD505-2E9C-101B-9397-08002B2CF9AE}" pid="27" name="PROCESS">
    <vt:lpwstr/>
  </property>
  <property fmtid="{D5CDD505-2E9C-101B-9397-08002B2CF9AE}" pid="28" name="PROCNUM">
    <vt:lpwstr/>
  </property>
  <property fmtid="{D5CDD505-2E9C-101B-9397-08002B2CF9AE}" pid="29" name="PROCYEAR">
    <vt:lpwstr/>
  </property>
  <property fmtid="{D5CDD505-2E9C-101B-9397-08002B2CF9AE}" pid="30" name="PSAKDIN">
    <vt:lpwstr>פסק-דין</vt:lpwstr>
  </property>
  <property fmtid="{D5CDD505-2E9C-101B-9397-08002B2CF9AE}" pid="31" name="TYPE">
    <vt:lpwstr>2</vt:lpwstr>
  </property>
  <property fmtid="{D5CDD505-2E9C-101B-9397-08002B2CF9AE}" pid="32" name="TYPE_ABS_DATE">
    <vt:lpwstr>390020170316</vt:lpwstr>
  </property>
  <property fmtid="{D5CDD505-2E9C-101B-9397-08002B2CF9AE}" pid="33" name="TYPE_N_DATE">
    <vt:lpwstr>39020170316</vt:lpwstr>
  </property>
  <property fmtid="{D5CDD505-2E9C-101B-9397-08002B2CF9AE}" pid="34" name="VOLUME">
    <vt:lpwstr/>
  </property>
  <property fmtid="{D5CDD505-2E9C-101B-9397-08002B2CF9AE}" pid="35" name="WORDNUMPAGES">
    <vt:lpwstr>3</vt:lpwstr>
  </property>
</Properties>
</file>