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3"/>
        <w:gridCol w:w="1068"/>
        <w:gridCol w:w="3679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vanish/>
                <w:highlight w:val="yellow"/>
                <w:rtl w:val="true"/>
              </w:rPr>
              <w:t>&lt;&lt;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בחיפה בשבתו כבית משפט לערעורים פליליים</w:t>
            </w:r>
            <w:r>
              <w:rPr>
                <w:vanish/>
                <w:highlight w:val="yellow"/>
                <w:rtl w:val="true"/>
              </w:rPr>
              <w:t>&gt;</w:t>
            </w:r>
          </w:p>
        </w:tc>
      </w:tr>
      <w:tr>
        <w:trPr>
          <w:trHeight w:val="337" w:hRule="atLeast"/>
        </w:trPr>
        <w:tc>
          <w:tcPr>
            <w:tcW w:w="397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vanish/>
                <w:highlight w:val="yellow"/>
                <w:rtl w:val="true"/>
              </w:rPr>
              <w:t>&lt;&lt;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vanish/>
                <w:highlight w:val="yellow"/>
                <w:rtl w:val="true"/>
              </w:rPr>
              <w:t>&gt;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b/>
                <w:bCs/>
                <w:sz w:val="26"/>
                <w:szCs w:val="26"/>
              </w:rPr>
              <w:t>4986-04-09</w:t>
            </w:r>
            <w:r>
              <w:rPr>
                <w:vanish/>
                <w:highlight w:val="yellow"/>
                <w:rtl w:val="true"/>
              </w:rPr>
              <w:t>&gt;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מלכה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</w:t>
            </w:r>
            <w:r>
              <w:rPr>
                <w:b/>
                <w:bCs/>
                <w:sz w:val="26"/>
                <w:szCs w:val="26"/>
                <w:rtl w:val="true"/>
              </w:rPr>
              <w:t>.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לשכת תביעות תחנת זבולון</w:t>
            </w:r>
            <w:r>
              <w:rPr>
                <w:vanish/>
                <w:highlight w:val="yellow"/>
                <w:rtl w:val="true"/>
              </w:rPr>
              <w:t>&gt;&gt;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106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9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b/>
                <w:bCs/>
                <w:sz w:val="26"/>
                <w:szCs w:val="26"/>
              </w:rPr>
              <w:t>02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יולי </w:t>
            </w:r>
            <w:r>
              <w:rPr>
                <w:b/>
                <w:bCs/>
                <w:sz w:val="26"/>
                <w:szCs w:val="26"/>
              </w:rPr>
              <w:t>2009</w:t>
            </w:r>
            <w:r>
              <w:rPr>
                <w:vanish/>
                <w:highlight w:val="yellow"/>
                <w:rtl w:val="true"/>
              </w:rPr>
              <w:t>&gt;</w:t>
            </w:r>
          </w:p>
        </w:tc>
      </w:tr>
    </w:tbl>
    <w:p>
      <w:pPr>
        <w:pStyle w:val="Normal"/>
        <w:spacing w:lineRule="auto" w:line="36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8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0"/>
        <w:gridCol w:w="733"/>
        <w:gridCol w:w="1071"/>
        <w:gridCol w:w="3676"/>
        <w:gridCol w:w="82"/>
      </w:tblGrid>
      <w:tr>
        <w:trPr>
          <w:trHeight w:val="337" w:hRule="atLeast"/>
        </w:trPr>
        <w:tc>
          <w:tcPr>
            <w:tcW w:w="3973" w:type="dxa"/>
            <w:gridSpan w:val="2"/>
            <w:tcBorders/>
          </w:tcPr>
          <w:p>
            <w:pPr>
              <w:pStyle w:val="Normal"/>
              <w:ind w:end="0"/>
              <w:jc w:val="both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בפני השופטים </w:t>
            </w:r>
          </w:p>
          <w:p>
            <w:pPr>
              <w:pStyle w:val="Normal"/>
              <w:ind w:end="0"/>
              <w:jc w:val="both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ש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ברלינר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סגן נשיא</w:t>
            </w:r>
          </w:p>
          <w:p>
            <w:pPr>
              <w:pStyle w:val="Normal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גריל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סגן נשיא</w:t>
            </w:r>
          </w:p>
          <w:p>
            <w:pPr>
              <w:pStyle w:val="Normal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בר זיו </w:t>
            </w:r>
          </w:p>
        </w:tc>
        <w:tc>
          <w:tcPr>
            <w:tcW w:w="1071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6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8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40" w:type="dxa"/>
            <w:tcBorders/>
          </w:tcPr>
          <w:p>
            <w:pPr>
              <w:pStyle w:val="Normal"/>
              <w:ind w:start="26" w:end="0"/>
              <w:jc w:val="start"/>
              <w:rPr>
                <w:rFonts w:cs="David"/>
                <w:b/>
                <w:bCs/>
                <w:sz w:val="26"/>
                <w:szCs w:val="26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מערער</w:t>
            </w:r>
            <w:r>
              <w:rPr>
                <w:vanish/>
                <w:highlight w:val="yellow"/>
                <w:rtl w:val="true"/>
              </w:rPr>
              <w:t>&gt;</w:t>
            </w:r>
          </w:p>
        </w:tc>
        <w:tc>
          <w:tcPr>
            <w:tcW w:w="5562" w:type="dxa"/>
            <w:gridSpan w:val="4"/>
            <w:tcBorders/>
          </w:tcPr>
          <w:p>
            <w:pPr>
              <w:pStyle w:val="Normal"/>
              <w:ind w:end="0"/>
              <w:jc w:val="start"/>
              <w:rPr>
                <w:rFonts w:cs="David"/>
                <w:b/>
                <w:bCs/>
                <w:sz w:val="26"/>
                <w:szCs w:val="26"/>
              </w:rPr>
            </w:pPr>
            <w:r>
              <w:rPr>
                <w:vanish/>
                <w:highlight w:val="yellow"/>
                <w:rtl w:val="true"/>
              </w:rPr>
              <w:t>&lt;&lt;</w:t>
            </w:r>
            <w:r>
              <w:rPr>
                <w:rFonts w:cs="David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vanish/>
                <w:highlight w:val="yellow"/>
                <w:rtl w:val="true"/>
              </w:rPr>
              <w:t>&gt;</w:t>
            </w:r>
            <w:r>
              <w:rPr>
                <w:rFonts w:cs="David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ארז מלכה</w:t>
            </w:r>
            <w:r>
              <w:rPr>
                <w:vanish/>
                <w:highlight w:val="yellow"/>
                <w:rtl w:val="true"/>
              </w:rPr>
              <w:t>&gt;&gt;</w:t>
            </w:r>
          </w:p>
        </w:tc>
      </w:tr>
      <w:tr>
        <w:trPr/>
        <w:tc>
          <w:tcPr>
            <w:tcW w:w="8802" w:type="dxa"/>
            <w:gridSpan w:val="5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David"/>
                <w:b/>
                <w:bCs/>
                <w:sz w:val="26"/>
                <w:szCs w:val="26"/>
              </w:rPr>
            </w:pPr>
            <w:r>
              <w:rPr>
                <w:rFonts w:cs="David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David"/>
                <w:b/>
                <w:bCs/>
                <w:sz w:val="26"/>
                <w:szCs w:val="26"/>
              </w:rPr>
            </w:pPr>
            <w:r>
              <w:rPr>
                <w:rFonts w:ascii="Arial" w:hAnsi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David"/>
                <w:b/>
                <w:bCs/>
                <w:sz w:val="26"/>
                <w:szCs w:val="26"/>
              </w:rPr>
            </w:pPr>
            <w:r>
              <w:rPr>
                <w:rFonts w:cs="David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40" w:type="dxa"/>
            <w:tcBorders/>
          </w:tcPr>
          <w:p>
            <w:pPr>
              <w:pStyle w:val="Normal"/>
              <w:ind w:start="26" w:end="0"/>
              <w:jc w:val="start"/>
              <w:rPr>
                <w:rFonts w:cs="David"/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משיב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vanish/>
                <w:highlight w:val="yellow"/>
                <w:rtl w:val="true"/>
              </w:rPr>
              <w:t>&gt;</w:t>
            </w:r>
          </w:p>
        </w:tc>
        <w:tc>
          <w:tcPr>
            <w:tcW w:w="5562" w:type="dxa"/>
            <w:gridSpan w:val="4"/>
            <w:tcBorders/>
          </w:tcPr>
          <w:p>
            <w:pPr>
              <w:pStyle w:val="Normal"/>
              <w:ind w:end="0"/>
              <w:jc w:val="start"/>
              <w:rPr>
                <w:rFonts w:cs="David"/>
                <w:b/>
                <w:bCs/>
                <w:sz w:val="26"/>
                <w:szCs w:val="26"/>
              </w:rPr>
            </w:pP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מדינת ישראל </w:t>
            </w:r>
            <w:r>
              <w:rPr>
                <w:vanish/>
                <w:highlight w:val="yellow"/>
                <w:rtl w:val="true"/>
              </w:rPr>
              <w:t>&gt;</w:t>
            </w:r>
          </w:p>
        </w:tc>
      </w:tr>
      <w:tr>
        <w:trPr/>
        <w:tc>
          <w:tcPr>
            <w:tcW w:w="3240" w:type="dxa"/>
            <w:tcBorders/>
          </w:tcPr>
          <w:p>
            <w:pPr>
              <w:pStyle w:val="Normal"/>
              <w:snapToGrid w:val="false"/>
              <w:ind w:start="26" w:end="0"/>
              <w:jc w:val="end"/>
              <w:rPr>
                <w:rFonts w:cs="David"/>
                <w:b/>
                <w:bCs/>
                <w:sz w:val="26"/>
                <w:szCs w:val="26"/>
              </w:rPr>
            </w:pPr>
            <w:r>
              <w:rPr>
                <w:rFonts w:cs="David"/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5562" w:type="dxa"/>
            <w:gridSpan w:val="4"/>
            <w:tcBorders/>
          </w:tcPr>
          <w:p>
            <w:pPr>
              <w:pStyle w:val="Normal"/>
              <w:ind w:end="0"/>
              <w:jc w:val="end"/>
              <w:rPr/>
            </w:pPr>
            <w:r>
              <w:rPr>
                <w:vanish/>
                <w:highlight w:val="yellow"/>
                <w:rtl w:val="true"/>
              </w:rPr>
              <w:t>&lt;&gt;</w:t>
            </w:r>
          </w:p>
        </w:tc>
      </w:tr>
    </w:tbl>
    <w:p>
      <w:pPr>
        <w:pStyle w:val="Normal"/>
        <w:ind w:end="0"/>
        <w:jc w:val="start"/>
        <w:rPr>
          <w:vanish/>
          <w:highlight w:val="yellow"/>
        </w:rPr>
      </w:pPr>
      <w:r>
        <w:rPr>
          <w:vanish/>
          <w:highlight w:val="yellow"/>
          <w:rtl w:val="true"/>
        </w:rPr>
        <w:t>&gt;</w:t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#2#</w:t>
      </w:r>
      <w:r>
        <w:rPr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 xml:space="preserve">בשם המערער </w:t>
      </w:r>
      <w:r>
        <w:rPr>
          <w:b w:val="false"/>
          <w:b w:val="false"/>
          <w:bCs w:val="false"/>
          <w:u w:val="none"/>
          <w:rtl w:val="true"/>
        </w:rPr>
        <w:t>–</w:t>
      </w:r>
      <w:r>
        <w:rPr>
          <w:b w:val="false"/>
          <w:b w:val="false"/>
          <w:bCs w:val="false"/>
          <w:u w:val="none"/>
          <w:rtl w:val="true"/>
        </w:rPr>
        <w:t xml:space="preserve">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ד אביטן 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 xml:space="preserve">המערער בעצמו 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bookmarkStart w:id="2" w:name="FirstLawyer"/>
      <w:r>
        <w:rPr>
          <w:b w:val="false"/>
          <w:b w:val="false"/>
          <w:bCs w:val="false"/>
          <w:u w:val="none"/>
          <w:rtl w:val="true"/>
        </w:rPr>
        <w:t>בשם המשיב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ה </w:t>
      </w:r>
      <w:r>
        <w:rPr>
          <w:b w:val="false"/>
          <w:b w:val="false"/>
          <w:bCs w:val="false"/>
          <w:u w:val="none"/>
          <w:rtl w:val="true"/>
        </w:rPr>
        <w:t>–</w:t>
      </w:r>
      <w:r>
        <w:rPr>
          <w:b w:val="false"/>
          <w:b w:val="false"/>
          <w:bCs w:val="false"/>
          <w:u w:val="none"/>
          <w:rtl w:val="true"/>
        </w:rPr>
        <w:t xml:space="preserve">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גב</w:t>
      </w:r>
      <w:r>
        <w:rPr>
          <w:b w:val="false"/>
          <w:bCs w:val="false"/>
          <w:u w:val="none"/>
          <w:rtl w:val="true"/>
        </w:rPr>
        <w:t xml:space="preserve">' </w:t>
      </w:r>
      <w:r>
        <w:rPr>
          <w:b w:val="false"/>
          <w:b w:val="false"/>
          <w:bCs w:val="false"/>
          <w:u w:val="none"/>
          <w:rtl w:val="true"/>
        </w:rPr>
        <w:t xml:space="preserve">שטיין 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none"/>
        </w:rPr>
      </w:pPr>
      <w:r>
        <w:rPr>
          <w:rFonts w:cs="Arial" w:ascii="Arial" w:hAnsi="Arial"/>
          <w:b/>
          <w:bCs/>
          <w:sz w:val="28"/>
          <w:szCs w:val="28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3" w:name="PsakDin"/>
      <w:bookmarkEnd w:id="3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</w:r>
      <w:bookmarkStart w:id="4" w:name="PsakDin"/>
      <w:bookmarkStart w:id="5" w:name="PsakDin"/>
      <w:bookmarkEnd w:id="5"/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לא ביקשנו את תשובת המשיבה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ביום </w:t>
      </w:r>
      <w:r>
        <w:rPr/>
        <w:t>2.1.08</w:t>
      </w:r>
      <w:r>
        <w:rPr>
          <w:rtl w:val="true"/>
        </w:rPr>
        <w:t xml:space="preserve"> </w:t>
      </w:r>
      <w:r>
        <w:rPr>
          <w:rtl w:val="true"/>
        </w:rPr>
        <w:t xml:space="preserve">הוגש לבית משפט השלום בקריות כתב אישום נגד המערער על כך שביום </w:t>
      </w:r>
      <w:r>
        <w:rPr/>
        <w:t>11.1.06</w:t>
      </w:r>
      <w:r>
        <w:rPr>
          <w:rtl w:val="true"/>
        </w:rPr>
        <w:t xml:space="preserve"> </w:t>
      </w:r>
      <w:r>
        <w:rPr>
          <w:rtl w:val="true"/>
        </w:rPr>
        <w:t xml:space="preserve">החזיק בחשיש במשקל של </w:t>
      </w:r>
      <w:r>
        <w:rPr/>
        <w:t>72.0655</w:t>
      </w:r>
      <w:r>
        <w:rPr>
          <w:rtl w:val="true"/>
        </w:rPr>
        <w:t xml:space="preserve"> </w:t>
      </w:r>
      <w:r>
        <w:rPr>
          <w:rtl w:val="true"/>
        </w:rPr>
        <w:t xml:space="preserve">גרם </w:t>
      </w:r>
      <w:r>
        <w:rPr>
          <w:rtl w:val="true"/>
        </w:rPr>
        <w:t xml:space="preserve">, </w:t>
      </w:r>
      <w:r>
        <w:rPr>
          <w:rtl w:val="true"/>
        </w:rPr>
        <w:t xml:space="preserve">וכן ב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/>
        <w:t>64</w:t>
      </w:r>
      <w:r>
        <w:rPr>
          <w:rtl w:val="true"/>
        </w:rPr>
        <w:t xml:space="preserve"> </w:t>
      </w:r>
      <w:r>
        <w:rPr>
          <w:rtl w:val="true"/>
        </w:rPr>
        <w:t xml:space="preserve">ריבועי נייר של סם מסוכן מסוג </w:t>
      </w:r>
      <w:r>
        <w:rPr/>
        <w:t>LSD</w:t>
      </w:r>
      <w:r>
        <w:rPr>
          <w:rtl w:val="true"/>
        </w:rPr>
        <w:t xml:space="preserve"> </w:t>
      </w:r>
      <w:r>
        <w:rPr>
          <w:rtl w:val="true"/>
        </w:rPr>
        <w:t>וכן ב</w:t>
      </w:r>
      <w:r>
        <w:rPr>
          <w:rtl w:val="true"/>
        </w:rPr>
        <w:t xml:space="preserve">- </w:t>
      </w:r>
      <w:r>
        <w:rPr/>
        <w:t>33</w:t>
      </w:r>
      <w:r>
        <w:rPr>
          <w:rtl w:val="true"/>
        </w:rPr>
        <w:t xml:space="preserve"> </w:t>
      </w:r>
      <w:r>
        <w:rPr>
          <w:rtl w:val="true"/>
        </w:rPr>
        <w:t xml:space="preserve">טבליות של סם מסוכן מסוג </w:t>
      </w:r>
      <w:r>
        <w:rPr/>
        <w:t>MDMA</w:t>
      </w:r>
      <w:r>
        <w:rPr>
          <w:rtl w:val="true"/>
        </w:rPr>
        <w:t xml:space="preserve"> </w:t>
      </w:r>
      <w:r>
        <w:rPr>
          <w:rtl w:val="true"/>
        </w:rPr>
        <w:t>שהינה כמות מסחרית שאיננה לצריכה עצמית בלבד</w:t>
      </w:r>
      <w:r>
        <w:rPr>
          <w:rtl w:val="true"/>
        </w:rPr>
        <w:t xml:space="preserve">. </w:t>
      </w:r>
      <w:r>
        <w:rPr>
          <w:rtl w:val="true"/>
        </w:rPr>
        <w:t>ובנסיבות אלה גם סיפק חשיש לשני אנשים שהשתמשו בחשיש בדירת מגוריו בקרית אתא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על כך יוחסו לו העבירות של הספקת סם מסוכן שלא לצריכה עצמית לפי סעיף </w:t>
      </w:r>
      <w:r>
        <w:rPr/>
        <w:t>7</w:t>
      </w:r>
      <w:r>
        <w:rPr>
          <w:rtl w:val="true"/>
        </w:rPr>
        <w:t xml:space="preserve"> (</w:t>
      </w:r>
      <w:r>
        <w:rPr>
          <w:rtl w:val="true"/>
        </w:rPr>
        <w:t>א</w:t>
      </w:r>
      <w:r>
        <w:rPr>
          <w:rtl w:val="true"/>
        </w:rPr>
        <w:t xml:space="preserve">) + </w:t>
      </w:r>
      <w:r>
        <w:rPr/>
        <w:t>7</w:t>
      </w:r>
      <w:r>
        <w:rPr>
          <w:rtl w:val="true"/>
        </w:rPr>
        <w:t xml:space="preserve"> (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רישא ל</w:t>
      </w:r>
      <w:hyperlink r:id="rId2">
        <w:r>
          <w:rPr>
            <w:rStyle w:val="Hyperlink"/>
            <w:color w:val="0000FF"/>
            <w:u w:val="single"/>
            <w:rtl w:val="true"/>
          </w:rPr>
          <w:t>פקודת הסמים המסוכנים</w:t>
        </w:r>
      </w:hyperlink>
      <w:r>
        <w:rPr>
          <w:rtl w:val="true"/>
        </w:rPr>
        <w:t xml:space="preserve"> וכן הספקת סמים מסוכנים עבירה לפי סעיף 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>לפקודת הסמים המסוכנים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לאחר הודייה במיוחס לו הורשע המערער ביום </w:t>
      </w:r>
      <w:r>
        <w:rPr/>
        <w:t>28.4.08</w:t>
      </w:r>
      <w:r>
        <w:rPr>
          <w:rtl w:val="true"/>
        </w:rPr>
        <w:t xml:space="preserve"> </w:t>
      </w:r>
      <w:r>
        <w:rPr>
          <w:rtl w:val="true"/>
        </w:rPr>
        <w:t xml:space="preserve">במיוחס לו ולאחר שעמדו בפני הערכאה הראשונה תסקירים ונשמעו הטיעונים לעונש ניתן גזר הדין ביום </w:t>
      </w:r>
      <w:r>
        <w:rPr/>
        <w:t>15.3.09</w:t>
      </w:r>
      <w:r>
        <w:rPr>
          <w:rtl w:val="true"/>
        </w:rPr>
        <w:t xml:space="preserve"> </w:t>
      </w:r>
      <w:r>
        <w:rPr>
          <w:rtl w:val="true"/>
        </w:rPr>
        <w:t>על ידי כב</w:t>
      </w:r>
      <w:r>
        <w:rPr>
          <w:rtl w:val="true"/>
        </w:rPr>
        <w:t xml:space="preserve">' </w:t>
      </w:r>
      <w:r>
        <w:rPr>
          <w:rtl w:val="true"/>
        </w:rPr>
        <w:t>השופטת קנטור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גזר הדין מפורט ומנומק כהלכה תוך התייחסות אל האמור בתסקירים ולבסוף הוטלו על המערער עונשים אלה </w:t>
      </w:r>
      <w:r>
        <w:rPr>
          <w:rtl w:val="true"/>
        </w:rPr>
        <w:t xml:space="preserve">: </w:t>
      </w:r>
      <w:r>
        <w:rPr>
          <w:rtl w:val="true"/>
        </w:rPr>
        <w:t xml:space="preserve">מאסר של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חודשים לרצותם בעבודת שירות </w:t>
      </w:r>
      <w:r>
        <w:rPr>
          <w:rtl w:val="true"/>
        </w:rPr>
        <w:t xml:space="preserve">, </w:t>
      </w:r>
      <w:r>
        <w:rPr>
          <w:rtl w:val="true"/>
        </w:rPr>
        <w:t xml:space="preserve">מאסר על תנאי של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 xml:space="preserve">חודשים למשך שלוש שנים אם יעבור עבירה מסוג פשע על </w:t>
      </w:r>
      <w:hyperlink r:id="rId3">
        <w:r>
          <w:rPr>
            <w:rStyle w:val="Hyperlink"/>
            <w:color w:val="0000FF"/>
            <w:u w:val="single"/>
            <w:rtl w:val="true"/>
          </w:rPr>
          <w:t>פקודת הסמים המסוכנים</w:t>
        </w:r>
      </w:hyperlink>
      <w:r>
        <w:rPr>
          <w:rtl w:val="true"/>
        </w:rPr>
        <w:t xml:space="preserve"> וכן מאסר על תנאי לתקופה של שלושה חודשים למשך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 אם יעבור עבירת עוון על הפקודה האמורה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ניתן לגביו צו מבחן במשך שנה להמשיך בתהליך הטיפולי תחת הנחיית שירות המבחן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המערער מלין על חומרת העונש בגזר הדין אך סבורים אנו שאין כל ממש  בערעור ויש לדחותו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הענישה כפי שהוטלה בערכאה הראשונה אינה הולמת כלל ועיקר את החומרה שבעבירות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הכמויות וארגון החומר לצורך הספקה מדברים בעד עצמם</w:t>
      </w:r>
      <w:r>
        <w:rPr>
          <w:rtl w:val="true"/>
        </w:rPr>
        <w:t xml:space="preserve">, </w:t>
      </w:r>
      <w:r>
        <w:rPr>
          <w:rtl w:val="true"/>
        </w:rPr>
        <w:t xml:space="preserve">ולכאורה צריך היה להטיל על המשיב מאסר לתקופה ממושכת שאינה נמדדת בחודשים ובמיוחד כזו שאין לרצותה בעבודות שירות 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ההקלה הוסברה בשיפור שהביא הטיפול במערער וכפי שציינה הערכאה הראשונה היא לקחה בחשבון את חלוף הזמן</w:t>
      </w:r>
      <w:r>
        <w:rPr>
          <w:rtl w:val="true"/>
        </w:rPr>
        <w:t xml:space="preserve">, </w:t>
      </w:r>
      <w:r>
        <w:rPr>
          <w:rtl w:val="true"/>
        </w:rPr>
        <w:t>סוג הסם</w:t>
      </w:r>
      <w:r>
        <w:rPr>
          <w:rtl w:val="true"/>
        </w:rPr>
        <w:t xml:space="preserve">, </w:t>
      </w:r>
      <w:r>
        <w:rPr>
          <w:rtl w:val="true"/>
        </w:rPr>
        <w:t>אופן ההספקה</w:t>
      </w:r>
      <w:r>
        <w:rPr>
          <w:rtl w:val="true"/>
        </w:rPr>
        <w:t xml:space="preserve">, </w:t>
      </w:r>
      <w:r>
        <w:rPr>
          <w:rtl w:val="true"/>
        </w:rPr>
        <w:t>התרשמות שירות המבחן  ואת עברו הנקי של המערער ואת האמור בחוות הדעת של הממונה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לא הלכה כב</w:t>
      </w:r>
      <w:r>
        <w:rPr>
          <w:rtl w:val="true"/>
        </w:rPr>
        <w:t xml:space="preserve">' </w:t>
      </w:r>
      <w:r>
        <w:rPr>
          <w:rtl w:val="true"/>
        </w:rPr>
        <w:t>השופטת קנטור בנתיב השיגרתי המתחייב מחומרת העבירות והקלה עד מאד עם המערער</w:t>
      </w:r>
      <w:r>
        <w:rPr>
          <w:rtl w:val="true"/>
        </w:rPr>
        <w:t xml:space="preserve">, </w:t>
      </w:r>
      <w:r>
        <w:rPr>
          <w:rtl w:val="true"/>
        </w:rPr>
        <w:t>כפי שעולה בבירור בהתייחס לעונשים שהטילה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הסניגור שב וביקש מאיתנו להקל עוד עם המערער אך אין כל הצדקה לעשות זאת</w:t>
      </w:r>
      <w:r>
        <w:rPr>
          <w:rtl w:val="true"/>
        </w:rPr>
        <w:t xml:space="preserve">. </w:t>
      </w:r>
      <w:r>
        <w:rPr>
          <w:rtl w:val="true"/>
        </w:rPr>
        <w:t>אף אם חלו בינתיים התפתחויות לטובה מבחינת המערער בכך שנולד לו בן והוא עובד במקום עבודה קבוע</w:t>
      </w:r>
      <w:r>
        <w:rPr>
          <w:rtl w:val="true"/>
        </w:rPr>
        <w:t xml:space="preserve">, </w:t>
      </w:r>
      <w:r>
        <w:rPr>
          <w:rtl w:val="true"/>
        </w:rPr>
        <w:t>הקלה נוספת בענישה שהוטלה תחטיא את המטרה ומאחר ואופשר לו לבצע את המאסר בעבודות שירות</w:t>
      </w:r>
      <w:r>
        <w:rPr>
          <w:rtl w:val="true"/>
        </w:rPr>
        <w:t xml:space="preserve">, </w:t>
      </w:r>
      <w:r>
        <w:rPr>
          <w:rtl w:val="true"/>
        </w:rPr>
        <w:t>יש לקוות שהממונה יוכל להתוות בקשר לכך הקלות נדרשות</w:t>
      </w:r>
      <w:r>
        <w:rPr>
          <w:rtl w:val="true"/>
        </w:rPr>
        <w:t xml:space="preserve">, </w:t>
      </w:r>
      <w:r>
        <w:rPr>
          <w:rtl w:val="true"/>
        </w:rPr>
        <w:t>אם הדבר אך אפשרי</w:t>
      </w:r>
      <w:r>
        <w:rPr>
          <w:rtl w:val="true"/>
        </w:rPr>
        <w:t xml:space="preserve">, </w:t>
      </w:r>
      <w:r>
        <w:rPr>
          <w:rtl w:val="true"/>
        </w:rPr>
        <w:t>כדי לא לפגוע במערער מבחינת מקום עבודתו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סופו של דבר הענישה מקלה מאד עם המערער</w:t>
      </w:r>
      <w:r>
        <w:rPr>
          <w:rtl w:val="true"/>
        </w:rPr>
        <w:t xml:space="preserve">. </w:t>
      </w:r>
      <w:r>
        <w:rPr>
          <w:rtl w:val="true"/>
        </w:rPr>
        <w:t>לא נפלה כל שגיאה בשיקול הדעת או בהליך או בגזר הדין של הערכאה הראשונה ואנו דוחים את הערעור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לצורך ריצוי עבודות השירות יתייצב המערער במקום שנקבע בגזר הדין</w:t>
      </w:r>
      <w:r>
        <w:rPr>
          <w:rtl w:val="true"/>
        </w:rPr>
        <w:t xml:space="preserve">, </w:t>
      </w:r>
      <w:r>
        <w:rPr>
          <w:b/>
          <w:b/>
          <w:bCs/>
          <w:u w:val="single"/>
          <w:rtl w:val="true"/>
        </w:rPr>
        <w:t xml:space="preserve">ביום </w:t>
      </w:r>
      <w:r>
        <w:rPr>
          <w:b/>
          <w:bCs/>
          <w:u w:val="single"/>
        </w:rPr>
        <w:t>2.8.09</w:t>
      </w:r>
      <w:r>
        <w:rPr>
          <w:b/>
          <w:bCs/>
          <w:u w:val="single"/>
          <w:rtl w:val="true"/>
        </w:rPr>
        <w:t xml:space="preserve">   </w:t>
      </w:r>
      <w:r>
        <w:rPr>
          <w:b/>
          <w:b/>
          <w:bCs/>
          <w:u w:val="single"/>
          <w:rtl w:val="true"/>
        </w:rPr>
        <w:t xml:space="preserve">בשעה </w:t>
      </w:r>
      <w:r>
        <w:rPr>
          <w:b/>
          <w:bCs/>
          <w:u w:val="single"/>
        </w:rPr>
        <w:t>08:00</w:t>
      </w:r>
      <w:r>
        <w:rPr>
          <w:b/>
          <w:bCs/>
          <w:u w:val="single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 xml:space="preserve">למזכירות </w:t>
      </w:r>
      <w:r>
        <w:rPr>
          <w:b/>
          <w:bCs/>
          <w:u w:val="single"/>
          <w:rtl w:val="true"/>
        </w:rPr>
        <w:t xml:space="preserve">: </w:t>
      </w:r>
      <w:r>
        <w:rPr>
          <w:b/>
          <w:b/>
          <w:bCs/>
          <w:u w:val="single"/>
          <w:rtl w:val="true"/>
        </w:rPr>
        <w:t>יש להמציא בדחיפות העתק פסק הדין לממונה על עבודות שירות</w:t>
      </w:r>
      <w:r>
        <w:rPr>
          <w:b/>
          <w:bCs/>
          <w:u w:val="single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#4#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both"/>
        <w:rPr/>
      </w:pPr>
      <w:r>
        <w:rPr>
          <w:b/>
          <w:b/>
          <w:bCs/>
          <w:sz w:val="28"/>
          <w:sz w:val="28"/>
          <w:szCs w:val="28"/>
          <w:rtl w:val="true"/>
        </w:rPr>
        <w:t>ניתן והודע היום י</w:t>
      </w:r>
      <w:r>
        <w:rPr>
          <w:b/>
          <w:bCs/>
          <w:sz w:val="28"/>
          <w:szCs w:val="28"/>
          <w:rtl w:val="true"/>
        </w:rPr>
        <w:t xml:space="preserve">' </w:t>
      </w:r>
      <w:r>
        <w:rPr>
          <w:b/>
          <w:b/>
          <w:bCs/>
          <w:sz w:val="28"/>
          <w:sz w:val="28"/>
          <w:szCs w:val="28"/>
          <w:rtl w:val="true"/>
        </w:rPr>
        <w:t>תמוז תשס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ט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02/07/2009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 הנוכחים</w:t>
      </w:r>
      <w:r>
        <w:rPr>
          <w:b/>
          <w:bCs/>
          <w:sz w:val="28"/>
          <w:szCs w:val="28"/>
          <w:rtl w:val="true"/>
        </w:rPr>
        <w:t xml:space="preserve">.  </w:t>
      </w:r>
      <w:r>
        <w:rPr>
          <w:rtl w:val="true"/>
        </w:rPr>
        <w:t xml:space="preserve"> </w:t>
      </w:r>
    </w:p>
    <w:p>
      <w:pPr>
        <w:pStyle w:val="Normal"/>
        <w:ind w:end="0"/>
        <w:jc w:val="both"/>
        <w:rPr/>
      </w:pPr>
      <w:r>
        <w:rPr>
          <w:rtl w:val="true"/>
        </w:rPr>
        <w:t xml:space="preserve"> </w:t>
      </w:r>
    </w:p>
    <w:tbl>
      <w:tblPr>
        <w:bidiVisual w:val="true"/>
        <w:tblW w:w="10260" w:type="dxa"/>
        <w:jc w:val="start"/>
        <w:tblInd w:w="-10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vanish/>
                <w:highlight w:val="yellow"/>
                <w:rtl w:val="true"/>
              </w:rPr>
              <w:t>&lt;&gt;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vanish/>
                <w:highlight w:val="yellow"/>
                <w:rtl w:val="true"/>
              </w:rPr>
              <w:t>&lt;&gt;</w:t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vanish/>
                <w:highlight w:val="yellow"/>
                <w:rtl w:val="true"/>
              </w:rPr>
              <w:t>&lt;&gt;</w:t>
            </w:r>
          </w:p>
        </w:tc>
      </w:tr>
      <w:tr>
        <w:trPr/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rFonts w:cs="FrankRuehl"/>
                <w:rtl w:val="true"/>
              </w:rPr>
              <w:t>שמואל</w:t>
            </w:r>
            <w:r>
              <w:rPr>
                <w:vanish/>
                <w:highlight w:val="yellow"/>
                <w:rtl w:val="true"/>
              </w:rPr>
              <w:t>&gt;</w:t>
            </w:r>
            <w:r>
              <w:rPr>
                <w:rFonts w:cs="FrankRuehl"/>
                <w:rtl w:val="true"/>
              </w:rPr>
              <w:t xml:space="preserve">  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rFonts w:cs="FrankRuehl"/>
                <w:rtl w:val="true"/>
              </w:rPr>
              <w:t>ברלינר</w:t>
            </w:r>
            <w:r>
              <w:rPr>
                <w:rtl w:val="true"/>
              </w:rPr>
              <w:t xml:space="preserve"> </w:t>
            </w:r>
            <w:r>
              <w:rPr>
                <w:vanish/>
                <w:highlight w:val="yellow"/>
                <w:rtl w:val="true"/>
              </w:rPr>
              <w:t>&gt;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rFonts w:cs="FrankRuehl"/>
                <w:rtl w:val="true"/>
              </w:rPr>
              <w:t>סגן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נשיא</w:t>
            </w:r>
            <w:r>
              <w:rPr>
                <w:vanish/>
                <w:highlight w:val="yellow"/>
                <w:rtl w:val="true"/>
              </w:rPr>
              <w:t>&gt;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rFonts w:cs="FrankRuehl"/>
                <w:rtl w:val="true"/>
              </w:rPr>
              <w:t>יגאל</w:t>
            </w:r>
            <w:r>
              <w:rPr>
                <w:vanish/>
                <w:highlight w:val="yellow"/>
                <w:rtl w:val="true"/>
              </w:rPr>
              <w:t>&gt;</w:t>
            </w:r>
            <w:r>
              <w:rPr>
                <w:rFonts w:cs="FrankRuehl"/>
                <w:rtl w:val="true"/>
              </w:rPr>
              <w:t xml:space="preserve"> 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rFonts w:cs="FrankRuehl"/>
                <w:rtl w:val="true"/>
              </w:rPr>
              <w:t>גריל</w:t>
            </w:r>
            <w:r>
              <w:rPr>
                <w:rtl w:val="true"/>
              </w:rPr>
              <w:t xml:space="preserve"> </w:t>
            </w:r>
            <w:r>
              <w:rPr>
                <w:vanish/>
                <w:highlight w:val="yellow"/>
                <w:rtl w:val="true"/>
              </w:rPr>
              <w:t>&gt;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rFonts w:cs="FrankRuehl"/>
                <w:rtl w:val="true"/>
              </w:rPr>
              <w:t>סגן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נשיא</w:t>
            </w:r>
            <w:r>
              <w:rPr>
                <w:vanish/>
                <w:highlight w:val="yellow"/>
                <w:rtl w:val="true"/>
              </w:rPr>
              <w:t>&gt;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rFonts w:cs="FrankRuehl"/>
                <w:rtl w:val="true"/>
              </w:rPr>
              <w:t>ברכה</w:t>
            </w:r>
            <w:r>
              <w:rPr>
                <w:vanish/>
                <w:highlight w:val="yellow"/>
                <w:rtl w:val="true"/>
              </w:rPr>
              <w:t>&gt;</w:t>
            </w:r>
            <w:r>
              <w:rPr>
                <w:rFonts w:cs="FrankRuehl"/>
                <w:rtl w:val="true"/>
              </w:rPr>
              <w:t xml:space="preserve"> 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rFonts w:cs="FrankRuehl"/>
                <w:rtl w:val="true"/>
              </w:rPr>
              <w:t>בר</w:t>
            </w:r>
            <w:r>
              <w:rPr>
                <w:rFonts w:cs="FrankRuehl"/>
                <w:rtl w:val="true"/>
              </w:rPr>
              <w:t>-</w:t>
            </w:r>
            <w:r>
              <w:rPr>
                <w:rFonts w:cs="FrankRuehl"/>
                <w:rtl w:val="true"/>
              </w:rPr>
              <w:t>זיו</w:t>
            </w:r>
            <w:r>
              <w:rPr>
                <w:vanish/>
                <w:highlight w:val="yellow"/>
                <w:rtl w:val="true"/>
              </w:rPr>
              <w:t>&gt;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vanish/>
                <w:highlight w:val="yellow"/>
                <w:rtl w:val="true"/>
              </w:rPr>
              <w:t>&lt;</w:t>
            </w:r>
            <w:r>
              <w:rPr>
                <w:rFonts w:cs="FrankRuehl"/>
                <w:rtl w:val="true"/>
              </w:rPr>
              <w:t>שופטת</w:t>
            </w:r>
            <w:r>
              <w:rPr>
                <w:vanish/>
                <w:highlight w:val="yellow"/>
                <w:rtl w:val="true"/>
              </w:rPr>
              <w:t>&gt;</w:t>
            </w:r>
          </w:p>
        </w:tc>
      </w:tr>
      <w:tr>
        <w:trPr/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end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end"/>
              <w:rPr/>
            </w:pPr>
            <w:r>
              <w:rPr>
                <w:rtl w:val="true"/>
              </w:rPr>
            </w:r>
          </w:p>
        </w:tc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spacing w:lineRule="auto" w:line="360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center"/>
        <w:rPr/>
      </w:pPr>
      <w:r>
        <w:rPr>
          <w:color w:val="FFFFFF"/>
          <w:sz w:val="2"/>
          <w:szCs w:val="2"/>
        </w:rPr>
        <w:t>54678313</w:t>
      </w:r>
    </w:p>
    <w:p>
      <w:pPr>
        <w:pStyle w:val="Normal"/>
        <w:keepNext w:val="true"/>
        <w:spacing w:lineRule="auto" w:line="360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true"/>
        </w:rPr>
      </w:r>
    </w:p>
    <w:p>
      <w:pPr>
        <w:pStyle w:val="Normal"/>
        <w:keepNext w:val="true"/>
        <w:spacing w:lineRule="auto" w:line="360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>ש</w:t>
      </w:r>
      <w:r>
        <w:rPr>
          <w:color w:val="000000"/>
          <w:sz w:val="22"/>
          <w:szCs w:val="22"/>
          <w:rtl w:val="true"/>
        </w:rPr>
        <w:t xml:space="preserve">. </w:t>
      </w:r>
      <w:r>
        <w:rPr>
          <w:color w:val="000000"/>
          <w:sz w:val="22"/>
          <w:sz w:val="22"/>
          <w:szCs w:val="22"/>
          <w:rtl w:val="true"/>
        </w:rPr>
        <w:t xml:space="preserve">ברלינר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spacing w:lineRule="auto" w:line="360"/>
        <w:ind w:end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rFonts w:ascii="Arial" w:hAnsi="Arial" w:cs="FrankRuehl"/>
          <w:color w:val="000000"/>
          <w:sz w:val="28"/>
          <w:szCs w:val="28"/>
        </w:rPr>
      </w:pPr>
      <w:r>
        <w:rPr>
          <w:rFonts w:ascii="Arial" w:hAnsi="Arial" w:cs="FrankRuehl"/>
          <w:sz w:val="28"/>
          <w:sz w:val="28"/>
          <w:szCs w:val="28"/>
          <w:rtl w:val="true"/>
        </w:rPr>
        <w:t>הוקלד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על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ידי</w:t>
      </w:r>
      <w:r>
        <w:rPr>
          <w:rFonts w:cs="FrankRuehl" w:ascii="Arial" w:hAnsi="Arial"/>
          <w:sz w:val="28"/>
          <w:szCs w:val="28"/>
          <w:rtl w:val="true"/>
        </w:rPr>
        <w:t xml:space="preserve">: </w:t>
      </w:r>
      <w:r>
        <w:rPr>
          <w:vanish/>
          <w:highlight w:val="yellow"/>
          <w:rtl w:val="true"/>
        </w:rPr>
        <w:t>&lt;</w:t>
      </w:r>
      <w:r>
        <w:rPr>
          <w:rFonts w:ascii="Arial" w:hAnsi="Arial" w:cs="FrankRuehl"/>
          <w:sz w:val="28"/>
          <w:sz w:val="28"/>
          <w:szCs w:val="28"/>
          <w:rtl w:val="true"/>
        </w:rPr>
        <w:t>רונית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יולזרי</w:t>
      </w:r>
      <w:r>
        <w:rPr>
          <w:vanish/>
          <w:highlight w:val="yellow"/>
          <w:rtl w:val="true"/>
        </w:rPr>
        <w:t>&gt;</w:t>
      </w:r>
    </w:p>
    <w:p>
      <w:pPr>
        <w:pStyle w:val="Normal"/>
        <w:ind w:end="0"/>
        <w:jc w:val="start"/>
        <w:rPr>
          <w:rFonts w:cs="FrankRuehl"/>
          <w:color w:val="000000"/>
          <w:sz w:val="28"/>
          <w:szCs w:val="28"/>
        </w:rPr>
      </w:pPr>
      <w:r>
        <w:rPr>
          <w:rFonts w:cs="FrankRuehl"/>
          <w:color w:val="000000"/>
          <w:sz w:val="28"/>
          <w:sz w:val="28"/>
          <w:szCs w:val="28"/>
          <w:rtl w:val="true"/>
        </w:rPr>
        <w:t>נוסח</w:t>
      </w:r>
      <w:r>
        <w:rPr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 w:val="28"/>
          <w:szCs w:val="28"/>
          <w:rtl w:val="true"/>
        </w:rPr>
        <w:t>מסמך</w:t>
      </w:r>
      <w:r>
        <w:rPr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 w:val="28"/>
          <w:szCs w:val="28"/>
          <w:rtl w:val="true"/>
        </w:rPr>
        <w:t>זה</w:t>
      </w:r>
      <w:r>
        <w:rPr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 w:val="28"/>
          <w:szCs w:val="28"/>
          <w:rtl w:val="true"/>
        </w:rPr>
        <w:t>כפוף</w:t>
      </w:r>
      <w:r>
        <w:rPr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 w:val="28"/>
          <w:szCs w:val="28"/>
          <w:rtl w:val="true"/>
        </w:rPr>
        <w:t>לשינויי</w:t>
      </w:r>
      <w:r>
        <w:rPr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 w:val="28"/>
          <w:szCs w:val="28"/>
          <w:rtl w:val="true"/>
        </w:rPr>
        <w:t>ניסוח</w:t>
      </w:r>
      <w:r>
        <w:rPr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 w:val="28"/>
          <w:szCs w:val="28"/>
          <w:rtl w:val="true"/>
        </w:rPr>
        <w:t>ועריכה</w:t>
      </w:r>
    </w:p>
    <w:p>
      <w:pPr>
        <w:pStyle w:val="Normal"/>
        <w:ind w:end="0"/>
        <w:jc w:val="start"/>
        <w:rPr>
          <w:rFonts w:cs="FrankRuehl"/>
          <w:color w:val="000000"/>
          <w:sz w:val="28"/>
          <w:szCs w:val="28"/>
        </w:rPr>
      </w:pPr>
      <w:r>
        <w:rPr>
          <w:rFonts w:cs="FrankRuehl"/>
          <w:color w:val="000000"/>
          <w:sz w:val="28"/>
          <w:szCs w:val="28"/>
          <w:rtl w:val="true"/>
        </w:rPr>
      </w:r>
    </w:p>
    <w:p>
      <w:pPr>
        <w:pStyle w:val="Normal"/>
        <w:ind w:end="0"/>
        <w:jc w:val="center"/>
        <w:rPr>
          <w:color w:val="0000FF"/>
          <w:sz w:val="28"/>
          <w:u w:val="single"/>
        </w:rPr>
      </w:pPr>
      <w:hyperlink r:id="rId4">
        <w:r>
          <w:rPr>
            <w:rStyle w:val="Hyperlink"/>
            <w:rtl w:val="true"/>
          </w:rPr>
          <w:t>הודעה למנויים על עריכה ושינויים במסמכי פסיקה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 xml:space="preserve">חקיקה ועוד באתר נבו </w:t>
        </w:r>
        <w:r>
          <w:rPr>
            <w:rStyle w:val="Hyperlink"/>
            <w:rtl w:val="true"/>
          </w:rPr>
          <w:t xml:space="preserve">- </w:t>
        </w:r>
        <w:r>
          <w:rPr>
            <w:rStyle w:val="Hyperlink"/>
            <w:rtl w:val="true"/>
          </w:rPr>
          <w:t>הקש כאן</w:t>
        </w:r>
      </w:hyperlink>
    </w:p>
    <w:p>
      <w:pPr>
        <w:pStyle w:val="Normal"/>
        <w:ind w:end="0"/>
        <w:jc w:val="center"/>
        <w:rPr>
          <w:color w:val="0000FF"/>
          <w:sz w:val="28"/>
          <w:u w:val="single"/>
        </w:rPr>
      </w:pPr>
      <w:r>
        <w:rPr>
          <w:color w:val="0000FF"/>
          <w:sz w:val="28"/>
          <w:u w:val="single"/>
          <w:rtl w:val="true"/>
        </w:rPr>
      </w:r>
    </w:p>
    <w:sectPr>
      <w:headerReference w:type="default" r:id="rId5"/>
      <w:footerReference w:type="default" r:id="rId6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4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>נבו הוצאה לאור בע</w:t>
    </w:r>
    <w:r>
      <w:rPr>
        <w:rFonts w:cs="Times New Roman" w:ascii="Times New Roman" w:hAnsi="Times New Roman"/>
        <w:color w:val="000000"/>
        <w:sz w:val="28"/>
        <w:szCs w:val="22"/>
        <w:rtl w:val="true"/>
      </w:rPr>
      <w:t>"</w:t>
    </w: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 xml:space="preserve">מ  </w:t>
    </w:r>
    <w:r>
      <w:rPr>
        <w:rFonts w:cs="Times New Roman" w:ascii="Times New Roman" w:hAnsi="Times New Roman"/>
        <w:color w:val="000000"/>
        <w:sz w:val="28"/>
        <w:szCs w:val="22"/>
      </w:rPr>
      <w:t>nevo.co.il</w:t>
    </w:r>
    <w:r>
      <w:rPr>
        <w:rFonts w:cs="Times New Roman" w:ascii="Times New Roman" w:hAnsi="Times New Roman"/>
        <w:color w:val="000000"/>
        <w:sz w:val="28"/>
        <w:szCs w:val="22"/>
        <w:rtl w:val="true"/>
      </w:rPr>
      <w:t xml:space="preserve">   </w:t>
    </w: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>המאגר המשפטי 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ascii="Times New Roman" w:hAnsi="Times New Roman" w:cs="Times New Roman"/>
        <w:color w:val="000000"/>
        <w:sz w:val="14"/>
        <w:szCs w:val="14"/>
      </w:rPr>
    </w:pPr>
    <w:r>
      <w:rPr>
        <w:rFonts w:cs="Times New Roman" w:ascii="Times New Roman" w:hAnsi="Times New Roman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imes New Roman" w:ascii="Times New Roman" w:hAnsi="Times New Roman"/>
        <w:color w:val="000000"/>
      </w:rPr>
      <w:instrText xml:space="preserve"> FILENAME \p </w:instrText>
    </w:r>
    <w:r>
      <w:rPr>
        <w:rtl w:val="true"/>
        <w:sz w:val="14"/>
        <w:szCs w:val="14"/>
        <w:rFonts w:cs="Times New Roman" w:ascii="Times New Roman" w:hAnsi="Times New Roman"/>
        <w:color w:val="000000"/>
      </w:rPr>
      <w:fldChar w:fldCharType="separate"/>
    </w:r>
    <w:r>
      <w:rPr>
        <w:rtl w:val="true"/>
        <w:sz w:val="14"/>
        <w:szCs w:val="14"/>
        <w:rFonts w:cs="Times New Roman" w:ascii="Times New Roman" w:hAnsi="Times New Roman"/>
        <w:color w:val="000000"/>
      </w:rPr>
      <w:t>/Users/liorb/Library/CloudStorage/OneDrive-post.bgu.ac.il/Thesis!!!/new_try/innovation_submission/downloaded_verdicts/ME-09-04-4986-722.doc</w:t>
    </w:r>
    <w:r>
      <w:rPr>
        <w:rtl w:val="true"/>
        <w:sz w:val="14"/>
        <w:szCs w:val="14"/>
        <w:rFonts w:cs="Times New Roman" w:ascii="Times New Roman" w:hAnsi="Times New Roman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חי</w:t>
    </w:r>
    <w:r>
      <w:rPr>
        <w:color w:val="000000"/>
        <w:sz w:val="22"/>
        <w:szCs w:val="22"/>
        <w:rtl w:val="true"/>
      </w:rPr>
      <w:t xml:space="preserve">') </w:t>
    </w:r>
    <w:r>
      <w:rPr>
        <w:color w:val="000000"/>
        <w:sz w:val="22"/>
        <w:szCs w:val="22"/>
      </w:rPr>
      <w:t>4986-04-09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ארז מלכה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CaseDisplayIdentifier" w:val="4986-04-09"/>
    <w:docVar w:name="caseId" w:val="12193381"/>
    <w:docVar w:name="deriveClass" w:val="NGCS.Protocol.BL.Client.ProtocolBLClientCriminal"/>
    <w:docVar w:name="firstPageNumber" w:val="1"/>
    <w:docVar w:name="MyInfo" w:val="This document was extracted from Nevo's site"/>
    <w:docVar w:name="NGCS.caseInterestID" w:val="-1"/>
    <w:docVar w:name="NGCS.caseTypeID" w:val="-1"/>
    <w:docVar w:name="NGCS.courtID" w:val="13"/>
    <w:docVar w:name="NGCS.isReservedAddressPlace" w:val="0"/>
    <w:docVar w:name="NGCS.isReservedVoucherPlace" w:val="0"/>
    <w:docVar w:name="NGCS.proceedingID" w:val="-1"/>
    <w:docVar w:name="NGCS.TemplateCategoryID" w:val="14"/>
    <w:docVar w:name="NGCS.userUPN" w:val="001680792@GOV.IL"/>
    <w:docVar w:name="privellegeId" w:val="1"/>
    <w:docVar w:name="protocolId" w:val="387832"/>
    <w:docVar w:name="releaseSign" w:val="0"/>
    <w:docVar w:name="sittingDateTime" w:val="02/07/2009 11:10     "/>
    <w:docVar w:name="sittingId" w:val="12473216"/>
    <w:docVar w:name="sittingTypeId" w:val="2"/>
    <w:docVar w:name="WordClientAssemblyName" w:val="NGCS.Protocol.BL.Client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character" w:styleId="WW8Num5z0">
    <w:name w:val="WW8Num5z0"/>
    <w:qFormat/>
    <w:rPr/>
  </w:style>
  <w:style w:type="character" w:styleId="WW8Num7z0">
    <w:name w:val="WW8Num7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Style11">
    <w:name w:val="גופן ברירת המחדל של פיסקה"/>
    <w:qFormat/>
    <w:rPr/>
  </w:style>
  <w:style w:type="character" w:styleId="Style12">
    <w:name w:val="הפנייה להערה"/>
    <w:basedOn w:val="Style11"/>
    <w:qFormat/>
    <w:rPr>
      <w:sz w:val="16"/>
      <w:szCs w:val="16"/>
    </w:rPr>
  </w:style>
  <w:style w:type="character" w:styleId="PageNumber">
    <w:name w:val="page number"/>
    <w:basedOn w:val="Style11"/>
    <w:rPr/>
  </w:style>
  <w:style w:type="character" w:styleId="LineNumber">
    <w:name w:val="line number"/>
    <w:basedOn w:val="Style11"/>
    <w:rPr>
      <w:rFonts w:cs="Arial"/>
      <w:szCs w:val="20"/>
    </w:rPr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basedOn w:val="Style11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tyle13">
    <w:name w:val="טקסט הערה"/>
    <w:basedOn w:val="Normal"/>
    <w:qFormat/>
    <w:pPr/>
    <w:rPr>
      <w:rFonts w:ascii="Times New Roman" w:hAnsi="Times New Roman" w:eastAsia="Times New Roman" w:cs="Times New Roman"/>
      <w:sz w:val="20"/>
      <w:szCs w:val="20"/>
    </w:rPr>
  </w:style>
  <w:style w:type="paragraph" w:styleId="Style14">
    <w:name w:val="טקסט בלונים"/>
    <w:basedOn w:val="Normal"/>
    <w:qFormat/>
    <w:pPr/>
    <w:rPr>
      <w:rFonts w:ascii="Tahoma" w:hAnsi="Tahoma" w:cs="Tahoma"/>
      <w:sz w:val="16"/>
      <w:szCs w:val="16"/>
    </w:rPr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_html/law01/P170_001.htm" TargetMode="External"/><Relationship Id="rId3" Type="http://schemas.openxmlformats.org/officeDocument/2006/relationships/hyperlink" Target="http://www.nevo.co.il/law_html/law01/P170_001.htm" TargetMode="External"/><Relationship Id="rId4" Type="http://schemas.openxmlformats.org/officeDocument/2006/relationships/hyperlink" Target="http://www.nevo.co.il/advertisements/nevo-100.doc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2009-07-03T00:27:00Z</dcterms:created>
  <dc:creator> </dc:creator>
  <dc:description/>
  <cp:keywords/>
  <dc:language>en-IL</dc:language>
  <cp:lastModifiedBy>hofit</cp:lastModifiedBy>
  <cp:lastPrinted>2009-07-02T16:09:00Z</cp:lastPrinted>
  <dcterms:modified xsi:type="dcterms:W3CDTF">2009-07-05T07:39:00Z</dcterms:modified>
  <cp:revision>3</cp:revision>
  <dc:subject> </dc:subject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ארז מלכה</vt:lpwstr>
  </property>
  <property fmtid="{D5CDD505-2E9C-101B-9397-08002B2CF9AE}" pid="3" name="APPELLEE">
    <vt:lpwstr>מדינת ישראל</vt:lpwstr>
  </property>
  <property fmtid="{D5CDD505-2E9C-101B-9397-08002B2CF9AE}" pid="4" name="CITY">
    <vt:lpwstr>חי'</vt:lpwstr>
  </property>
  <property fmtid="{D5CDD505-2E9C-101B-9397-08002B2CF9AE}" pid="5" name="DATE">
    <vt:lpwstr>20090702</vt:lpwstr>
  </property>
  <property fmtid="{D5CDD505-2E9C-101B-9397-08002B2CF9AE}" pid="6" name="DELEMATA">
    <vt:lpwstr/>
  </property>
  <property fmtid="{D5CDD505-2E9C-101B-9397-08002B2CF9AE}" pid="7" name="JUDGE">
    <vt:lpwstr>ש. ברלינר;י. גריל;ב. בר זיו</vt:lpwstr>
  </property>
  <property fmtid="{D5CDD505-2E9C-101B-9397-08002B2CF9AE}" pid="8" name="LAWYER">
    <vt:lpwstr>גב' שטיין;אביטן</vt:lpwstr>
  </property>
  <property fmtid="{D5CDD505-2E9C-101B-9397-08002B2CF9AE}" pid="9" name="LINKK1">
    <vt:lpwstr/>
  </property>
  <property fmtid="{D5CDD505-2E9C-101B-9397-08002B2CF9AE}" pid="10" name="LINKK10">
    <vt:lpwstr/>
  </property>
  <property fmtid="{D5CDD505-2E9C-101B-9397-08002B2CF9AE}" pid="11" name="LINKK11">
    <vt:lpwstr/>
  </property>
  <property fmtid="{D5CDD505-2E9C-101B-9397-08002B2CF9AE}" pid="12" name="LINKK12">
    <vt:lpwstr/>
  </property>
  <property fmtid="{D5CDD505-2E9C-101B-9397-08002B2CF9AE}" pid="13" name="LINKK2">
    <vt:lpwstr/>
  </property>
  <property fmtid="{D5CDD505-2E9C-101B-9397-08002B2CF9AE}" pid="14" name="LINKK3">
    <vt:lpwstr/>
  </property>
  <property fmtid="{D5CDD505-2E9C-101B-9397-08002B2CF9AE}" pid="15" name="LINKK4">
    <vt:lpwstr/>
  </property>
  <property fmtid="{D5CDD505-2E9C-101B-9397-08002B2CF9AE}" pid="16" name="LINKK5">
    <vt:lpwstr/>
  </property>
  <property fmtid="{D5CDD505-2E9C-101B-9397-08002B2CF9AE}" pid="17" name="LINKK6">
    <vt:lpwstr/>
  </property>
  <property fmtid="{D5CDD505-2E9C-101B-9397-08002B2CF9AE}" pid="18" name="LINKK7">
    <vt:lpwstr/>
  </property>
  <property fmtid="{D5CDD505-2E9C-101B-9397-08002B2CF9AE}" pid="19" name="LINKK8">
    <vt:lpwstr/>
  </property>
  <property fmtid="{D5CDD505-2E9C-101B-9397-08002B2CF9AE}" pid="20" name="LINKK9">
    <vt:lpwstr/>
  </property>
  <property fmtid="{D5CDD505-2E9C-101B-9397-08002B2CF9AE}" pid="21" name="NEWPARTA">
    <vt:lpwstr>4986</vt:lpwstr>
  </property>
  <property fmtid="{D5CDD505-2E9C-101B-9397-08002B2CF9AE}" pid="22" name="NEWPARTB">
    <vt:lpwstr>04</vt:lpwstr>
  </property>
  <property fmtid="{D5CDD505-2E9C-101B-9397-08002B2CF9AE}" pid="23" name="NEWPARTC">
    <vt:lpwstr>09</vt:lpwstr>
  </property>
  <property fmtid="{D5CDD505-2E9C-101B-9397-08002B2CF9AE}" pid="24" name="NEWPROC">
    <vt:lpwstr>עפג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פסק-דין</vt:lpwstr>
  </property>
  <property fmtid="{D5CDD505-2E9C-101B-9397-08002B2CF9AE}" pid="32" name="TYPE">
    <vt:lpwstr>2</vt:lpwstr>
  </property>
  <property fmtid="{D5CDD505-2E9C-101B-9397-08002B2CF9AE}" pid="33" name="TYPE_ABS_DATE">
    <vt:lpwstr>390020090702</vt:lpwstr>
  </property>
  <property fmtid="{D5CDD505-2E9C-101B-9397-08002B2CF9AE}" pid="34" name="TYPE_N_DATE">
    <vt:lpwstr>39020090702</vt:lpwstr>
  </property>
  <property fmtid="{D5CDD505-2E9C-101B-9397-08002B2CF9AE}" pid="35" name="VOLUME">
    <vt:lpwstr/>
  </property>
  <property fmtid="{D5CDD505-2E9C-101B-9397-08002B2CF9AE}" pid="36" name="WORDNUMPAGES">
    <vt:lpwstr>3</vt:lpwstr>
  </property>
</Properties>
</file>