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51920-12-14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מוסקוביץ נ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מע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מ רמלה</w:t>
            </w:r>
            <w:r>
              <w:rPr>
                <w:b/>
                <w:bCs/>
                <w:rtl w:val="true"/>
              </w:rPr>
              <w:br/>
            </w:r>
            <w:r>
              <w:rPr>
                <w:b/>
                <w:b/>
                <w:bCs/>
                <w:rtl w:val="true"/>
              </w:rPr>
              <w:t>עפ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 xml:space="preserve">ג </w:t>
            </w:r>
            <w:r>
              <w:rPr>
                <w:b/>
                <w:bCs/>
              </w:rPr>
              <w:t>44209-12-14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לוי נ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מע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מ רמלה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15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מרץ </w:t>
            </w:r>
            <w:r>
              <w:rPr>
                <w:b/>
                <w:bCs/>
                <w:sz w:val="26"/>
                <w:szCs w:val="26"/>
              </w:rPr>
              <w:t>2015</w:t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5"/>
        <w:gridCol w:w="2790"/>
        <w:gridCol w:w="2634"/>
        <w:gridCol w:w="81"/>
      </w:tblGrid>
      <w:tr>
        <w:trPr>
          <w:trHeight w:val="337" w:hRule="atLeast"/>
        </w:trPr>
        <w:tc>
          <w:tcPr>
            <w:tcW w:w="6005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</w:t>
            </w:r>
            <w:r>
              <w:rPr>
                <w:rtl w:val="true"/>
              </w:rPr>
              <w:t xml:space="preserve"> מנחם פינקלשטיין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סג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t>כב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השופט ד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ר שמואל בורנשטין</w:t>
            </w:r>
            <w:r>
              <w:rPr>
                <w:rtl w:val="true"/>
              </w:rPr>
              <w:t xml:space="preserve">, </w:t>
              <w:br/>
            </w:r>
            <w:r>
              <w:rPr>
                <w:rtl w:val="true"/>
              </w:rPr>
              <w:t>כב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השופטת מיכל ברק נבו</w:t>
            </w:r>
            <w:r>
              <w:rPr>
                <w:rtl w:val="true"/>
              </w:rPr>
              <w:br/>
            </w:r>
          </w:p>
        </w:tc>
        <w:tc>
          <w:tcPr>
            <w:tcW w:w="2634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sz w:val="26"/>
                <w:sz w:val="26"/>
                <w:szCs w:val="26"/>
                <w:rtl w:val="true"/>
              </w:rPr>
              <w:t>מערערים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rtl w:val="true"/>
              </w:rPr>
              <w:t>.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אשר מוסקוביץ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2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עמרם לוי</w:t>
            </w:r>
          </w:p>
        </w:tc>
      </w:tr>
      <w:tr>
        <w:trPr/>
        <w:tc>
          <w:tcPr>
            <w:tcW w:w="8720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משיב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מע</w:t>
            </w:r>
            <w:r>
              <w:rPr>
                <w:rFonts w:eastAsia="Times New Roman" w:cs="Times New Roman" w:ascii="Times New Roman" w:hAnsi="Times New Roman"/>
                <w:rtl w:val="true"/>
              </w:rPr>
              <w:t>"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 רמלה</w:t>
            </w:r>
          </w:p>
        </w:tc>
      </w:tr>
    </w:tbl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המערער </w:t>
      </w:r>
      <w:r>
        <w:rPr>
          <w:b w:val="false"/>
          <w:bCs w:val="false"/>
          <w:u w:val="none"/>
        </w:rPr>
        <w:t>1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עדי ארליך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כ המערער </w:t>
      </w:r>
      <w:r>
        <w:rPr>
          <w:b w:val="false"/>
          <w:bCs w:val="false"/>
          <w:u w:val="none"/>
        </w:rPr>
        <w:t>2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ד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ר ניצה אורצקי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המשיב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מירב יולי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  <w:bookmarkStart w:id="3" w:name="LawTable"/>
      <w:bookmarkEnd w:id="3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מס ערך מוסף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ו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1975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117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 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 (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6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119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4" w:name="PsakDin"/>
      <w:bookmarkStart w:id="5" w:name="LawTable_End"/>
      <w:bookmarkEnd w:id="4"/>
      <w:bookmarkEnd w:id="5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החלטה</w:t>
      </w:r>
    </w:p>
    <w:p>
      <w:pPr>
        <w:pStyle w:val="Normal"/>
        <w:spacing w:lineRule="auto" w:line="360"/>
        <w:ind w:end="0"/>
        <w:jc w:val="both"/>
        <w:rPr/>
      </w:pPr>
      <w:bookmarkStart w:id="6" w:name="PsakDin"/>
      <w:bookmarkEnd w:id="6"/>
      <w:r>
        <w:rPr>
          <w:rtl w:val="true"/>
        </w:rPr>
        <w:t>הדיון בשני הערעורים יהיה</w:t>
      </w:r>
      <w:r>
        <w:rPr>
          <w:rtl w:val="true"/>
        </w:rPr>
        <w:t xml:space="preserve">, </w:t>
      </w:r>
      <w:r>
        <w:rPr>
          <w:rtl w:val="true"/>
        </w:rPr>
        <w:t>כמוסכם</w:t>
      </w:r>
      <w:r>
        <w:rPr>
          <w:rtl w:val="true"/>
        </w:rPr>
        <w:t xml:space="preserve">, </w:t>
      </w:r>
      <w:r>
        <w:rPr>
          <w:rtl w:val="true"/>
        </w:rPr>
        <w:t>מאוחד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#5#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 xml:space="preserve">ניתן והודע היום </w:t>
      </w:r>
      <w:r>
        <w:rPr>
          <w:b/>
          <w:b/>
          <w:bCs/>
          <w:sz w:val="28"/>
          <w:sz w:val="28"/>
          <w:szCs w:val="28"/>
          <w:rtl w:val="true"/>
        </w:rPr>
        <w:t>כ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ד אדר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ה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15/03/2015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מנחם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FrankRuehl"/>
                <w:rtl w:val="true"/>
              </w:rPr>
              <w:t>פינקלשטיין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סגן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נשיא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שמואל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בורנשטין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מיכל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ברק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נבו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שופטת</w:t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לפנינו </w:t>
      </w:r>
      <w:bookmarkStart w:id="7" w:name="ABSTRACT_START"/>
      <w:bookmarkEnd w:id="7"/>
      <w:r>
        <w:rPr>
          <w:rtl w:val="true"/>
        </w:rPr>
        <w:t xml:space="preserve">ערעור על גזר דינו של בית משפט השלום ברמלה מיום </w:t>
      </w:r>
      <w:r>
        <w:rPr/>
        <w:t>9.11.14</w:t>
      </w:r>
      <w:r>
        <w:rPr>
          <w:rtl w:val="true"/>
        </w:rPr>
        <w:t xml:space="preserve">, </w:t>
      </w:r>
      <w:r>
        <w:rPr>
          <w:rtl w:val="true"/>
        </w:rPr>
        <w:t xml:space="preserve">בעניינם של המערער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אשר מוסקוביץ</w:t>
      </w:r>
      <w:r>
        <w:rPr>
          <w:rtl w:val="true"/>
        </w:rPr>
        <w:t xml:space="preserve">, </w:t>
      </w:r>
      <w:r>
        <w:rPr>
          <w:rtl w:val="true"/>
        </w:rPr>
        <w:t xml:space="preserve">והמערער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עמרם לוי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השניים הורשעו</w:t>
      </w:r>
      <w:r>
        <w:rPr>
          <w:rtl w:val="true"/>
        </w:rPr>
        <w:t xml:space="preserve">, </w:t>
      </w:r>
      <w:r>
        <w:rPr>
          <w:rtl w:val="true"/>
        </w:rPr>
        <w:t>לפי הודאתם</w:t>
      </w:r>
      <w:r>
        <w:rPr>
          <w:rtl w:val="true"/>
        </w:rPr>
        <w:t xml:space="preserve">, </w:t>
      </w:r>
      <w:r>
        <w:rPr>
          <w:rtl w:val="true"/>
        </w:rPr>
        <w:t>בכתב אישום מתוקן</w:t>
      </w:r>
      <w:r>
        <w:rPr>
          <w:rtl w:val="true"/>
        </w:rPr>
        <w:t xml:space="preserve">, </w:t>
      </w:r>
      <w:r>
        <w:rPr>
          <w:rtl w:val="true"/>
        </w:rPr>
        <w:t xml:space="preserve">בשבע עבירות של אי הגשת דוח במועד לפי </w:t>
      </w:r>
      <w:hyperlink r:id="rId5">
        <w:r>
          <w:rPr>
            <w:rStyle w:val="Hyperlink"/>
            <w:rtl w:val="true"/>
          </w:rPr>
          <w:t>סעיף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</w:rPr>
          <w:t>117</w:t>
        </w:r>
        <w:r>
          <w:rPr>
            <w:rStyle w:val="Hyperlink"/>
            <w:rtl w:val="true"/>
          </w:rPr>
          <w:t xml:space="preserve"> 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 (</w:t>
        </w:r>
        <w:r>
          <w:rPr>
            <w:rStyle w:val="Hyperlink"/>
          </w:rPr>
          <w:t>6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 xml:space="preserve">יחד עם </w:t>
      </w:r>
      <w:hyperlink r:id="rId6">
        <w:r>
          <w:rPr>
            <w:rStyle w:val="Hyperlink"/>
            <w:rtl w:val="true"/>
          </w:rPr>
          <w:t>סעיף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</w:rPr>
          <w:t>119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7">
        <w:r>
          <w:rPr>
            <w:rStyle w:val="Hyperlink"/>
            <w:color w:val="0000FF"/>
            <w:u w:val="single"/>
            <w:rtl w:val="true"/>
          </w:rPr>
          <w:t>חוק מס ערך מוסף</w:t>
        </w:r>
      </w:hyperlink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bookmarkStart w:id="8" w:name="ABSTRACT_END"/>
      <w:bookmarkEnd w:id="8"/>
      <w:r>
        <w:rPr>
          <w:rtl w:val="true"/>
        </w:rPr>
        <w:t>שני המערערים היו מנהלים פעילים של חברה ולא הגישו דוחות תקופתיים לגבי שישה חודשים</w:t>
      </w:r>
      <w:r>
        <w:rPr>
          <w:rtl w:val="true"/>
        </w:rPr>
        <w:t xml:space="preserve">, </w:t>
      </w:r>
      <w:r>
        <w:rPr>
          <w:rtl w:val="true"/>
        </w:rPr>
        <w:t>כמו כן לא צירפו תשלום מלא על הדוח התקופתי לחודש אחד</w:t>
      </w:r>
      <w:r>
        <w:rPr>
          <w:rtl w:val="true"/>
        </w:rPr>
        <w:t xml:space="preserve">. </w:t>
      </w:r>
      <w:r>
        <w:rPr>
          <w:rtl w:val="true"/>
        </w:rPr>
        <w:t>הם נדונו לארבעה חודשי מאסר בעבודות שירות</w:t>
      </w:r>
      <w:r>
        <w:rPr>
          <w:rtl w:val="true"/>
        </w:rPr>
        <w:t xml:space="preserve">, </w:t>
      </w:r>
      <w:r>
        <w:rPr>
          <w:rtl w:val="true"/>
        </w:rPr>
        <w:t xml:space="preserve">לארבעה חודשי מאסר על תנאי ולקנס בסך </w:t>
      </w:r>
      <w:r>
        <w:rPr/>
        <w:t>9,000</w:t>
      </w:r>
      <w:r>
        <w:rPr>
          <w:rtl w:val="true"/>
        </w:rPr>
        <w:t xml:space="preserve"> ₪ </w:t>
      </w:r>
      <w:r>
        <w:rPr>
          <w:rtl w:val="true"/>
        </w:rPr>
        <w:t xml:space="preserve">או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ימי מאסר תמורתו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שמענו את טענות הצדדים</w:t>
      </w:r>
      <w:r>
        <w:rPr>
          <w:rtl w:val="true"/>
        </w:rPr>
        <w:t xml:space="preserve">. </w:t>
      </w:r>
      <w:r>
        <w:rPr>
          <w:rtl w:val="true"/>
        </w:rPr>
        <w:t>טענתם העיקרית של המערערים היא שבסופו של דבר הוסר המחדל</w:t>
      </w:r>
      <w:r>
        <w:rPr>
          <w:rtl w:val="true"/>
        </w:rPr>
        <w:t xml:space="preserve">. </w:t>
      </w:r>
      <w:r>
        <w:rPr>
          <w:rtl w:val="true"/>
        </w:rPr>
        <w:t>בעניין זה גם שמענו שלמעשה ניתן היה להסיר את המחדל במלואו ערב מתן גזר הדין</w:t>
      </w:r>
      <w:r>
        <w:rPr>
          <w:rtl w:val="true"/>
        </w:rPr>
        <w:t xml:space="preserve">, </w:t>
      </w:r>
      <w:r>
        <w:rPr>
          <w:rtl w:val="true"/>
        </w:rPr>
        <w:t>ורק מחמת אי אישור ההלוואה המיוחדת שניתנה לצורך כך במועד</w:t>
      </w:r>
      <w:r>
        <w:rPr>
          <w:rtl w:val="true"/>
        </w:rPr>
        <w:t xml:space="preserve">, </w:t>
      </w:r>
      <w:r>
        <w:rPr>
          <w:rtl w:val="true"/>
        </w:rPr>
        <w:t>נדחתה הסרת המחדל עד לאחר מתן גזר הדין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המדינה סבורה כי אין להבדיל בין שני המערערים</w:t>
      </w:r>
      <w:r>
        <w:rPr>
          <w:rtl w:val="true"/>
        </w:rPr>
        <w:t xml:space="preserve">, </w:t>
      </w:r>
      <w:r>
        <w:rPr>
          <w:rtl w:val="true"/>
        </w:rPr>
        <w:t>ובכל מקרה שיעורו של עונש המאסר בעבודות שירות היה לפי רף המתחם הנמוך שהוצע על ידי המדינה</w:t>
      </w:r>
      <w:r>
        <w:rPr>
          <w:rtl w:val="true"/>
        </w:rPr>
        <w:t xml:space="preserve">, </w:t>
      </w:r>
      <w:r>
        <w:rPr>
          <w:rtl w:val="true"/>
        </w:rPr>
        <w:t>ועל כן אין מקום להתערב בעונש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התלבטנו במקרה זה</w:t>
      </w:r>
      <w:r>
        <w:rPr>
          <w:rtl w:val="true"/>
        </w:rPr>
        <w:t xml:space="preserve">, </w:t>
      </w:r>
      <w:r>
        <w:rPr>
          <w:rtl w:val="true"/>
        </w:rPr>
        <w:t>שכן לא נראה לנו שנפלה טעות בגזר דינו של בית משפט קמא</w:t>
      </w:r>
      <w:r>
        <w:rPr>
          <w:rtl w:val="true"/>
        </w:rPr>
        <w:t xml:space="preserve">. </w:t>
      </w:r>
      <w:r>
        <w:rPr>
          <w:rtl w:val="true"/>
        </w:rPr>
        <w:t>ואולם</w:t>
      </w:r>
      <w:r>
        <w:rPr>
          <w:rtl w:val="true"/>
        </w:rPr>
        <w:t xml:space="preserve">, </w:t>
      </w:r>
      <w:r>
        <w:rPr>
          <w:rtl w:val="true"/>
        </w:rPr>
        <w:t>בעיקר לנוכח העובדה שבסופו של דבר הוסר המחדל</w:t>
      </w:r>
      <w:r>
        <w:rPr>
          <w:rtl w:val="true"/>
        </w:rPr>
        <w:t xml:space="preserve">, </w:t>
      </w:r>
      <w:r>
        <w:rPr>
          <w:rtl w:val="true"/>
        </w:rPr>
        <w:t>מה עוד שנראה כי האישור להלוואה שאיפשרה את הסרת המחדל ניתן למעשה עוד לפני מתן גזר הדין</w:t>
      </w:r>
      <w:r>
        <w:rPr>
          <w:rtl w:val="true"/>
        </w:rPr>
        <w:t xml:space="preserve">, </w:t>
      </w:r>
      <w:r>
        <w:rPr>
          <w:rtl w:val="true"/>
        </w:rPr>
        <w:t xml:space="preserve">והתשלום שולם זמן קצר לאחר מתן גזר הדין </w:t>
      </w:r>
      <w:r>
        <w:rPr>
          <w:rtl w:val="true"/>
        </w:rPr>
        <w:t>–</w:t>
      </w:r>
      <w:r>
        <w:rPr>
          <w:rtl w:val="true"/>
        </w:rPr>
        <w:t xml:space="preserve"> ניתן לראות בכל אלה משום סיבה להקלה מסוימת בשיעורו של עונש המאסר בפועל</w:t>
      </w:r>
      <w:r>
        <w:rPr>
          <w:rtl w:val="true"/>
        </w:rPr>
        <w:t xml:space="preserve">. </w:t>
      </w:r>
      <w:r>
        <w:rPr>
          <w:rtl w:val="true"/>
        </w:rPr>
        <w:t>משקל מסוים ניתן גם לנסיבותיהם האישיות של המערערים</w:t>
      </w:r>
      <w:r>
        <w:rPr>
          <w:rtl w:val="true"/>
        </w:rPr>
        <w:t xml:space="preserve">, </w:t>
      </w:r>
      <w:r>
        <w:rPr>
          <w:rtl w:val="true"/>
        </w:rPr>
        <w:t>הגם שידועה לנו ההלכה שלפיה השיקולים האישיים של הנאשמים בעבירות מס נסוגים מפני האינטרס הציבורי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לעומת זאת</w:t>
      </w:r>
      <w:r>
        <w:rPr>
          <w:rtl w:val="true"/>
        </w:rPr>
        <w:t xml:space="preserve">, </w:t>
      </w:r>
      <w:r>
        <w:rPr>
          <w:rtl w:val="true"/>
        </w:rPr>
        <w:t>איננו סבורים שיש מקום להתערב בעונש הקנס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לפיכך התקבלו שני הערעורים</w:t>
      </w:r>
      <w:r>
        <w:rPr>
          <w:rtl w:val="true"/>
        </w:rPr>
        <w:t xml:space="preserve">, </w:t>
      </w:r>
      <w:r>
        <w:rPr>
          <w:rtl w:val="true"/>
        </w:rPr>
        <w:t>במובן זה שיוטל על כל אחד משני המערערים עונש של חודשיים מאסר בפועל שירוצה בעבודות שירות</w:t>
      </w:r>
      <w:r>
        <w:rPr>
          <w:rtl w:val="true"/>
        </w:rPr>
        <w:t xml:space="preserve">, </w:t>
      </w:r>
      <w:r>
        <w:rPr>
          <w:rtl w:val="true"/>
        </w:rPr>
        <w:t>חלף עונש של ארבעה חודשי מאסר בפועל בעבודות שירות שהוטל בבית משפט קמא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יתר חלקי גזר הדין יישארו בעינם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המערער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אשר מוסקוביץ</w:t>
      </w:r>
      <w:r>
        <w:rPr>
          <w:rtl w:val="true"/>
        </w:rPr>
        <w:t xml:space="preserve">, </w:t>
      </w:r>
      <w:r>
        <w:rPr>
          <w:rtl w:val="true"/>
        </w:rPr>
        <w:t xml:space="preserve">יתייצב לריצוי עונשו ביום </w:t>
      </w:r>
      <w:r>
        <w:rPr/>
        <w:t>12.4.15</w:t>
      </w:r>
      <w:r>
        <w:rPr>
          <w:rtl w:val="true"/>
        </w:rPr>
        <w:t xml:space="preserve">. </w:t>
      </w:r>
      <w:r>
        <w:rPr>
          <w:rtl w:val="true"/>
        </w:rPr>
        <w:t>באותו יום יהיה עליו להתייצב בפני הממונה על עבודות שירות במפקדת מחוז מרכז ברמלה</w:t>
      </w:r>
      <w:r>
        <w:rPr>
          <w:rtl w:val="true"/>
        </w:rPr>
        <w:t xml:space="preserve">. </w:t>
      </w:r>
      <w:r>
        <w:rPr>
          <w:rtl w:val="true"/>
        </w:rPr>
        <w:t>מקום ריצוי עונש המאסר בעבודות שירות הוא באתר ההנצחה ביהוד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המערער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עמרם לוי</w:t>
      </w:r>
      <w:r>
        <w:rPr>
          <w:rtl w:val="true"/>
        </w:rPr>
        <w:t xml:space="preserve">, </w:t>
      </w:r>
      <w:r>
        <w:rPr>
          <w:rtl w:val="true"/>
        </w:rPr>
        <w:t xml:space="preserve">יתייצב לריצוי עונשו ביום </w:t>
      </w:r>
      <w:r>
        <w:rPr/>
        <w:t>12.4.15</w:t>
      </w:r>
      <w:r>
        <w:rPr>
          <w:rtl w:val="true"/>
        </w:rPr>
        <w:t xml:space="preserve">. </w:t>
      </w:r>
      <w:r>
        <w:rPr>
          <w:rtl w:val="true"/>
        </w:rPr>
        <w:t>באותו יום יהיה עליו להתייצב בפני הממונה על עבודות שירות במפקדת מחוז מרכז ברמלה</w:t>
      </w:r>
      <w:r>
        <w:rPr>
          <w:rtl w:val="true"/>
        </w:rPr>
        <w:t xml:space="preserve">. </w:t>
      </w:r>
      <w:r>
        <w:rPr>
          <w:rtl w:val="true"/>
        </w:rPr>
        <w:t>מקום ריצוי עונש המאסר בעבודות שירות</w:t>
      </w:r>
      <w:r>
        <w:rPr>
          <w:rtl w:val="true"/>
        </w:rPr>
        <w:t xml:space="preserve">, </w:t>
      </w:r>
      <w:r>
        <w:rPr>
          <w:rtl w:val="true"/>
        </w:rPr>
        <w:t>כפי שנמסר לנו בעל פה</w:t>
      </w:r>
      <w:r>
        <w:rPr>
          <w:rtl w:val="true"/>
        </w:rPr>
        <w:t xml:space="preserve">, </w:t>
      </w:r>
      <w:r>
        <w:rPr>
          <w:rtl w:val="true"/>
        </w:rPr>
        <w:t>הוא בבית החולים הגריאטרי בתל השומר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אם מסיבה כלשהי אין ניתן לבצע את עבודות השירות במקום שנקבע</w:t>
      </w:r>
      <w:r>
        <w:rPr>
          <w:rtl w:val="true"/>
        </w:rPr>
        <w:t xml:space="preserve">, </w:t>
      </w:r>
      <w:r>
        <w:rPr>
          <w:rtl w:val="true"/>
        </w:rPr>
        <w:t>יקבע הממונה על עבודות שירות מקום חלופי לביצוע עבודות השירות</w:t>
      </w:r>
      <w:r>
        <w:rPr>
          <w:rtl w:val="true"/>
        </w:rPr>
        <w:t xml:space="preserve">, </w:t>
      </w:r>
      <w:r>
        <w:rPr>
          <w:rtl w:val="true"/>
        </w:rPr>
        <w:t>ויודיע על כך לבית המשפט מבעוד מועד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#7#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ניתן והודע היום כ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ד אדר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ה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15/03/2015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</w:t>
      </w:r>
    </w:p>
    <w:p>
      <w:pPr>
        <w:pStyle w:val="Normal"/>
        <w:ind w:end="0"/>
        <w:jc w:val="start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מנחם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FrankRuehl"/>
                <w:rtl w:val="true"/>
              </w:rPr>
              <w:t>פינקלשטיין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סגן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נשיא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שמואל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בורנשטין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מיכל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ברק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נבו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שופטת</w:t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Style w:val="LineNumber"/>
          <w:color w:val="FFFFFF"/>
          <w:sz w:val="2"/>
          <w:szCs w:val="2"/>
        </w:rPr>
      </w:pPr>
      <w:bookmarkStart w:id="9" w:name="_GoBack"/>
      <w:bookmarkEnd w:id="9"/>
      <w:r>
        <w:rPr>
          <w:rStyle w:val="LineNumber"/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/>
      </w:pPr>
      <w:r>
        <w:rPr>
          <w:color w:val="FFFFFF"/>
          <w:sz w:val="2"/>
          <w:szCs w:val="2"/>
        </w:rPr>
        <w:t>512937154678313</w:t>
      </w:r>
      <w:r>
        <w:rPr>
          <w:rtl w:val="true"/>
        </w:rPr>
        <w:t>הוקלד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</w:t>
      </w:r>
      <w:r>
        <w:rPr>
          <w:rtl w:val="true"/>
        </w:rPr>
        <w:t>ידי</w:t>
      </w:r>
      <w:r>
        <w:rPr>
          <w:rtl w:val="true"/>
        </w:rPr>
        <w:t xml:space="preserve"> </w:t>
      </w:r>
      <w:r>
        <w:rPr>
          <w:rtl w:val="true"/>
        </w:rPr>
        <w:t>הראל</w:t>
      </w:r>
      <w:r>
        <w:rPr>
          <w:rtl w:val="true"/>
        </w:rPr>
        <w:t xml:space="preserve"> </w:t>
      </w:r>
      <w:r>
        <w:rPr>
          <w:rtl w:val="true"/>
        </w:rPr>
        <w:t>ליבוביץ</w:t>
      </w:r>
    </w:p>
    <w:p>
      <w:pPr>
        <w:pStyle w:val="Normal"/>
        <w:keepNext w:val="true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8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מנחם פינקלשטיין </w:t>
      </w:r>
      <w:r>
        <w:rPr>
          <w:color w:val="000000"/>
          <w:sz w:val="22"/>
          <w:szCs w:val="22"/>
        </w:rPr>
        <w:t>54678313</w:t>
      </w:r>
      <w:r>
        <w:rPr>
          <w:color w:val="000000"/>
          <w:sz w:val="22"/>
          <w:szCs w:val="22"/>
          <w:rtl w:val="true"/>
        </w:rPr>
        <w:t>-/</w:t>
      </w:r>
    </w:p>
    <w:sectPr>
      <w:headerReference w:type="default" r:id="rId9"/>
      <w:footerReference w:type="default" r:id="rId10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4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51920-12-14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אשר מוסקוביץ 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מע</w:t>
    </w:r>
    <w:r>
      <w:rPr>
        <w:color w:val="000000"/>
        <w:sz w:val="22"/>
        <w:szCs w:val="22"/>
        <w:rtl w:val="true"/>
      </w:rPr>
      <w:t>"</w:t>
    </w:r>
    <w:r>
      <w:rPr>
        <w:color w:val="000000"/>
        <w:sz w:val="22"/>
        <w:sz w:val="22"/>
        <w:szCs w:val="22"/>
        <w:rtl w:val="true"/>
      </w:rPr>
      <w:t>מ רמלה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>
      <w:rFonts w:cs="Arial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2813" TargetMode="External"/><Relationship Id="rId3" Type="http://schemas.openxmlformats.org/officeDocument/2006/relationships/hyperlink" Target="http://www.nevo.co.il/law/72813/117.a.6" TargetMode="External"/><Relationship Id="rId4" Type="http://schemas.openxmlformats.org/officeDocument/2006/relationships/hyperlink" Target="http://www.nevo.co.il/law/72813/119" TargetMode="External"/><Relationship Id="rId5" Type="http://schemas.openxmlformats.org/officeDocument/2006/relationships/hyperlink" Target="http://www.nevo.co.il/law/72813/117.a.6" TargetMode="External"/><Relationship Id="rId6" Type="http://schemas.openxmlformats.org/officeDocument/2006/relationships/hyperlink" Target="http://www.nevo.co.il/law/72813/119" TargetMode="External"/><Relationship Id="rId7" Type="http://schemas.openxmlformats.org/officeDocument/2006/relationships/hyperlink" Target="http://www.nevo.co.il/law/72813" TargetMode="External"/><Relationship Id="rId8" Type="http://schemas.openxmlformats.org/officeDocument/2006/relationships/hyperlink" Target="http://www.nevo.co.il/advertisements/nevo-100.doc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2015-03-23T13:19:00Z</dcterms:created>
  <dc:creator> </dc:creator>
  <dc:description/>
  <cp:keywords/>
  <dc:language>en-IL</dc:language>
  <cp:lastModifiedBy>hofit</cp:lastModifiedBy>
  <dcterms:modified xsi:type="dcterms:W3CDTF">2015-03-23T13:19:00Z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אשר מוסקוביץ ;עמרם לוי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מע#מ רמלה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ProcID=135&amp;PartA=2741&amp;PartB=12&amp;PartC=14</vt:lpwstr>
  </property>
  <property fmtid="{D5CDD505-2E9C-101B-9397-08002B2CF9AE}" pid="9" name="CASENOTES2">
    <vt:lpwstr>ProcID=133&amp;PartA=3091&amp;PartC=08</vt:lpwstr>
  </property>
  <property fmtid="{D5CDD505-2E9C-101B-9397-08002B2CF9AE}" pid="10" name="CASENOTES3">
    <vt:lpwstr>ProcID=155&amp;PartA=24721&amp;PartB=12&amp;PartC=14</vt:lpwstr>
  </property>
  <property fmtid="{D5CDD505-2E9C-101B-9397-08002B2CF9AE}" pid="11" name="CASENOTES4">
    <vt:lpwstr>ProcID=168;278&amp;PartA=6180&amp;PartC=64</vt:lpwstr>
  </property>
  <property fmtid="{D5CDD505-2E9C-101B-9397-08002B2CF9AE}" pid="12" name="CASESLISTTMP1">
    <vt:lpwstr>6181500;11407157;6015219</vt:lpwstr>
  </property>
  <property fmtid="{D5CDD505-2E9C-101B-9397-08002B2CF9AE}" pid="13" name="CITY">
    <vt:lpwstr>מרכז</vt:lpwstr>
  </property>
  <property fmtid="{D5CDD505-2E9C-101B-9397-08002B2CF9AE}" pid="14" name="DATE">
    <vt:lpwstr>20150315</vt:lpwstr>
  </property>
  <property fmtid="{D5CDD505-2E9C-101B-9397-08002B2CF9AE}" pid="15" name="DELEMATA">
    <vt:lpwstr/>
  </property>
  <property fmtid="{D5CDD505-2E9C-101B-9397-08002B2CF9AE}" pid="16" name="ISABSTRACT">
    <vt:lpwstr>Y</vt:lpwstr>
  </property>
  <property fmtid="{D5CDD505-2E9C-101B-9397-08002B2CF9AE}" pid="17" name="JUDGE">
    <vt:lpwstr>מנחם פינקלשטיין;ד#ר שמואל בורנשטין;מיכל ברק נבו</vt:lpwstr>
  </property>
  <property fmtid="{D5CDD505-2E9C-101B-9397-08002B2CF9AE}" pid="18" name="LAWLISTTMP1">
    <vt:lpwstr>72813/117.a.6;119</vt:lpwstr>
  </property>
  <property fmtid="{D5CDD505-2E9C-101B-9397-08002B2CF9AE}" pid="19" name="LAWYER">
    <vt:lpwstr>עדי ארליך;ד#ר ניצה אורצקי;מירב יולי</vt:lpwstr>
  </property>
  <property fmtid="{D5CDD505-2E9C-101B-9397-08002B2CF9AE}" pid="20" name="LINKK1">
    <vt:lpwstr/>
  </property>
  <property fmtid="{D5CDD505-2E9C-101B-9397-08002B2CF9AE}" pid="21" name="LINKK2">
    <vt:lpwstr/>
  </property>
  <property fmtid="{D5CDD505-2E9C-101B-9397-08002B2CF9AE}" pid="22" name="LINKK3">
    <vt:lpwstr/>
  </property>
  <property fmtid="{D5CDD505-2E9C-101B-9397-08002B2CF9AE}" pid="23" name="LINKK4">
    <vt:lpwstr/>
  </property>
  <property fmtid="{D5CDD505-2E9C-101B-9397-08002B2CF9AE}" pid="24" name="LINKK5">
    <vt:lpwstr/>
  </property>
  <property fmtid="{D5CDD505-2E9C-101B-9397-08002B2CF9AE}" pid="25" name="NEWPARTA">
    <vt:lpwstr>51920;44209</vt:lpwstr>
  </property>
  <property fmtid="{D5CDD505-2E9C-101B-9397-08002B2CF9AE}" pid="26" name="NEWPARTB">
    <vt:lpwstr>12;12</vt:lpwstr>
  </property>
  <property fmtid="{D5CDD505-2E9C-101B-9397-08002B2CF9AE}" pid="27" name="NEWPARTC">
    <vt:lpwstr>14;</vt:lpwstr>
  </property>
  <property fmtid="{D5CDD505-2E9C-101B-9397-08002B2CF9AE}" pid="28" name="NEWPROC">
    <vt:lpwstr>עפג;עפג</vt:lpwstr>
  </property>
  <property fmtid="{D5CDD505-2E9C-101B-9397-08002B2CF9AE}" pid="29" name="PADIMAIL">
    <vt:lpwstr/>
  </property>
  <property fmtid="{D5CDD505-2E9C-101B-9397-08002B2CF9AE}" pid="30" name="PAGE">
    <vt:lpwstr/>
  </property>
  <property fmtid="{D5CDD505-2E9C-101B-9397-08002B2CF9AE}" pid="31" name="PART">
    <vt:lpwstr/>
  </property>
  <property fmtid="{D5CDD505-2E9C-101B-9397-08002B2CF9AE}" pid="32" name="PROCESS">
    <vt:lpwstr/>
  </property>
  <property fmtid="{D5CDD505-2E9C-101B-9397-08002B2CF9AE}" pid="33" name="PROCNUM">
    <vt:lpwstr/>
  </property>
  <property fmtid="{D5CDD505-2E9C-101B-9397-08002B2CF9AE}" pid="34" name="PROCYEAR">
    <vt:lpwstr/>
  </property>
  <property fmtid="{D5CDD505-2E9C-101B-9397-08002B2CF9AE}" pid="35" name="PSAKDIN">
    <vt:lpwstr>החלטה</vt:lpwstr>
  </property>
  <property fmtid="{D5CDD505-2E9C-101B-9397-08002B2CF9AE}" pid="36" name="TYPE">
    <vt:lpwstr>2</vt:lpwstr>
  </property>
  <property fmtid="{D5CDD505-2E9C-101B-9397-08002B2CF9AE}" pid="37" name="TYPE_ABS_DATE">
    <vt:lpwstr>390020150315</vt:lpwstr>
  </property>
  <property fmtid="{D5CDD505-2E9C-101B-9397-08002B2CF9AE}" pid="38" name="TYPE_N_DATE">
    <vt:lpwstr>39020150315</vt:lpwstr>
  </property>
  <property fmtid="{D5CDD505-2E9C-101B-9397-08002B2CF9AE}" pid="39" name="VOLUME">
    <vt:lpwstr/>
  </property>
  <property fmtid="{D5CDD505-2E9C-101B-9397-08002B2CF9AE}" pid="40" name="WORDNUMPAGES">
    <vt:lpwstr>3</vt:lpwstr>
  </property>
</Properties>
</file>