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32"/>
        <w:gridCol w:w="3591"/>
      </w:tblGrid>
      <w:tr>
        <w:trPr>
          <w:trHeight w:val="704" w:hRule="exact"/>
        </w:trPr>
        <w:tc>
          <w:tcPr>
            <w:tcW w:w="8523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sz w:val="32"/>
                <w:szCs w:val="32"/>
                <w:lang w:val="en-US" w:eastAsia="en-US"/>
              </w:rPr>
            </w:pPr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בית המשפט המחוזי בחיפה בשבתו כבית</w:t>
            </w:r>
            <w:r>
              <w:rPr>
                <w:rFonts w:cs="Tahoma" w:ascii="Tahoma" w:hAnsi="Tahoma"/>
                <w:color w:val="000080"/>
                <w:sz w:val="32"/>
                <w:szCs w:val="32"/>
                <w:rtl w:val="true"/>
              </w:rPr>
              <w:t>-</w:t>
            </w:r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4932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591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523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59103-08-21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מחאג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'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נה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)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sz w:val="20"/>
                <w:szCs w:val="20"/>
              </w:rPr>
            </w:pPr>
            <w:r>
              <w:rPr>
                <w:rFonts w:cs="Times New Roman"/>
                <w:rtl w:val="true"/>
              </w:rPr>
              <w:t xml:space="preserve">                           </w:t>
            </w:r>
            <w:r>
              <w:rPr>
                <w:rFonts w:cs="Times New Roman"/>
                <w:sz w:val="20"/>
                <w:szCs w:val="20"/>
                <w:rtl w:val="true"/>
              </w:rPr>
              <w:t xml:space="preserve">                        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sz w:val="20"/>
                <w:sz w:val="20"/>
                <w:szCs w:val="20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חיצוני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Cs w:val="20"/>
              </w:rPr>
              <w:t>469063/2021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Cs w:val="20"/>
                <w:rtl w:val="true"/>
              </w:rPr>
              <w:t xml:space="preserve">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tbl>
      <w:tblPr>
        <w:bidiVisual w:val="true"/>
        <w:tblW w:w="8802" w:type="dxa"/>
        <w:jc w:val="start"/>
        <w:tblInd w:w="-3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"/>
        <w:gridCol w:w="2796"/>
        <w:gridCol w:w="5922"/>
      </w:tblGrid>
      <w:tr>
        <w:trPr/>
        <w:tc>
          <w:tcPr>
            <w:tcW w:w="84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8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הרכב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השופטים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אברהם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אליקים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נשיא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[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b/>
                <w:bCs/>
                <w:sz w:val="26"/>
                <w:szCs w:val="26"/>
                <w:rtl w:val="true"/>
              </w:rPr>
              <w:t>]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יחיאל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ליפשיץ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אינאס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סלאמה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</w:p>
        </w:tc>
      </w:tr>
      <w:tr>
        <w:trPr>
          <w:trHeight w:val="66" w:hRule="atLeast"/>
          <w:cantSplit w:val="true"/>
        </w:trPr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  <w:bookmarkStart w:id="0" w:name="LastJudge"/>
            <w:bookmarkStart w:id="1" w:name="FirstAppellant"/>
            <w:bookmarkStart w:id="2" w:name="LastJudge"/>
            <w:bookmarkStart w:id="3" w:name="FirstAppellant"/>
            <w:bookmarkEnd w:id="2"/>
            <w:bookmarkEnd w:id="3"/>
          </w:p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4" w:name="FirstLawyer"/>
            <w:bookmarkEnd w:id="4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מחמוד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מחאג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נה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ז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xxxxxxxxxx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באמצעות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בא</w:t>
            </w:r>
            <w:r>
              <w:rPr>
                <w:b/>
                <w:bCs/>
                <w:sz w:val="26"/>
                <w:szCs w:val="26"/>
                <w:rtl w:val="true"/>
              </w:rPr>
              <w:t>-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כוחו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מוחמד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מסארווה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ציבורית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</w:tc>
      </w:tr>
    </w:tbl>
    <w:p>
      <w:pPr>
        <w:pStyle w:val="Normal"/>
        <w:suppressLineNumbers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ind w:end="0"/>
        <w:jc w:val="both"/>
        <w:rPr>
          <w:rFonts w:ascii="David" w:hAnsi="David" w:cs="David"/>
        </w:rPr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בחדרה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גינות</w:t>
      </w:r>
      <w:r>
        <w:rPr>
          <w:rtl w:val="true"/>
        </w:rPr>
        <w:t xml:space="preserve">)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18/8/2021</w:t>
      </w:r>
      <w:r>
        <w:rPr>
          <w:rtl w:val="true"/>
        </w:rPr>
        <w:t xml:space="preserve">,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33623-07-21</w:t>
        </w:r>
      </w:hyperlink>
      <w:r>
        <w:rPr>
          <w:rtl w:val="true"/>
        </w:rPr>
        <w:t>.</w:t>
      </w:r>
    </w:p>
    <w:p>
      <w:pPr>
        <w:pStyle w:val="Normal"/>
        <w:ind w:end="0"/>
        <w:jc w:val="start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  <w:bookmarkStart w:id="5" w:name="NGCSBookmark"/>
      <w:bookmarkStart w:id="6" w:name="NGCSBookmark"/>
      <w:bookmarkEnd w:id="6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  <w:bookmarkStart w:id="7" w:name="LawTable"/>
      <w:bookmarkStart w:id="8" w:name="LawTable"/>
      <w:bookmarkEnd w:id="8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3">
        <w:r>
          <w:rPr>
            <w:rStyle w:val="Hyperlink"/>
            <w:rFonts w:ascii="FrankRuehl" w:hAnsi="FrankRuehl" w:cs="FrankRuehl"/>
            <w:color w:val="0000FF"/>
            <w:rtl w:val="true"/>
            <w:lang w:val="en-US" w:eastAsia="en-US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rtl w:val="true"/>
            <w:lang w:val="en-US" w:eastAsia="en-US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rtl w:val="true"/>
            <w:lang w:val="en-US" w:eastAsia="en-US"/>
          </w:rPr>
          <w:t>תשל</w:t>
        </w:r>
        <w:r>
          <w:rPr>
            <w:rStyle w:val="Hyperlink"/>
            <w:rFonts w:cs="FrankRuehl" w:ascii="FrankRuehl" w:hAnsi="FrankRuehl"/>
            <w:color w:val="0000FF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rtl w:val="true"/>
            <w:lang w:val="en-US" w:eastAsia="en-US"/>
          </w:rPr>
          <w:t>ז</w:t>
        </w:r>
        <w:r>
          <w:rPr>
            <w:rStyle w:val="Hyperlink"/>
            <w:rFonts w:cs="FrankRuehl" w:ascii="FrankRuehl" w:hAnsi="FrankRuehl"/>
            <w:color w:val="0000FF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lang w:val="en-US" w:eastAsia="en-US"/>
          </w:rPr>
          <w:t>1977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lang w:val="en-US" w:eastAsia="en-US"/>
          </w:rPr>
          <w:t>40</w:t>
        </w:r>
        <w:r>
          <w:rPr>
            <w:rStyle w:val="Hyperlink"/>
            <w:rFonts w:ascii="FrankRuehl" w:hAnsi="FrankRuehl" w:cs="FrankRuehl"/>
            <w:color w:val="0000FF"/>
            <w:rtl w:val="true"/>
            <w:lang w:val="en-US" w:eastAsia="en-US"/>
          </w:rPr>
          <w:t>ג</w:t>
        </w:r>
        <w:r>
          <w:rPr>
            <w:rStyle w:val="Hyperlink"/>
            <w:rFonts w:cs="FrankRuehl" w:ascii="FrankRuehl" w:hAnsi="FrankRuehl"/>
            <w:color w:val="0000FF"/>
            <w:rtl w:val="true"/>
            <w:lang w:val="en-US" w:eastAsia="en-US"/>
          </w:rPr>
          <w:t>'(</w:t>
        </w:r>
        <w:r>
          <w:rPr>
            <w:rStyle w:val="Hyperlink"/>
            <w:rFonts w:ascii="FrankRuehl" w:hAnsi="FrankRuehl" w:cs="FrankRuehl"/>
            <w:color w:val="0000FF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rtl w:val="true"/>
            <w:lang w:val="en-US" w:eastAsia="en-US"/>
          </w:rPr>
          <w:t>)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lang w:val="en-US" w:eastAsia="en-US"/>
          </w:rPr>
          <w:t>192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  <w:bookmarkStart w:id="9" w:name="LawTable_End"/>
      <w:bookmarkStart w:id="10" w:name="LawTable_End"/>
      <w:bookmarkEnd w:id="10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</w:p>
    <w:p>
      <w:pPr>
        <w:pStyle w:val="Normal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bookmarkStart w:id="11" w:name="PsakDin"/>
      <w:bookmarkEnd w:id="11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פסק דין</w:t>
      </w:r>
    </w:p>
    <w:p>
      <w:pPr>
        <w:pStyle w:val="Normal"/>
        <w:bidi w:val="0"/>
        <w:jc w:val="center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cs="Arial" w:ascii="Arial" w:hAnsi="Arial"/>
          <w:b/>
          <w:bCs/>
          <w:sz w:val="28"/>
          <w:szCs w:val="28"/>
          <w:u w:val="single"/>
          <w:lang w:val="en-US" w:eastAsia="en-US"/>
        </w:rPr>
      </w:r>
      <w:bookmarkStart w:id="12" w:name="PsakDin"/>
      <w:bookmarkStart w:id="13" w:name="PsakDin"/>
      <w:bookmarkEnd w:id="13"/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>השופט יחיאל ליפשיץ</w:t>
      </w:r>
      <w:r>
        <w:rPr>
          <w:rFonts w:cs="David" w:ascii="David" w:hAnsi="David"/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bookmarkStart w:id="14" w:name="ABSTRACT_START"/>
      <w:bookmarkEnd w:id="14"/>
      <w:r>
        <w:rPr>
          <w:rFonts w:ascii="David" w:hAnsi="David"/>
          <w:rtl w:val="true"/>
        </w:rPr>
        <w:t xml:space="preserve">ערעור על </w:t>
      </w:r>
      <w:r>
        <w:rPr>
          <w:rFonts w:ascii="David" w:hAnsi="David"/>
          <w:rtl w:val="true"/>
        </w:rPr>
        <w:t>גזר דינו של 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ש קמא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כב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/>
          <w:rtl w:val="true"/>
        </w:rPr>
        <w:t>השופט משה גינות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ב</w:t>
      </w:r>
      <w:hyperlink r:id="rId6">
        <w:r>
          <w:rPr>
            <w:rStyle w:val="Hyperlink"/>
            <w:rFonts w:ascii="David" w:hAnsi="David"/>
            <w:color w:val="0000FF"/>
            <w:u w:val="single"/>
            <w:rtl w:val="true"/>
          </w:rPr>
          <w:t>ת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"</w:t>
        </w:r>
        <w:r>
          <w:rPr>
            <w:rStyle w:val="Hyperlink"/>
            <w:rFonts w:ascii="David" w:hAnsi="David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(</w:t>
        </w:r>
        <w:r>
          <w:rPr>
            <w:rStyle w:val="Hyperlink"/>
            <w:rFonts w:ascii="David" w:hAnsi="David"/>
            <w:color w:val="0000FF"/>
            <w:u w:val="single"/>
            <w:rtl w:val="true"/>
          </w:rPr>
          <w:t>שלום חדרה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David" w:ascii="David" w:hAnsi="David"/>
            <w:color w:val="0000FF"/>
            <w:u w:val="single"/>
          </w:rPr>
          <w:t>33623-07-21</w:t>
        </w:r>
      </w:hyperlink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מיום </w:t>
      </w:r>
      <w:r>
        <w:rPr>
          <w:rFonts w:cs="David" w:ascii="David" w:hAnsi="David"/>
        </w:rPr>
        <w:t>18.8.21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מדובר בערעור המדינה על קולת העונש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כנגד המשיב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יליד </w:t>
      </w:r>
      <w:r>
        <w:rPr>
          <w:rFonts w:cs="David" w:ascii="David" w:hAnsi="David"/>
        </w:rPr>
        <w:t>1991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ותושב אום אל פאחם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הוגש ביום </w:t>
      </w:r>
      <w:r>
        <w:rPr>
          <w:rFonts w:cs="David" w:ascii="David" w:hAnsi="David"/>
        </w:rPr>
        <w:t>15.7.21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כתב אישום המייחס לו עבירת </w:t>
      </w:r>
      <w:r>
        <w:rPr>
          <w:rFonts w:ascii="Miriam" w:hAnsi="Miriam" w:cs="Miriam"/>
          <w:rtl w:val="true"/>
        </w:rPr>
        <w:t>איומים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לפי </w:t>
      </w:r>
      <w:hyperlink r:id="rId7">
        <w:r>
          <w:rPr>
            <w:rStyle w:val="Hyperlink"/>
            <w:rFonts w:ascii="David" w:hAnsi="David"/>
            <w:rtl w:val="true"/>
          </w:rPr>
          <w:t>סעיף</w:t>
        </w:r>
        <w:r>
          <w:rPr>
            <w:rStyle w:val="Hyperlink"/>
            <w:rFonts w:ascii="David" w:hAnsi="David"/>
            <w:rtl w:val="true"/>
          </w:rPr>
          <w:t xml:space="preserve"> </w:t>
        </w:r>
        <w:r>
          <w:rPr>
            <w:rStyle w:val="Hyperlink"/>
            <w:rFonts w:cs="David" w:ascii="David" w:hAnsi="David"/>
          </w:rPr>
          <w:t>192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Miriam" w:hAnsi="Miriam" w:cs="Miriam"/>
          <w:rtl w:val="true"/>
        </w:rPr>
        <w:t>ל</w:t>
      </w:r>
      <w:hyperlink r:id="rId8">
        <w:r>
          <w:rPr>
            <w:rStyle w:val="Hyperlink"/>
            <w:rFonts w:ascii="Miriam" w:hAnsi="Miriam" w:cs="Miriam"/>
            <w:color w:val="0000FF"/>
            <w:u w:val="single"/>
            <w:rtl w:val="true"/>
          </w:rPr>
          <w:t>חוק העונשין</w:t>
        </w:r>
      </w:hyperlink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תשל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ז</w:t>
      </w:r>
      <w:r>
        <w:rPr>
          <w:rFonts w:ascii="David" w:hAnsi="David"/>
          <w:rtl w:val="true"/>
        </w:rPr>
        <w:t>–</w:t>
      </w:r>
      <w:r>
        <w:rPr>
          <w:rFonts w:cs="David" w:ascii="David" w:hAnsi="David"/>
        </w:rPr>
        <w:t>1977</w:t>
      </w:r>
      <w:bookmarkStart w:id="15" w:name="ABSTRACT_END"/>
      <w:bookmarkEnd w:id="15"/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על פי עובדות כתב האישום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המשיב התגורר עם משפחתו באום אל פאחם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יחד עם אביו ואחותו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היא המתלוננת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הגם שגילה של המתלוננת לא צוין בכתב האישום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הובהר במהלך הדיון לפנינו כי היא ילידת </w:t>
      </w:r>
      <w:r>
        <w:rPr>
          <w:rFonts w:cs="David" w:ascii="David" w:hAnsi="David"/>
        </w:rPr>
        <w:t>1993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נטען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כי ביום </w:t>
      </w:r>
      <w:r>
        <w:rPr>
          <w:rFonts w:cs="David" w:ascii="David" w:hAnsi="David"/>
        </w:rPr>
        <w:t>2.7.21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בשעה </w:t>
      </w:r>
      <w:r>
        <w:rPr>
          <w:rFonts w:cs="David" w:ascii="David" w:hAnsi="David"/>
        </w:rPr>
        <w:t>18:00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לערך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עת שהתה המתלוננת עם אחייניה הקטינים בחדרה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הגיע המשיב לחדר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u w:val="single"/>
          <w:rtl w:val="true"/>
        </w:rPr>
        <w:t>ללא שקדם לכך כל אירוע מקדים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ואיים עליה בכך שאמר לה</w:t>
      </w:r>
      <w:r>
        <w:rPr>
          <w:rFonts w:cs="David" w:ascii="David" w:hAnsi="David"/>
          <w:rtl w:val="true"/>
        </w:rPr>
        <w:t>: "</w:t>
      </w:r>
      <w:r>
        <w:rPr>
          <w:rFonts w:ascii="Miriam" w:hAnsi="Miriam" w:cs="Miriam"/>
          <w:rtl w:val="true"/>
        </w:rPr>
        <w:t>אני אשתה את הדם שלך ואת תמותי היום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/>
          <w:rtl w:val="true"/>
        </w:rPr>
        <w:t>מיד לאחר מכן הלך המשיב למטבח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u w:val="single"/>
          <w:rtl w:val="true"/>
        </w:rPr>
        <w:t>הצטייד בסכין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וחזר עמה אל המתלוננת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המתלוננת נעלה את דלת החדר כשהקטינים עמה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ובשלב זה דפק המשיב בחוזקה על הדלת והמשיך לאיים עליה באמרו</w:t>
      </w:r>
      <w:r>
        <w:rPr>
          <w:rFonts w:cs="David" w:ascii="David" w:hAnsi="David"/>
          <w:rtl w:val="true"/>
        </w:rPr>
        <w:t>: "</w:t>
      </w:r>
      <w:r>
        <w:rPr>
          <w:rFonts w:ascii="Miriam" w:hAnsi="Miriam" w:cs="Miriam"/>
          <w:rtl w:val="true"/>
        </w:rPr>
        <w:t>תצאי החוצה</w:t>
      </w:r>
      <w:r>
        <w:rPr>
          <w:rFonts w:cs="Miriam" w:ascii="Miriam" w:hAnsi="Miriam"/>
          <w:rtl w:val="true"/>
        </w:rPr>
        <w:t xml:space="preserve">, </w:t>
      </w:r>
      <w:r>
        <w:rPr>
          <w:rFonts w:ascii="Miriam" w:hAnsi="Miriam" w:cs="Miriam"/>
          <w:rtl w:val="true"/>
        </w:rPr>
        <w:t>את היום תמותי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/>
          <w:rtl w:val="true"/>
        </w:rPr>
        <w:t>לשמע הצעקות הגיע האב למקום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אך המשיב המשיך להחזיק בסכין וצעק לעבר המתלוננת</w:t>
      </w:r>
      <w:r>
        <w:rPr>
          <w:rFonts w:cs="David" w:ascii="David" w:hAnsi="David"/>
          <w:rtl w:val="true"/>
        </w:rPr>
        <w:t>: "</w:t>
      </w:r>
      <w:r>
        <w:rPr>
          <w:rFonts w:ascii="Miriam" w:hAnsi="Miriam" w:cs="Miriam"/>
          <w:rtl w:val="true"/>
        </w:rPr>
        <w:t>תצאי יא זונה בת שרמוטה יא שרמוטה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/>
          <w:rtl w:val="true"/>
        </w:rPr>
        <w:t xml:space="preserve">האב שאל את המשיב אל מי הוא מדבר והאחרון השיב כי הוא צועק על </w:t>
      </w:r>
      <w:r>
        <w:rPr>
          <w:rFonts w:cs="David" w:ascii="David" w:hAnsi="David"/>
          <w:rtl w:val="true"/>
        </w:rPr>
        <w:t>"</w:t>
      </w:r>
      <w:r>
        <w:rPr>
          <w:rFonts w:ascii="Miriam" w:hAnsi="Miriam" w:cs="Miriam"/>
          <w:rtl w:val="true"/>
        </w:rPr>
        <w:t>זאת שיושבת בפנים הזונה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/>
          <w:rtl w:val="true"/>
        </w:rPr>
        <w:t>כאשר האב אמר למשיב שהוא צריך להתבייש שכן מדובר באחותו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איים המשיב על האב בפגיעה שלא כדין במתלוננת ובכוונה להפחידו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באומרו כי הוא רוצה להרוג אותה וכי היא לא שווה קבורה ויזרקו אותה לפח הזבל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eastAsia="David" w:cs="David" w:ascii="David" w:hAnsi="David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המשיב הורשע על פי הודאתו ובטרם שמיעת ראיות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במסגרת גזר הדין קבע בית המשפט קמא מתחם </w:t>
      </w:r>
      <w:r>
        <w:rPr>
          <w:rFonts w:ascii="David" w:hAnsi="David"/>
          <w:u w:val="single"/>
          <w:rtl w:val="true"/>
        </w:rPr>
        <w:t>בין מאסר מותנה ל</w:t>
      </w:r>
      <w:r>
        <w:rPr>
          <w:rFonts w:ascii="David" w:hAnsi="David"/>
          <w:u w:val="single"/>
          <w:rtl w:val="true"/>
        </w:rPr>
        <w:t>–</w:t>
      </w:r>
      <w:r>
        <w:rPr>
          <w:rFonts w:cs="David" w:ascii="David" w:hAnsi="David"/>
          <w:u w:val="single"/>
        </w:rPr>
        <w:t>12</w:t>
      </w:r>
      <w:r>
        <w:rPr>
          <w:rFonts w:cs="David" w:ascii="David" w:hAnsi="David"/>
          <w:u w:val="single"/>
          <w:rtl w:val="true"/>
        </w:rPr>
        <w:t xml:space="preserve"> </w:t>
      </w:r>
      <w:r>
        <w:rPr>
          <w:rFonts w:ascii="David" w:hAnsi="David"/>
          <w:u w:val="single"/>
          <w:rtl w:val="true"/>
        </w:rPr>
        <w:t>חודשי מאסר בפועל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באשר לעונש בתוך המתחם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הפנה 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ש קמא לכך שמאסר בפועל יפגע במשיב ובמשפחתו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 xml:space="preserve">המשיב נעצר ביום </w:t>
      </w:r>
      <w:r>
        <w:rPr>
          <w:rFonts w:cs="David" w:ascii="David" w:hAnsi="David"/>
        </w:rPr>
        <w:t>11.7.21</w:t>
      </w:r>
      <w:r>
        <w:rPr>
          <w:rFonts w:cs="David" w:ascii="David" w:hAnsi="David"/>
          <w:rtl w:val="true"/>
        </w:rPr>
        <w:t xml:space="preserve">); </w:t>
      </w:r>
      <w:r>
        <w:rPr>
          <w:rFonts w:ascii="David" w:hAnsi="David"/>
          <w:rtl w:val="true"/>
        </w:rPr>
        <w:t>לכך כי נטל אחריות על מעשיו והודה בהזדמנות הראשונה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להבעת הצער על מעשיו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וכן לעברו הפלילי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בהקשר האחרון הפנה בית המשפט קמא לכך כי המשיב ריצה תקופות מאסר ממושכות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כאשר העבירה האחרונה היא משנת </w:t>
      </w:r>
      <w:r>
        <w:rPr>
          <w:rFonts w:cs="David" w:ascii="David" w:hAnsi="David"/>
        </w:rPr>
        <w:t>2015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בשים לב לשיקולים שהוצגו בתמצית לעיל </w:t>
      </w:r>
      <w:r>
        <w:rPr>
          <w:rFonts w:cs="David" w:ascii="David" w:hAnsi="David"/>
          <w:rtl w:val="true"/>
        </w:rPr>
        <w:t>"</w:t>
      </w:r>
      <w:r>
        <w:rPr>
          <w:rFonts w:ascii="Miriam" w:hAnsi="Miriam" w:cs="Miriam"/>
          <w:rtl w:val="true"/>
        </w:rPr>
        <w:t>ובשים לב לחומרת העבירה והאיום באמצעות סכין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/>
          <w:rtl w:val="true"/>
        </w:rPr>
        <w:t>גזר 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 xml:space="preserve">ש קמא על המשיב </w:t>
      </w:r>
      <w:r>
        <w:rPr>
          <w:rFonts w:cs="David" w:ascii="David" w:hAnsi="David"/>
          <w:u w:val="single"/>
        </w:rPr>
        <w:t>3</w:t>
      </w:r>
      <w:r>
        <w:rPr>
          <w:rFonts w:cs="David" w:ascii="David" w:hAnsi="David"/>
          <w:u w:val="single"/>
          <w:rtl w:val="true"/>
        </w:rPr>
        <w:t xml:space="preserve"> </w:t>
      </w:r>
      <w:r>
        <w:rPr>
          <w:rFonts w:ascii="David" w:hAnsi="David"/>
          <w:u w:val="single"/>
          <w:rtl w:val="true"/>
        </w:rPr>
        <w:t>חודשי מאסר בפועל מיום מעצרו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מאסר על תנאי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 xml:space="preserve">והתחייבות להימנע מלעבור עבירה על סך </w:t>
      </w:r>
      <w:r>
        <w:rPr>
          <w:rFonts w:cs="David" w:ascii="David" w:hAnsi="David"/>
        </w:rPr>
        <w:t>2,500</w:t>
      </w:r>
      <w:r>
        <w:rPr>
          <w:rFonts w:cs="David" w:ascii="David" w:hAnsi="David"/>
          <w:rtl w:val="true"/>
        </w:rPr>
        <w:t xml:space="preserve"> ₪.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המערערת טענה כי מדובר בעונש שסוטה באופן קיצוני לקולה מהעונש שהיה ראוי להשית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בהפנותה לנסיבות האירוע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ובהדגישה את העובדה כי המשיב איים שוב ושוב על המתלוננת ואף עשה שימוש בסכין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עוד הודגש עברו הפלילי של המשיב והעובדה כי ריצה מאסרים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באת כוח המערערת אף  הפנתה לכך כי דינו של המשיב נגזר בגין עבירה של החזקת סכין מספר חודשים טרם האירוע נושא ענייננו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אף כי העבירה נעברה בשנת </w:t>
      </w:r>
      <w:r>
        <w:rPr>
          <w:rFonts w:cs="David" w:ascii="David" w:hAnsi="David"/>
        </w:rPr>
        <w:t>2014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מנגד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טען בא</w:t>
      </w:r>
      <w:r>
        <w:rPr>
          <w:rFonts w:cs="David" w:ascii="David" w:hAnsi="David"/>
          <w:rtl w:val="true"/>
        </w:rPr>
        <w:t>-</w:t>
      </w:r>
      <w:r>
        <w:rPr>
          <w:rFonts w:ascii="David" w:hAnsi="David"/>
          <w:rtl w:val="true"/>
        </w:rPr>
        <w:t>כוח המשיב שאין מקום להתערב בגזר הדין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הודגש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 גם אם ערכאת הערעור סבורה שביהמ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ש קמא הקל עם המשיב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הדבר אינו אמור להוביל למסקנה שיש מקום להתערב בעונש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שכן רק אם מדובר בסטייה קיצונית מרף הענישה הראוי יש מקום להתערבות כזו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לגופו של עניין נטען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כי חרף חומרת האירוע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מדובר באירוע נקודתי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כמו 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ניתן ללמוד שלא נשקפת מסוכנות מהמשיב כלפי המתלוננת מכך שהמשיב נעצר רק מספר ימים לאחר האירוע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ביום </w:t>
      </w:r>
      <w:r>
        <w:rPr>
          <w:rFonts w:cs="David" w:ascii="David" w:hAnsi="David"/>
        </w:rPr>
        <w:t>11.7.21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ולראיה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 xml:space="preserve">לא נשקפה למתלוננת כל סכנה בתקופה זו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חרף שאלותינו במהלך הדיון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באי כוח הצדדים לא הבהירו את הסיבה לכך שהמשיב נעצר רק ביום </w:t>
      </w:r>
      <w:r>
        <w:rPr>
          <w:rFonts w:cs="David" w:ascii="David" w:hAnsi="David"/>
        </w:rPr>
        <w:t>11.7.21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כאשר התלונה הוגשה מיד לאחר האירוע</w:t>
      </w:r>
      <w:r>
        <w:rPr>
          <w:rFonts w:cs="David" w:ascii="David" w:hAnsi="David"/>
          <w:rtl w:val="true"/>
        </w:rPr>
        <w:t xml:space="preserve">). </w:t>
      </w:r>
      <w:r>
        <w:rPr>
          <w:rFonts w:ascii="David" w:hAnsi="David"/>
          <w:rtl w:val="true"/>
        </w:rPr>
        <w:t>בא כוח המשיב הפנה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עוד במסגרת הדיון בבית המשפט קמא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לעמדת המתלוננת והאב במסגרת הטיעונים לעונש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שם עתרו להקל בעונשו של המשיב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נוסף על כך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הפנה בא כח המשיב לפסיקה מגוונת שניתנה במקרים דומים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לשיטתו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בהם הורשעו נאשמים בעבירת איומים ונדונו לעונשים התואמים את גזר דינו של המשיב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כמו 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הפנה בא כוח המשיב לנתוניו המשפחתיים של המשיב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לכך כי הוא קיבל אחריות על מעשיו והביע עליהם צער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>וכן צוין כי חרף הרשעותיו הקודמות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מדובר במי שלא הסתבך בפלילים משנת </w:t>
      </w:r>
      <w:r>
        <w:rPr>
          <w:rFonts w:cs="David" w:ascii="David" w:hAnsi="David"/>
        </w:rPr>
        <w:t>2015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לאחר ששקלתי את טיעוני הצדדים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סבורני שיש מקום להתערב ולהחמיר בעונש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אכן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ידועה ההלכה ולפיה ערכאת הערעור לא תתערב בחומרת העונש שהשיתה הערכאה הדיונית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למעט במקרים בהם נפלה טעות בולטת בגזר הדין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או שהעונש שנגזר חרג באופן קיצוני מרף הענישה הנוהג בנסיבות דומות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בענייננו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לטעמי העונש שהושת על המשיב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בשים לב לנסיבות ביצוע העבירה וכן לנתוני המשיב </w:t>
      </w:r>
      <w:r>
        <w:rPr>
          <w:rFonts w:cs="David" w:ascii="David" w:hAnsi="David"/>
          <w:rtl w:val="true"/>
        </w:rPr>
        <w:t xml:space="preserve">- </w:t>
      </w:r>
      <w:r>
        <w:rPr>
          <w:rFonts w:ascii="David" w:hAnsi="David"/>
          <w:rtl w:val="true"/>
        </w:rPr>
        <w:t>מצדיק החמרה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אבהיר עמדתי </w:t>
      </w:r>
      <w:r>
        <w:rPr>
          <w:rFonts w:cs="David" w:ascii="David" w:hAnsi="David"/>
          <w:rtl w:val="true"/>
        </w:rPr>
        <w:t xml:space="preserve">- 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u w:val="single"/>
          <w:rtl w:val="true"/>
        </w:rPr>
        <w:t>ראשית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מדובר באירוע בדרגת חומרה גבוהה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המשיב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ללא כל אירוע מקדים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כך על פי עובדות כתב האישום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/>
          <w:rtl w:val="true"/>
        </w:rPr>
        <w:t>איים על אחותו ב</w:t>
      </w:r>
      <w:r>
        <w:rPr>
          <w:rFonts w:ascii="David" w:hAnsi="David"/>
          <w:u w:val="single"/>
          <w:rtl w:val="true"/>
        </w:rPr>
        <w:t>איומים בוטים בעלי אופי אלים ביותר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אני אשתה לך את הדם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את תמותי היום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ועוד</w:t>
      </w:r>
      <w:r>
        <w:rPr>
          <w:rFonts w:cs="David" w:ascii="David" w:hAnsi="David"/>
          <w:rtl w:val="true"/>
        </w:rPr>
        <w:t xml:space="preserve">). </w:t>
      </w:r>
      <w:r>
        <w:rPr>
          <w:rFonts w:ascii="David" w:hAnsi="David"/>
          <w:rtl w:val="true"/>
        </w:rPr>
        <w:t>לא זו אף זו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מעבר למלל לעיל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נקט המשיב </w:t>
      </w:r>
      <w:r>
        <w:rPr>
          <w:rFonts w:ascii="David" w:hAnsi="David"/>
          <w:u w:val="single"/>
          <w:rtl w:val="true"/>
        </w:rPr>
        <w:t>במעשה פיזי</w:t>
      </w:r>
      <w:r>
        <w:rPr>
          <w:rFonts w:ascii="David" w:hAnsi="David"/>
          <w:rtl w:val="true"/>
        </w:rPr>
        <w:t xml:space="preserve"> בכך שהצטייד בסכין ואף ניגש ונעמד מחוץ לדלת החדר אותה נעלה המתלוננת משום חששהּ מהמשיב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המשיב דפק על הדלת בחוזקה כשהוא ממשיך ומאיים על המתלוננת וגם כשהאב הגיע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לא נירגע המשיב והמשיך באיומיו כלפי האב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ממד נוסף של חומרה ניתן למצוא בנוכחות קטינים בחדר בו הסתתרה המתלוננת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מדובר אם כן באירוע שאינו נקודתי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רמת האיומים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גבוהה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והמשיב 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הבהיר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/>
          <w:rtl w:val="true"/>
        </w:rPr>
        <w:t>את איומיו באמצעות סכין עמה דפק בחוזקה על הדלת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ניתן רק לשער את האימה שאחזה במתלוננת במהלך האירוע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על רקע נתונים אלה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סבורני ש</w:t>
      </w:r>
      <w:r>
        <w:rPr>
          <w:rFonts w:ascii="David" w:hAnsi="David"/>
          <w:u w:val="single"/>
          <w:rtl w:val="true"/>
        </w:rPr>
        <w:t>לא היה מקום לקבוע מתחם שהרף התחתון שלו הוא מאסר על תנאי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נתוני האירוע חייבו לטעמי קביעת מתחם שהרף התחתון שלו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בנתונים אלה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מספר חודשי מאסר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אפנה לכך כי רכיב מרכזי בקביעת המתחם הוא ה</w:t>
      </w:r>
      <w:r>
        <w:rPr>
          <w:rFonts w:cs="David" w:ascii="David" w:hAnsi="David"/>
          <w:rtl w:val="true"/>
        </w:rPr>
        <w:t>"</w:t>
      </w:r>
      <w:r>
        <w:rPr>
          <w:rFonts w:ascii="Miriam" w:hAnsi="Miriam" w:cs="Miriam"/>
          <w:rtl w:val="true"/>
        </w:rPr>
        <w:t>נסיבות הקשורות בביצוע העבירה</w:t>
      </w:r>
      <w:r>
        <w:rPr>
          <w:rFonts w:cs="David" w:ascii="David" w:hAnsi="David"/>
          <w:rtl w:val="true"/>
        </w:rPr>
        <w:t>" (</w:t>
      </w:r>
      <w:hyperlink r:id="rId9">
        <w:r>
          <w:rPr>
            <w:rStyle w:val="Hyperlink"/>
            <w:rFonts w:ascii="David" w:hAnsi="David"/>
            <w:rtl w:val="true"/>
          </w:rPr>
          <w:t>ס</w:t>
        </w:r>
        <w:r>
          <w:rPr>
            <w:rStyle w:val="Hyperlink"/>
            <w:rFonts w:cs="David" w:ascii="David" w:hAnsi="David"/>
            <w:rtl w:val="true"/>
          </w:rPr>
          <w:t xml:space="preserve">' </w:t>
        </w:r>
        <w:r>
          <w:rPr>
            <w:rStyle w:val="Hyperlink"/>
            <w:rFonts w:cs="David" w:ascii="David" w:hAnsi="David"/>
          </w:rPr>
          <w:t>40</w:t>
        </w:r>
        <w:r>
          <w:rPr>
            <w:rStyle w:val="Hyperlink"/>
            <w:rFonts w:ascii="David" w:hAnsi="David"/>
            <w:rtl w:val="true"/>
          </w:rPr>
          <w:t>ג</w:t>
        </w:r>
        <w:r>
          <w:rPr>
            <w:rStyle w:val="Hyperlink"/>
            <w:rFonts w:cs="David" w:ascii="David" w:hAnsi="David"/>
            <w:rtl w:val="true"/>
          </w:rPr>
          <w:t>'(</w:t>
        </w:r>
        <w:r>
          <w:rPr>
            <w:rStyle w:val="Hyperlink"/>
            <w:rFonts w:ascii="David" w:hAnsi="David"/>
            <w:rtl w:val="true"/>
          </w:rPr>
          <w:t>א</w:t>
        </w:r>
        <w:r>
          <w:rPr>
            <w:rStyle w:val="Hyperlink"/>
            <w:rFonts w:cs="David" w:ascii="David" w:hAnsi="David"/>
            <w:rtl w:val="true"/>
          </w:rPr>
          <w:t>)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ל</w:t>
      </w:r>
      <w:hyperlink r:id="rId10">
        <w:r>
          <w:rPr>
            <w:rStyle w:val="Hyperlink"/>
            <w:rFonts w:ascii="David" w:hAnsi="David"/>
            <w:color w:val="0000FF"/>
            <w:u w:val="single"/>
            <w:rtl w:val="true"/>
          </w:rPr>
          <w:t>חוק העונשין</w:t>
        </w:r>
      </w:hyperlink>
      <w:r>
        <w:rPr>
          <w:rFonts w:cs="David" w:ascii="David" w:hAnsi="David"/>
          <w:rtl w:val="true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u w:val="single"/>
          <w:rtl w:val="true"/>
        </w:rPr>
        <w:t>שנית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נתוני המשיב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חרף גילו הצעיר יחסית </w:t>
      </w:r>
      <w:r>
        <w:rPr>
          <w:rFonts w:ascii="David" w:hAnsi="David"/>
          <w:rtl w:val="true"/>
        </w:rPr>
        <w:t>–</w:t>
      </w:r>
      <w:r>
        <w:rPr>
          <w:rFonts w:ascii="David" w:hAnsi="David"/>
          <w:rtl w:val="true"/>
        </w:rPr>
        <w:t xml:space="preserve"> מכבידים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ואינם מאפשרים קביעת עונש על הצד הנמוך של המתחם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 xml:space="preserve">בשנת </w:t>
      </w:r>
      <w:r>
        <w:rPr>
          <w:rFonts w:cs="David" w:ascii="David" w:hAnsi="David"/>
        </w:rPr>
        <w:t>2007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הוא נדון ל </w:t>
      </w:r>
      <w:r>
        <w:rPr>
          <w:rFonts w:cs="David" w:ascii="David" w:hAnsi="David"/>
        </w:rPr>
        <w:t>30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 מאסר בגין עבירות אלימות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 xml:space="preserve">בשנת </w:t>
      </w:r>
      <w:r>
        <w:rPr>
          <w:rFonts w:cs="David" w:ascii="David" w:hAnsi="David"/>
        </w:rPr>
        <w:t>2015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הוא נדון ל </w:t>
      </w:r>
      <w:r>
        <w:rPr>
          <w:rFonts w:cs="David" w:ascii="David" w:hAnsi="David"/>
        </w:rPr>
        <w:t>12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חודשי מאסר בגין עבירת רכוש</w:t>
      </w:r>
      <w:r>
        <w:rPr>
          <w:rFonts w:cs="David" w:ascii="David" w:hAnsi="David"/>
          <w:rtl w:val="true"/>
        </w:rPr>
        <w:t xml:space="preserve">; </w:t>
      </w:r>
      <w:r>
        <w:rPr>
          <w:rFonts w:ascii="David" w:hAnsi="David"/>
          <w:rtl w:val="true"/>
        </w:rPr>
        <w:t xml:space="preserve">ובחודש </w:t>
      </w:r>
      <w:r>
        <w:rPr>
          <w:rFonts w:cs="David" w:ascii="David" w:hAnsi="David"/>
        </w:rPr>
        <w:t>2/21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>הוא נדון למאסר על תנאי בגין עבירה של החזקת סכין או אגרופן שלא כדין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אכן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העבירה האחרונה היא משנת </w:t>
      </w:r>
      <w:r>
        <w:rPr>
          <w:rFonts w:cs="David" w:ascii="David" w:hAnsi="David"/>
        </w:rPr>
        <w:t>2014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אך לטעמי לא ניתן להתעלם מהקשר בין </w:t>
      </w: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הרשעותיו של המשיב בעבירה של החזקת סכין או אגרופן שלא כדין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 xml:space="preserve">עבירות מ </w:t>
      </w:r>
      <w:r>
        <w:rPr>
          <w:rFonts w:cs="David" w:ascii="David" w:hAnsi="David"/>
        </w:rPr>
        <w:t>2005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/>
          <w:rtl w:val="true"/>
        </w:rPr>
        <w:t xml:space="preserve">ומ </w:t>
      </w:r>
      <w:r>
        <w:rPr>
          <w:rFonts w:cs="David" w:ascii="David" w:hAnsi="David"/>
        </w:rPr>
        <w:t>2014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לבין המקרה הנוכחי עליו הוא נותן את הדין כיום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במסגרתו הוא עשה שימוש בסכין כדי </w:t>
      </w:r>
      <w:r>
        <w:rPr>
          <w:rFonts w:cs="David" w:ascii="David" w:hAnsi="David"/>
          <w:rtl w:val="true"/>
        </w:rPr>
        <w:t>"</w:t>
      </w:r>
      <w:r>
        <w:rPr>
          <w:rFonts w:ascii="David" w:hAnsi="David"/>
          <w:rtl w:val="true"/>
        </w:rPr>
        <w:t>להדגיש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/>
          <w:rtl w:val="true"/>
        </w:rPr>
        <w:t>את רצינות איומיו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/>
          <w:rtl w:val="true"/>
        </w:rPr>
        <w:t>משום שהאירוע התרחש בביתו לא הועמד המשיב לדין בגין השימוש בסכין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על רקע כל האמור לעיל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 xml:space="preserve">לאחר שנתתי דעתי גם לנתונים העומדים לזכות המשיב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הודייתו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rtl w:val="true"/>
        </w:rPr>
        <w:t>נטילת האחריות על מעשיו ויתר הנתונים שהועלו על ידי בא כוחו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/>
          <w:rtl w:val="true"/>
        </w:rPr>
        <w:t>ובשים לב להלכה ולפיה ערכאת הערעור אינה ממצה את הדין גם כאשר הערעור מתקבל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/>
          <w:u w:val="single"/>
          <w:rtl w:val="true"/>
        </w:rPr>
        <w:t xml:space="preserve">אמליץ לחבריי לקבוע את רכיב המאסר בפועל על תקופה של </w:t>
      </w:r>
      <w:r>
        <w:rPr>
          <w:rFonts w:cs="David" w:ascii="David" w:hAnsi="David"/>
          <w:u w:val="single"/>
        </w:rPr>
        <w:t>5</w:t>
      </w:r>
      <w:r>
        <w:rPr>
          <w:rFonts w:cs="David" w:ascii="David" w:hAnsi="David"/>
          <w:u w:val="single"/>
          <w:rtl w:val="true"/>
        </w:rPr>
        <w:t xml:space="preserve"> </w:t>
      </w:r>
      <w:r>
        <w:rPr>
          <w:rFonts w:ascii="David" w:hAnsi="David"/>
          <w:u w:val="single"/>
          <w:rtl w:val="true"/>
        </w:rPr>
        <w:t>חודשים</w:t>
      </w:r>
      <w:r>
        <w:rPr>
          <w:rFonts w:ascii="David" w:hAnsi="David"/>
          <w:rtl w:val="true"/>
        </w:rPr>
        <w:t xml:space="preserve"> </w:t>
      </w:r>
      <w:r>
        <w:rPr>
          <w:rFonts w:cs="David" w:ascii="David" w:hAnsi="David"/>
          <w:rtl w:val="true"/>
        </w:rPr>
        <w:t>(</w:t>
      </w:r>
      <w:r>
        <w:rPr>
          <w:rFonts w:ascii="David" w:hAnsi="David"/>
          <w:rtl w:val="true"/>
        </w:rPr>
        <w:t>החל ממועד מעצרו</w:t>
      </w:r>
      <w:r>
        <w:rPr>
          <w:rFonts w:cs="David" w:ascii="David" w:hAnsi="David"/>
          <w:rtl w:val="true"/>
        </w:rPr>
        <w:t xml:space="preserve">); </w:t>
      </w:r>
      <w:r>
        <w:rPr>
          <w:rFonts w:ascii="David" w:hAnsi="David"/>
          <w:rtl w:val="true"/>
        </w:rPr>
        <w:t>ובאשר ליתר רכיבי הענישה אמליץ שלא להתערב בהם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 xml:space="preserve">סגן הנשיא השופט אברהם אליקים </w:t>
      </w:r>
      <w:r>
        <w:rPr>
          <w:rFonts w:cs="David" w:ascii="David" w:hAnsi="David"/>
          <w:b/>
          <w:bCs/>
          <w:rtl w:val="true"/>
        </w:rPr>
        <w:t>[</w:t>
      </w:r>
      <w:r>
        <w:rPr>
          <w:rFonts w:ascii="David" w:hAnsi="David"/>
          <w:b/>
          <w:b/>
          <w:bCs/>
          <w:rtl w:val="true"/>
        </w:rPr>
        <w:t>אב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ascii="David" w:hAnsi="David"/>
          <w:b/>
          <w:b/>
          <w:bCs/>
          <w:rtl w:val="true"/>
        </w:rPr>
        <w:t>ד</w:t>
      </w:r>
      <w:r>
        <w:rPr>
          <w:rFonts w:cs="David" w:ascii="David" w:hAnsi="David"/>
          <w:b/>
          <w:bCs/>
          <w:rtl w:val="true"/>
        </w:rPr>
        <w:t>]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אני מסכים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>השופט אינאס סלאמה</w:t>
      </w:r>
      <w:r>
        <w:rPr>
          <w:rFonts w:cs="David" w:ascii="David" w:hAnsi="David"/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ascii="David" w:hAnsi="David"/>
          <w:rtl w:val="true"/>
        </w:rPr>
        <w:t>אני מסכים</w:t>
      </w:r>
      <w:r>
        <w:rPr>
          <w:rFonts w:cs="David" w:ascii="David" w:hAnsi="David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cs="David" w:ascii="David" w:hAnsi="David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" w:hAnsi="David" w:cs="David"/>
          <w:b/>
          <w:bCs/>
        </w:rPr>
      </w:pPr>
      <w:r>
        <w:rPr>
          <w:rFonts w:ascii="David" w:hAnsi="David"/>
          <w:b/>
          <w:b/>
          <w:bCs/>
          <w:rtl w:val="true"/>
        </w:rPr>
        <w:t>הוחלט לקבל את הערעור</w:t>
      </w:r>
      <w:r>
        <w:rPr>
          <w:rFonts w:cs="David" w:ascii="David" w:hAnsi="David"/>
          <w:b/>
          <w:bCs/>
          <w:rtl w:val="true"/>
        </w:rPr>
        <w:t xml:space="preserve">, </w:t>
      </w:r>
      <w:r>
        <w:rPr>
          <w:rFonts w:ascii="David" w:hAnsi="David"/>
          <w:b/>
          <w:b/>
          <w:bCs/>
          <w:rtl w:val="true"/>
        </w:rPr>
        <w:t>כך שרכיב המאסר בפועל ישונה ל</w:t>
      </w:r>
      <w:r>
        <w:rPr>
          <w:rFonts w:cs="David" w:ascii="David" w:hAnsi="David"/>
          <w:b/>
          <w:bCs/>
          <w:rtl w:val="true"/>
        </w:rPr>
        <w:t>-</w:t>
      </w:r>
      <w:r>
        <w:rPr>
          <w:rFonts w:cs="David" w:ascii="David" w:hAnsi="David"/>
          <w:b/>
          <w:bCs/>
        </w:rPr>
        <w:t>5</w:t>
      </w:r>
      <w:r>
        <w:rPr>
          <w:rFonts w:cs="David" w:ascii="David" w:hAnsi="David"/>
          <w:b/>
          <w:bCs/>
          <w:rtl w:val="true"/>
        </w:rPr>
        <w:t xml:space="preserve"> </w:t>
      </w:r>
      <w:r>
        <w:rPr>
          <w:rFonts w:ascii="David" w:hAnsi="David"/>
          <w:b/>
          <w:b/>
          <w:bCs/>
          <w:rtl w:val="true"/>
        </w:rPr>
        <w:t xml:space="preserve">חודשים שמניינם החל מיום </w:t>
      </w:r>
      <w:r>
        <w:rPr>
          <w:rFonts w:cs="David" w:ascii="David" w:hAnsi="David"/>
          <w:b/>
          <w:bCs/>
        </w:rPr>
        <w:t>11.7.2021</w:t>
      </w:r>
      <w:r>
        <w:rPr>
          <w:rFonts w:cs="David" w:ascii="David" w:hAnsi="David"/>
          <w:b/>
          <w:bCs/>
          <w:rtl w:val="true"/>
        </w:rPr>
        <w:t xml:space="preserve">. </w:t>
      </w:r>
      <w:r>
        <w:rPr>
          <w:rFonts w:ascii="David" w:hAnsi="David"/>
          <w:b/>
          <w:b/>
          <w:bCs/>
          <w:rtl w:val="true"/>
        </w:rPr>
        <w:t>יתר מרכיבי גזר הדין יישארו ללא שינוי</w:t>
      </w:r>
      <w:r>
        <w:rPr>
          <w:rFonts w:cs="David" w:ascii="David" w:hAnsi="David"/>
          <w:b/>
          <w:bCs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/>
      </w:pPr>
      <w:bookmarkStart w:id="16" w:name="Nitan"/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  <w:r>
        <w:rPr>
          <w:rFonts w:ascii="Arial" w:hAnsi="Arial" w:cs="Arial"/>
          <w:rtl w:val="true"/>
          <w:lang w:val="en-US" w:eastAsia="en-US"/>
        </w:rPr>
        <w:t>ניתן היום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 אלול תשפ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02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ספטמבר </w:t>
      </w:r>
      <w:r>
        <w:rPr>
          <w:rFonts w:cs="Arial" w:ascii="Arial" w:hAnsi="Arial"/>
          <w:lang w:val="en-US" w:eastAsia="en-US"/>
        </w:rPr>
        <w:t>2021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בנוכחות הצדדים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bookmarkEnd w:id="16"/>
      <w:r>
        <w:rPr>
          <w:rtl w:val="true"/>
        </w:rPr>
        <w:t xml:space="preserve">     </w:t>
      </w:r>
    </w:p>
    <w:tbl>
      <w:tblPr>
        <w:bidiVisual w:val="true"/>
        <w:tblW w:w="859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8"/>
        <w:gridCol w:w="328"/>
        <w:gridCol w:w="2418"/>
        <w:gridCol w:w="317"/>
        <w:gridCol w:w="2779"/>
      </w:tblGrid>
      <w:tr>
        <w:trPr/>
        <w:tc>
          <w:tcPr>
            <w:tcW w:w="274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  <w:lang w:val="en-US" w:eastAsia="en-US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lang w:val="en-US" w:eastAsia="en-US"/>
              </w:rPr>
              <w:t>54678313</w:t>
            </w:r>
          </w:p>
        </w:tc>
        <w:tc>
          <w:tcPr>
            <w:tcW w:w="328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  <w:lang w:val="en-US" w:eastAsia="en-US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  <w:lang w:val="en-US" w:eastAsia="en-US"/>
              </w:rPr>
            </w:r>
          </w:p>
        </w:tc>
        <w:tc>
          <w:tcPr>
            <w:tcW w:w="24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17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7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74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אליקים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הנשיא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rtl w:val="true"/>
              </w:rPr>
              <w:t>[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אב</w:t>
            </w:r>
            <w:r>
              <w:rPr>
                <w:b/>
                <w:bCs/>
                <w:sz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ד</w:t>
            </w:r>
            <w:r>
              <w:rPr>
                <w:b/>
                <w:bCs/>
                <w:sz w:val="28"/>
                <w:rtl w:val="true"/>
              </w:rPr>
              <w:t>]</w:t>
            </w:r>
          </w:p>
        </w:tc>
        <w:tc>
          <w:tcPr>
            <w:tcW w:w="328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41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Times New Roman"/>
                <w:sz w:val="28"/>
                <w:lang w:val="en-US" w:eastAsia="en-US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י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ליפשיץ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  <w:tc>
          <w:tcPr>
            <w:tcW w:w="317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Times New Roman"/>
                <w:b/>
                <w:bCs/>
                <w:color w:val="FF0000"/>
                <w:sz w:val="28"/>
                <w:lang w:val="en-US" w:eastAsia="en-US"/>
              </w:rPr>
            </w:pPr>
            <w:r>
              <w:rPr>
                <w:rFonts w:cs="Times New Roman"/>
                <w:b/>
                <w:bCs/>
                <w:color w:val="FF0000"/>
                <w:sz w:val="28"/>
                <w:rtl w:val="true"/>
                <w:lang w:val="en-US" w:eastAsia="en-US"/>
              </w:rPr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סלאמה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</w:tr>
    </w:tbl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1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אברהם אליקים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/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  <w:r>
        <w:rPr>
          <w:rFonts w:cs="Times New Roman"/>
          <w:color w:val="0000FF"/>
          <w:u w:val="single"/>
          <w:rtl w:val="true"/>
        </w:rPr>
        <w:t xml:space="preserve"> </w:t>
      </w:r>
    </w:p>
    <w:sectPr>
      <w:headerReference w:type="default" r:id="rId12"/>
      <w:footerReference w:type="default" r:id="rId13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  <w:font w:name="Miriam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4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59103-08-21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מחמוד מחאג</w:t>
    </w:r>
    <w:r>
      <w:rPr>
        <w:rFonts w:cs="David" w:ascii="David" w:hAnsi="David"/>
        <w:color w:val="000000"/>
        <w:sz w:val="22"/>
        <w:szCs w:val="22"/>
        <w:rtl w:val="true"/>
      </w:rPr>
      <w:t>'</w:t>
    </w:r>
    <w:r>
      <w:rPr>
        <w:rFonts w:ascii="David" w:hAnsi="David"/>
        <w:color w:val="000000"/>
        <w:sz w:val="22"/>
        <w:sz w:val="22"/>
        <w:szCs w:val="22"/>
        <w:rtl w:val="true"/>
      </w:rPr>
      <w:t>נה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FooterChar">
    <w:name w:val="Foot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LineNumber">
    <w:name w:val="lin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778847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40c.a" TargetMode="External"/><Relationship Id="rId5" Type="http://schemas.openxmlformats.org/officeDocument/2006/relationships/hyperlink" Target="http://www.nevo.co.il/law/70301/192" TargetMode="External"/><Relationship Id="rId6" Type="http://schemas.openxmlformats.org/officeDocument/2006/relationships/hyperlink" Target="http://www.nevo.co.il/case/27788471" TargetMode="External"/><Relationship Id="rId7" Type="http://schemas.openxmlformats.org/officeDocument/2006/relationships/hyperlink" Target="http://www.nevo.co.il/law/70301/192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40c.a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advertisements/nevo-100.doc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2022-11-20T12:43:00Z</dcterms:created>
  <dc:creator> </dc:creator>
  <dc:description/>
  <cp:keywords/>
  <dc:language>en-IL</dc:language>
  <cp:lastModifiedBy>h1</cp:lastModifiedBy>
  <dcterms:modified xsi:type="dcterms:W3CDTF">2022-11-20T12:43:00Z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מחמוד מחאג'נה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27788471:2</vt:lpwstr>
  </property>
  <property fmtid="{D5CDD505-2E9C-101B-9397-08002B2CF9AE}" pid="9" name="CITY">
    <vt:lpwstr>חי'</vt:lpwstr>
  </property>
  <property fmtid="{D5CDD505-2E9C-101B-9397-08002B2CF9AE}" pid="10" name="DATE">
    <vt:lpwstr>20210902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אברהם אליקים;יחיאל ליפשיץ;אינאס סלאמה</vt:lpwstr>
  </property>
  <property fmtid="{D5CDD505-2E9C-101B-9397-08002B2CF9AE}" pid="14" name="LAWLISTTMP1">
    <vt:lpwstr>70301/192;040c.a</vt:lpwstr>
  </property>
  <property fmtid="{D5CDD505-2E9C-101B-9397-08002B2CF9AE}" pid="15" name="LAWYER">
    <vt:lpwstr>מוחמד מסארווה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59103;33623</vt:lpwstr>
  </property>
  <property fmtid="{D5CDD505-2E9C-101B-9397-08002B2CF9AE}" pid="22" name="NEWPARTB">
    <vt:lpwstr>08;07</vt:lpwstr>
  </property>
  <property fmtid="{D5CDD505-2E9C-101B-9397-08002B2CF9AE}" pid="23" name="NEWPARTC">
    <vt:lpwstr>21;21</vt:lpwstr>
  </property>
  <property fmtid="{D5CDD505-2E9C-101B-9397-08002B2CF9AE}" pid="24" name="NEWPROC">
    <vt:lpwstr>עפג;תפ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390020210902</vt:lpwstr>
  </property>
  <property fmtid="{D5CDD505-2E9C-101B-9397-08002B2CF9AE}" pid="34" name="TYPE_N_DATE">
    <vt:lpwstr>39020210902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