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872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47"/>
        <w:gridCol w:w="3674"/>
      </w:tblGrid>
      <w:tr>
        <w:trPr>
          <w:trHeight w:val="418" w:hRule="exact"/>
        </w:trPr>
        <w:tc>
          <w:tcPr>
            <w:tcW w:w="8721" w:type="dxa"/>
            <w:gridSpan w:val="2"/>
            <w:tcBorders/>
          </w:tcPr>
          <w:p>
            <w:pPr>
              <w:pStyle w:val="Header"/>
              <w:ind w:end="0"/>
              <w:jc w:val="center"/>
              <w:rPr>
                <w:rFonts w:ascii="Tahoma" w:hAnsi="Tahoma" w:cs="Tahoma"/>
                <w:color w:val="000080"/>
                <w:lang w:val="en-US" w:eastAsia="en-US"/>
              </w:rPr>
            </w:pPr>
            <w:r>
              <w:rPr>
                <w:rFonts w:ascii="Tahoma" w:hAnsi="Tahoma" w:cs="Tahoma"/>
                <w:b/>
                <w:b/>
                <w:bCs/>
                <w:color w:val="000080"/>
                <w:sz w:val="28"/>
                <w:sz w:val="28"/>
                <w:szCs w:val="28"/>
                <w:rtl w:val="true"/>
                <w:lang w:val="en-US" w:eastAsia="en-US"/>
              </w:rPr>
              <w:t>בית המשפט המחוזי בירושלים בשבתו כבית</w:t>
            </w:r>
            <w:r>
              <w:rPr>
                <w:rFonts w:cs="Tahoma" w:ascii="Tahoma" w:hAnsi="Tahoma"/>
                <w:b/>
                <w:bCs/>
                <w:color w:val="000080"/>
                <w:sz w:val="28"/>
                <w:szCs w:val="28"/>
                <w:rtl w:val="true"/>
                <w:lang w:val="en-US" w:eastAsia="en-US"/>
              </w:rPr>
              <w:t>-</w:t>
            </w:r>
            <w:r>
              <w:rPr>
                <w:rFonts w:ascii="Tahoma" w:hAnsi="Tahoma" w:cs="Tahoma"/>
                <w:b/>
                <w:b/>
                <w:bCs/>
                <w:color w:val="000080"/>
                <w:sz w:val="28"/>
                <w:sz w:val="28"/>
                <w:szCs w:val="28"/>
                <w:rtl w:val="true"/>
                <w:lang w:val="en-US" w:eastAsia="en-US"/>
              </w:rPr>
              <w:t>משפט לערעורים פליליים</w:t>
            </w:r>
          </w:p>
        </w:tc>
      </w:tr>
      <w:tr>
        <w:trPr>
          <w:trHeight w:val="337" w:hRule="atLeast"/>
        </w:trPr>
        <w:tc>
          <w:tcPr>
            <w:tcW w:w="5047" w:type="dxa"/>
            <w:tcBorders/>
          </w:tcPr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לפני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: 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כב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'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השופט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דוד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חשין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,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נשיא</w:t>
            </w:r>
          </w:p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cs="Times New Roman"/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        </w:t>
            </w:r>
            <w:r>
              <w:rPr>
                <w:rFonts w:cs="Times New Roman"/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rFonts w:cs="Times New Roman"/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 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כב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'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השופט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משה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דרורי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,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סגן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נשיא</w:t>
            </w:r>
          </w:p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cs="Times New Roman"/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     </w:t>
            </w:r>
            <w:r>
              <w:rPr>
                <w:rFonts w:cs="Times New Roman"/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rFonts w:cs="Times New Roman"/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    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כב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'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השופט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עודד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שחם</w:t>
            </w:r>
          </w:p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</w:r>
          </w:p>
        </w:tc>
        <w:tc>
          <w:tcPr>
            <w:tcW w:w="3674" w:type="dxa"/>
            <w:tcBorders/>
          </w:tcPr>
          <w:p>
            <w:pPr>
              <w:pStyle w:val="Normal"/>
              <w:ind w:end="0"/>
              <w:jc w:val="end"/>
              <w:rPr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עפ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ג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Cs/>
                <w:sz w:val="26"/>
                <w:szCs w:val="26"/>
                <w:lang w:val="en-US" w:eastAsia="en-US"/>
              </w:rPr>
              <w:t>59106-03-14</w:t>
            </w:r>
          </w:p>
          <w:p>
            <w:pPr>
              <w:pStyle w:val="Header"/>
              <w:ind w:end="0"/>
              <w:jc w:val="end"/>
              <w:rPr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b/>
                <w:bCs/>
                <w:sz w:val="26"/>
                <w:szCs w:val="26"/>
                <w:lang w:val="en-US" w:eastAsia="en-US"/>
              </w:rPr>
              <w:t>08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מאי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Cs/>
                <w:sz w:val="26"/>
                <w:szCs w:val="26"/>
                <w:lang w:val="en-US" w:eastAsia="en-US"/>
              </w:rPr>
              <w:t>2014</w:t>
            </w:r>
          </w:p>
        </w:tc>
      </w:tr>
    </w:tbl>
    <w:p>
      <w:pPr>
        <w:pStyle w:val="Header"/>
        <w:ind w:end="0"/>
        <w:jc w:val="start"/>
        <w:rPr>
          <w:rFonts w:cs="Times New Roman"/>
          <w:lang w:val="en-US" w:eastAsia="en-US"/>
        </w:rPr>
      </w:pPr>
      <w:bookmarkStart w:id="0" w:name="LastJudge"/>
      <w:bookmarkEnd w:id="0"/>
      <w:r>
        <w:rPr>
          <w:rFonts w:cs="Times New Roman"/>
          <w:rtl w:val="true"/>
          <w:lang w:val="en-US" w:eastAsia="en-US"/>
        </w:rPr>
        <w:t xml:space="preserve"> </w:t>
      </w:r>
    </w:p>
    <w:tbl>
      <w:tblPr>
        <w:bidiVisual w:val="true"/>
        <w:tblW w:w="8820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17"/>
        <w:gridCol w:w="6303"/>
      </w:tblGrid>
      <w:tr>
        <w:trPr/>
        <w:tc>
          <w:tcPr>
            <w:tcW w:w="2517" w:type="dxa"/>
            <w:tcBorders/>
          </w:tcPr>
          <w:p>
            <w:pPr>
              <w:pStyle w:val="Normal"/>
              <w:spacing w:lineRule="auto" w:line="360"/>
              <w:ind w:end="0"/>
              <w:jc w:val="start"/>
              <w:rPr>
                <w:rFonts w:ascii="Arial" w:hAnsi="Arial" w:cs="Arial"/>
                <w:b/>
                <w:bCs/>
                <w:sz w:val="26"/>
                <w:szCs w:val="26"/>
                <w:lang w:val="en-US" w:eastAsia="en-US"/>
              </w:rPr>
            </w:pPr>
            <w:bookmarkStart w:id="1" w:name="FirstLawyer"/>
            <w:bookmarkStart w:id="2" w:name="FirstAppellant"/>
            <w:bookmarkEnd w:id="1"/>
            <w:bookmarkEnd w:id="2"/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המערערת</w:t>
            </w:r>
            <w:r>
              <w:rPr>
                <w:b/>
                <w:bCs/>
                <w:sz w:val="26"/>
                <w:szCs w:val="26"/>
                <w:rtl w:val="true"/>
              </w:rPr>
              <w:t>:</w:t>
            </w:r>
          </w:p>
        </w:tc>
        <w:tc>
          <w:tcPr>
            <w:tcW w:w="6303" w:type="dxa"/>
            <w:tcBorders/>
          </w:tcPr>
          <w:p>
            <w:pPr>
              <w:pStyle w:val="Normal"/>
              <w:spacing w:lineRule="auto" w:line="360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מדינת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ישראל</w:t>
            </w:r>
          </w:p>
          <w:p>
            <w:pPr>
              <w:pStyle w:val="Normal"/>
              <w:spacing w:lineRule="auto" w:line="360"/>
              <w:ind w:end="0"/>
              <w:jc w:val="start"/>
              <w:rPr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ע</w:t>
            </w:r>
            <w:r>
              <w:rPr>
                <w:b/>
                <w:bCs/>
                <w:sz w:val="26"/>
                <w:szCs w:val="26"/>
                <w:rtl w:val="true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י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ב</w:t>
            </w:r>
            <w:r>
              <w:rPr>
                <w:b/>
                <w:bCs/>
                <w:sz w:val="26"/>
                <w:szCs w:val="26"/>
                <w:rtl w:val="true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כ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עו</w:t>
            </w:r>
            <w:r>
              <w:rPr>
                <w:b/>
                <w:bCs/>
                <w:sz w:val="26"/>
                <w:szCs w:val="26"/>
                <w:rtl w:val="true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ד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ענת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גרינבאום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,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מפרקליטות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מחוז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ירושלים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Cs/>
                <w:sz w:val="26"/>
                <w:szCs w:val="26"/>
                <w:rtl w:val="true"/>
              </w:rPr>
              <w:t>(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פלילי</w:t>
            </w:r>
            <w:r>
              <w:rPr>
                <w:b/>
                <w:bCs/>
                <w:sz w:val="26"/>
                <w:szCs w:val="26"/>
                <w:rtl w:val="true"/>
              </w:rPr>
              <w:t>)</w:t>
            </w:r>
          </w:p>
        </w:tc>
      </w:tr>
      <w:tr>
        <w:trPr/>
        <w:tc>
          <w:tcPr>
            <w:tcW w:w="8820" w:type="dxa"/>
            <w:gridSpan w:val="2"/>
            <w:tcBorders/>
          </w:tcPr>
          <w:p>
            <w:pPr>
              <w:pStyle w:val="Normal"/>
              <w:snapToGrid w:val="false"/>
              <w:spacing w:lineRule="auto" w:line="360"/>
              <w:ind w:end="0"/>
              <w:jc w:val="start"/>
              <w:rPr>
                <w:rFonts w:ascii="Arial" w:hAnsi="Arial" w:cs="Arial"/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</w:r>
          </w:p>
          <w:p>
            <w:pPr>
              <w:pStyle w:val="Normal"/>
              <w:spacing w:lineRule="auto" w:line="360"/>
              <w:ind w:end="0"/>
              <w:jc w:val="center"/>
              <w:rPr>
                <w:rFonts w:ascii="Arial" w:hAnsi="Arial" w:cs="Arial"/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נגד</w:t>
            </w:r>
          </w:p>
          <w:p>
            <w:pPr>
              <w:pStyle w:val="Normal"/>
              <w:spacing w:lineRule="auto" w:line="360"/>
              <w:ind w:end="0"/>
              <w:jc w:val="start"/>
              <w:rPr>
                <w:rFonts w:ascii="Arial" w:hAnsi="Arial" w:cs="Arial"/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</w:r>
          </w:p>
        </w:tc>
      </w:tr>
      <w:tr>
        <w:trPr/>
        <w:tc>
          <w:tcPr>
            <w:tcW w:w="2517" w:type="dxa"/>
            <w:tcBorders/>
          </w:tcPr>
          <w:p>
            <w:pPr>
              <w:pStyle w:val="Normal"/>
              <w:spacing w:lineRule="auto" w:line="360"/>
              <w:ind w:end="0"/>
              <w:jc w:val="start"/>
              <w:rPr>
                <w:rFonts w:ascii="Arial" w:hAnsi="Arial" w:cs="Arial"/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המשיב</w:t>
            </w:r>
            <w:r>
              <w:rPr>
                <w:b/>
                <w:bCs/>
                <w:sz w:val="26"/>
                <w:szCs w:val="26"/>
                <w:rtl w:val="true"/>
              </w:rPr>
              <w:t>:</w:t>
            </w:r>
          </w:p>
        </w:tc>
        <w:tc>
          <w:tcPr>
            <w:tcW w:w="6303" w:type="dxa"/>
            <w:tcBorders/>
          </w:tcPr>
          <w:p>
            <w:pPr>
              <w:pStyle w:val="Normal"/>
              <w:spacing w:lineRule="auto" w:line="360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מחמוד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סליימה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Cs/>
                <w:sz w:val="26"/>
                <w:szCs w:val="26"/>
                <w:rtl w:val="true"/>
              </w:rPr>
              <w:t>(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עציר</w:t>
            </w:r>
            <w:r>
              <w:rPr>
                <w:b/>
                <w:bCs/>
                <w:sz w:val="26"/>
                <w:szCs w:val="26"/>
                <w:rtl w:val="true"/>
              </w:rPr>
              <w:t>)</w:t>
            </w:r>
          </w:p>
          <w:p>
            <w:pPr>
              <w:pStyle w:val="Normal"/>
              <w:spacing w:lineRule="auto" w:line="360"/>
              <w:ind w:end="0"/>
              <w:jc w:val="start"/>
              <w:rPr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ע</w:t>
            </w:r>
            <w:r>
              <w:rPr>
                <w:b/>
                <w:bCs/>
                <w:sz w:val="26"/>
                <w:szCs w:val="26"/>
                <w:rtl w:val="true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י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ב</w:t>
            </w:r>
            <w:r>
              <w:rPr>
                <w:b/>
                <w:bCs/>
                <w:sz w:val="26"/>
                <w:szCs w:val="26"/>
                <w:rtl w:val="true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כ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עו</w:t>
            </w:r>
            <w:r>
              <w:rPr>
                <w:b/>
                <w:bCs/>
                <w:sz w:val="26"/>
                <w:szCs w:val="26"/>
                <w:rtl w:val="true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ד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מוסטפא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יחיא</w:t>
            </w:r>
          </w:p>
        </w:tc>
      </w:tr>
    </w:tbl>
    <w:p>
      <w:pPr>
        <w:pStyle w:val="Normal"/>
        <w:ind w:end="0"/>
        <w:jc w:val="center"/>
        <w:rPr>
          <w:rFonts w:ascii="Arial" w:hAnsi="Arial" w:cs="Arial"/>
          <w:sz w:val="28"/>
          <w:szCs w:val="28"/>
          <w:lang w:val="en-US" w:eastAsia="en-US"/>
        </w:rPr>
      </w:pPr>
      <w:r>
        <w:rPr>
          <w:rFonts w:cs="Arial" w:ascii="Arial" w:hAnsi="Arial"/>
          <w:sz w:val="28"/>
          <w:szCs w:val="28"/>
          <w:rtl w:val="true"/>
          <w:lang w:val="en-US" w:eastAsia="en-US"/>
        </w:rPr>
      </w:r>
      <w:bookmarkStart w:id="3" w:name="LawTable"/>
      <w:bookmarkStart w:id="4" w:name="LawTable"/>
      <w:bookmarkEnd w:id="4"/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lang w:val="en-US" w:eastAsia="en-US"/>
        </w:rPr>
      </w:pPr>
      <w:r>
        <w:rPr>
          <w:rFonts w:ascii="FrankRuehl" w:hAnsi="FrankRuehl" w:cs="FrankRuehl"/>
          <w:rtl w:val="true"/>
          <w:lang w:val="en-US" w:eastAsia="en-US"/>
        </w:rPr>
        <w:t>חקיקה שאוזכרה</w:t>
      </w:r>
      <w:r>
        <w:rPr>
          <w:rFonts w:cs="FrankRuehl" w:ascii="FrankRuehl" w:hAnsi="FrankRuehl"/>
          <w:rtl w:val="true"/>
          <w:lang w:val="en-US" w:eastAsia="en-US"/>
        </w:rPr>
        <w:t xml:space="preserve">: </w:t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color w:val="0000FF"/>
          <w:u w:val="single"/>
          <w:lang w:val="en-US" w:eastAsia="en-US"/>
        </w:rPr>
      </w:pPr>
      <w:hyperlink r:id="rId2">
        <w:r>
          <w:rPr>
            <w:rStyle w:val="Hyperlink"/>
            <w:rFonts w:ascii="FrankRuehl" w:hAnsi="FrankRuehl" w:cs="FrankRuehl"/>
            <w:rtl w:val="true"/>
          </w:rPr>
          <w:t xml:space="preserve">פקודת הסמים המסוכנים </w:t>
        </w:r>
        <w:r>
          <w:rPr>
            <w:rStyle w:val="Hyperlink"/>
            <w:rFonts w:cs="FrankRuehl" w:ascii="FrankRuehl" w:hAnsi="FrankRuehl"/>
            <w:rtl w:val="true"/>
          </w:rPr>
          <w:t>[</w:t>
        </w:r>
        <w:r>
          <w:rPr>
            <w:rStyle w:val="Hyperlink"/>
            <w:rFonts w:ascii="FrankRuehl" w:hAnsi="FrankRuehl" w:cs="FrankRuehl"/>
            <w:rtl w:val="true"/>
          </w:rPr>
          <w:t>נוסח חדש</w:t>
        </w:r>
        <w:r>
          <w:rPr>
            <w:rStyle w:val="Hyperlink"/>
            <w:rFonts w:cs="FrankRuehl" w:ascii="FrankRuehl" w:hAnsi="FrankRuehl"/>
            <w:rtl w:val="true"/>
          </w:rPr>
          <w:t xml:space="preserve">], </w:t>
        </w:r>
        <w:r>
          <w:rPr>
            <w:rStyle w:val="Hyperlink"/>
            <w:rFonts w:ascii="FrankRuehl" w:hAnsi="FrankRuehl" w:cs="FrankRuehl"/>
            <w:rtl w:val="true"/>
          </w:rPr>
          <w:t>תשל</w:t>
        </w:r>
        <w:r>
          <w:rPr>
            <w:rStyle w:val="Hyperlink"/>
            <w:rFonts w:cs="FrankRuehl" w:ascii="FrankRuehl" w:hAnsi="FrankRuehl"/>
            <w:rtl w:val="true"/>
          </w:rPr>
          <w:t>"</w:t>
        </w:r>
        <w:r>
          <w:rPr>
            <w:rStyle w:val="Hyperlink"/>
            <w:rFonts w:ascii="FrankRuehl" w:hAnsi="FrankRuehl" w:cs="FrankRuehl"/>
            <w:rtl w:val="true"/>
          </w:rPr>
          <w:t>ג</w:t>
        </w:r>
        <w:r>
          <w:rPr>
            <w:rStyle w:val="Hyperlink"/>
            <w:rFonts w:cs="FrankRuehl" w:ascii="FrankRuehl" w:hAnsi="FrankRuehl"/>
            <w:rtl w:val="true"/>
          </w:rPr>
          <w:t>-</w:t>
        </w:r>
        <w:r>
          <w:rPr>
            <w:rStyle w:val="Hyperlink"/>
            <w:rFonts w:cs="FrankRuehl" w:ascii="FrankRuehl" w:hAnsi="FrankRuehl"/>
          </w:rPr>
          <w:t>1973</w:t>
        </w:r>
      </w:hyperlink>
      <w:r>
        <w:rPr>
          <w:rFonts w:cs="FrankRuehl" w:ascii="FrankRuehl" w:hAnsi="FrankRuehl"/>
          <w:color w:val="0000FF"/>
          <w:u w:val="single"/>
          <w:rtl w:val="true"/>
          <w:lang w:val="en-US" w:eastAsia="en-US"/>
        </w:rPr>
        <w:t xml:space="preserve">: </w:t>
      </w:r>
      <w:r>
        <w:rPr>
          <w:rFonts w:ascii="FrankRuehl" w:hAnsi="FrankRuehl" w:cs="FrankRuehl"/>
          <w:color w:val="0000FF"/>
          <w:u w:val="single"/>
          <w:rtl w:val="true"/>
          <w:lang w:val="en-US" w:eastAsia="en-US"/>
        </w:rPr>
        <w:t>סע</w:t>
      </w:r>
      <w:r>
        <w:rPr>
          <w:rFonts w:cs="FrankRuehl" w:ascii="FrankRuehl" w:hAnsi="FrankRuehl"/>
          <w:color w:val="0000FF"/>
          <w:u w:val="single"/>
          <w:rtl w:val="true"/>
          <w:lang w:val="en-US" w:eastAsia="en-US"/>
        </w:rPr>
        <w:t xml:space="preserve">'  </w:t>
      </w:r>
      <w:hyperlink r:id="rId3">
        <w:r>
          <w:rPr>
            <w:rStyle w:val="Hyperlink"/>
            <w:rFonts w:cs="FrankRuehl" w:ascii="FrankRuehl" w:hAnsi="FrankRuehl"/>
          </w:rPr>
          <w:t>13</w:t>
        </w:r>
      </w:hyperlink>
      <w:r>
        <w:rPr>
          <w:rFonts w:cs="FrankRuehl" w:ascii="FrankRuehl" w:hAnsi="FrankRuehl"/>
          <w:color w:val="0000FF"/>
          <w:u w:val="single"/>
          <w:rtl w:val="true"/>
          <w:lang w:val="en-US" w:eastAsia="en-US"/>
        </w:rPr>
        <w:t xml:space="preserve">, </w:t>
      </w:r>
      <w:hyperlink r:id="rId4">
        <w:r>
          <w:rPr>
            <w:rStyle w:val="Hyperlink"/>
            <w:rFonts w:cs="FrankRuehl" w:ascii="FrankRuehl" w:hAnsi="FrankRuehl"/>
          </w:rPr>
          <w:t>19</w:t>
        </w:r>
        <w:r>
          <w:rPr>
            <w:rStyle w:val="Hyperlink"/>
            <w:rFonts w:ascii="FrankRuehl" w:hAnsi="FrankRuehl" w:cs="FrankRuehl"/>
            <w:rtl w:val="true"/>
          </w:rPr>
          <w:t>א</w:t>
        </w:r>
      </w:hyperlink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color w:val="0000FF"/>
          <w:u w:val="single"/>
          <w:lang w:val="en-US" w:eastAsia="en-US"/>
        </w:rPr>
      </w:pPr>
      <w:hyperlink r:id="rId5">
        <w:r>
          <w:rPr>
            <w:rStyle w:val="Hyperlink"/>
            <w:rFonts w:ascii="FrankRuehl" w:hAnsi="FrankRuehl" w:cs="FrankRuehl"/>
            <w:rtl w:val="true"/>
          </w:rPr>
          <w:t>חוק העונשין</w:t>
        </w:r>
        <w:r>
          <w:rPr>
            <w:rStyle w:val="Hyperlink"/>
            <w:rFonts w:cs="FrankRuehl" w:ascii="FrankRuehl" w:hAnsi="FrankRuehl"/>
            <w:rtl w:val="true"/>
          </w:rPr>
          <w:t xml:space="preserve">, </w:t>
        </w:r>
        <w:r>
          <w:rPr>
            <w:rStyle w:val="Hyperlink"/>
            <w:rFonts w:ascii="FrankRuehl" w:hAnsi="FrankRuehl" w:cs="FrankRuehl"/>
            <w:rtl w:val="true"/>
          </w:rPr>
          <w:t>תשל</w:t>
        </w:r>
        <w:r>
          <w:rPr>
            <w:rStyle w:val="Hyperlink"/>
            <w:rFonts w:cs="FrankRuehl" w:ascii="FrankRuehl" w:hAnsi="FrankRuehl"/>
            <w:rtl w:val="true"/>
          </w:rPr>
          <w:t>"</w:t>
        </w:r>
        <w:r>
          <w:rPr>
            <w:rStyle w:val="Hyperlink"/>
            <w:rFonts w:ascii="FrankRuehl" w:hAnsi="FrankRuehl" w:cs="FrankRuehl"/>
            <w:rtl w:val="true"/>
          </w:rPr>
          <w:t>ז</w:t>
        </w:r>
        <w:r>
          <w:rPr>
            <w:rStyle w:val="Hyperlink"/>
            <w:rFonts w:cs="FrankRuehl" w:ascii="FrankRuehl" w:hAnsi="FrankRuehl"/>
            <w:rtl w:val="true"/>
          </w:rPr>
          <w:t>-</w:t>
        </w:r>
        <w:r>
          <w:rPr>
            <w:rStyle w:val="Hyperlink"/>
            <w:rFonts w:cs="FrankRuehl" w:ascii="FrankRuehl" w:hAnsi="FrankRuehl"/>
          </w:rPr>
          <w:t>1977</w:t>
        </w:r>
      </w:hyperlink>
      <w:r>
        <w:rPr>
          <w:rFonts w:cs="FrankRuehl" w:ascii="FrankRuehl" w:hAnsi="FrankRuehl"/>
          <w:color w:val="0000FF"/>
          <w:u w:val="single"/>
          <w:rtl w:val="true"/>
          <w:lang w:val="en-US" w:eastAsia="en-US"/>
        </w:rPr>
        <w:t xml:space="preserve">: </w:t>
      </w:r>
      <w:r>
        <w:rPr>
          <w:rFonts w:ascii="FrankRuehl" w:hAnsi="FrankRuehl" w:cs="FrankRuehl"/>
          <w:color w:val="0000FF"/>
          <w:u w:val="single"/>
          <w:rtl w:val="true"/>
          <w:lang w:val="en-US" w:eastAsia="en-US"/>
        </w:rPr>
        <w:t>סע</w:t>
      </w:r>
      <w:r>
        <w:rPr>
          <w:rFonts w:cs="FrankRuehl" w:ascii="FrankRuehl" w:hAnsi="FrankRuehl"/>
          <w:color w:val="0000FF"/>
          <w:u w:val="single"/>
          <w:rtl w:val="true"/>
          <w:lang w:val="en-US" w:eastAsia="en-US"/>
        </w:rPr>
        <w:t xml:space="preserve">'  </w:t>
      </w:r>
      <w:hyperlink r:id="rId6">
        <w:r>
          <w:rPr>
            <w:rStyle w:val="Hyperlink"/>
            <w:rFonts w:cs="FrankRuehl" w:ascii="FrankRuehl" w:hAnsi="FrankRuehl"/>
          </w:rPr>
          <w:t>40</w:t>
        </w:r>
        <w:r>
          <w:rPr>
            <w:rStyle w:val="Hyperlink"/>
            <w:rFonts w:ascii="FrankRuehl" w:hAnsi="FrankRuehl" w:cs="FrankRuehl"/>
            <w:rtl w:val="true"/>
          </w:rPr>
          <w:t>ג</w:t>
        </w:r>
      </w:hyperlink>
      <w:r>
        <w:rPr>
          <w:rFonts w:cs="FrankRuehl" w:ascii="FrankRuehl" w:hAnsi="FrankRuehl"/>
          <w:color w:val="0000FF"/>
          <w:u w:val="single"/>
          <w:rtl w:val="true"/>
          <w:lang w:val="en-US" w:eastAsia="en-US"/>
        </w:rPr>
        <w:t xml:space="preserve">, </w:t>
      </w:r>
      <w:hyperlink r:id="rId7">
        <w:r>
          <w:rPr>
            <w:rStyle w:val="Hyperlink"/>
            <w:rFonts w:cs="FrankRuehl" w:ascii="FrankRuehl" w:hAnsi="FrankRuehl"/>
          </w:rPr>
          <w:t>40</w:t>
        </w:r>
        <w:r>
          <w:rPr>
            <w:rStyle w:val="Hyperlink"/>
            <w:rFonts w:ascii="FrankRuehl" w:hAnsi="FrankRuehl" w:cs="FrankRuehl"/>
            <w:rtl w:val="true"/>
          </w:rPr>
          <w:t>ג</w:t>
        </w:r>
        <w:r>
          <w:rPr>
            <w:rStyle w:val="Hyperlink"/>
            <w:rFonts w:cs="FrankRuehl" w:ascii="FrankRuehl" w:hAnsi="FrankRuehl"/>
            <w:rtl w:val="true"/>
          </w:rPr>
          <w:t>(</w:t>
        </w:r>
        <w:r>
          <w:rPr>
            <w:rStyle w:val="Hyperlink"/>
            <w:rFonts w:ascii="FrankRuehl" w:hAnsi="FrankRuehl" w:cs="FrankRuehl"/>
            <w:rtl w:val="true"/>
          </w:rPr>
          <w:t>א</w:t>
        </w:r>
        <w:r>
          <w:rPr>
            <w:rStyle w:val="Hyperlink"/>
            <w:rFonts w:cs="FrankRuehl" w:ascii="FrankRuehl" w:hAnsi="FrankRuehl"/>
            <w:rtl w:val="true"/>
          </w:rPr>
          <w:t>)</w:t>
        </w:r>
      </w:hyperlink>
      <w:r>
        <w:rPr>
          <w:rFonts w:cs="FrankRuehl" w:ascii="FrankRuehl" w:hAnsi="FrankRuehl"/>
          <w:color w:val="0000FF"/>
          <w:u w:val="single"/>
          <w:rtl w:val="true"/>
          <w:lang w:val="en-US" w:eastAsia="en-US"/>
        </w:rPr>
        <w:t xml:space="preserve">, </w:t>
      </w:r>
      <w:hyperlink r:id="rId8">
        <w:r>
          <w:rPr>
            <w:rStyle w:val="Hyperlink"/>
            <w:rFonts w:cs="FrankRuehl" w:ascii="FrankRuehl" w:hAnsi="FrankRuehl"/>
          </w:rPr>
          <w:t>40</w:t>
        </w:r>
        <w:r>
          <w:rPr>
            <w:rStyle w:val="Hyperlink"/>
            <w:rFonts w:ascii="FrankRuehl" w:hAnsi="FrankRuehl" w:cs="FrankRuehl"/>
            <w:rtl w:val="true"/>
          </w:rPr>
          <w:t>ג</w:t>
        </w:r>
        <w:r>
          <w:rPr>
            <w:rStyle w:val="Hyperlink"/>
            <w:rFonts w:cs="FrankRuehl" w:ascii="FrankRuehl" w:hAnsi="FrankRuehl"/>
            <w:rtl w:val="true"/>
          </w:rPr>
          <w:t>(</w:t>
        </w:r>
        <w:r>
          <w:rPr>
            <w:rStyle w:val="Hyperlink"/>
            <w:rFonts w:ascii="FrankRuehl" w:hAnsi="FrankRuehl" w:cs="FrankRuehl"/>
            <w:rtl w:val="true"/>
          </w:rPr>
          <w:t>ב</w:t>
        </w:r>
        <w:r>
          <w:rPr>
            <w:rStyle w:val="Hyperlink"/>
            <w:rFonts w:cs="FrankRuehl" w:ascii="FrankRuehl" w:hAnsi="FrankRuehl"/>
            <w:rtl w:val="true"/>
          </w:rPr>
          <w:t>)</w:t>
        </w:r>
      </w:hyperlink>
      <w:r>
        <w:rPr>
          <w:rFonts w:cs="FrankRuehl" w:ascii="FrankRuehl" w:hAnsi="FrankRuehl"/>
          <w:color w:val="0000FF"/>
          <w:u w:val="single"/>
          <w:rtl w:val="true"/>
          <w:lang w:val="en-US" w:eastAsia="en-US"/>
        </w:rPr>
        <w:t xml:space="preserve">, </w:t>
      </w:r>
      <w:hyperlink r:id="rId9">
        <w:r>
          <w:rPr>
            <w:rStyle w:val="Hyperlink"/>
            <w:rFonts w:cs="FrankRuehl" w:ascii="FrankRuehl" w:hAnsi="FrankRuehl"/>
          </w:rPr>
          <w:t>40</w:t>
        </w:r>
        <w:r>
          <w:rPr>
            <w:rStyle w:val="Hyperlink"/>
            <w:rFonts w:ascii="FrankRuehl" w:hAnsi="FrankRuehl" w:cs="FrankRuehl"/>
            <w:rtl w:val="true"/>
          </w:rPr>
          <w:t>ה</w:t>
        </w:r>
      </w:hyperlink>
      <w:r>
        <w:rPr>
          <w:rFonts w:cs="FrankRuehl" w:ascii="FrankRuehl" w:hAnsi="FrankRuehl"/>
          <w:color w:val="0000FF"/>
          <w:u w:val="single"/>
          <w:rtl w:val="true"/>
          <w:lang w:val="en-US" w:eastAsia="en-US"/>
        </w:rPr>
        <w:t xml:space="preserve">, </w:t>
      </w:r>
      <w:hyperlink r:id="rId10">
        <w:r>
          <w:rPr>
            <w:rStyle w:val="Hyperlink"/>
            <w:rFonts w:cs="FrankRuehl" w:ascii="FrankRuehl" w:hAnsi="FrankRuehl"/>
          </w:rPr>
          <w:t>40</w:t>
        </w:r>
        <w:r>
          <w:rPr>
            <w:rStyle w:val="Hyperlink"/>
            <w:rFonts w:ascii="FrankRuehl" w:hAnsi="FrankRuehl" w:cs="FrankRuehl"/>
            <w:rtl w:val="true"/>
          </w:rPr>
          <w:t>ו</w:t>
        </w:r>
      </w:hyperlink>
      <w:r>
        <w:rPr>
          <w:rFonts w:cs="FrankRuehl" w:ascii="FrankRuehl" w:hAnsi="FrankRuehl"/>
          <w:color w:val="0000FF"/>
          <w:u w:val="single"/>
          <w:rtl w:val="true"/>
          <w:lang w:val="en-US" w:eastAsia="en-US"/>
        </w:rPr>
        <w:t xml:space="preserve">, </w:t>
      </w:r>
      <w:hyperlink r:id="rId11">
        <w:r>
          <w:rPr>
            <w:rStyle w:val="Hyperlink"/>
            <w:rFonts w:cs="FrankRuehl" w:ascii="FrankRuehl" w:hAnsi="FrankRuehl"/>
          </w:rPr>
          <w:t>40</w:t>
        </w:r>
        <w:r>
          <w:rPr>
            <w:rStyle w:val="Hyperlink"/>
            <w:rFonts w:ascii="FrankRuehl" w:hAnsi="FrankRuehl" w:cs="FrankRuehl"/>
            <w:rtl w:val="true"/>
          </w:rPr>
          <w:t>ז</w:t>
        </w:r>
      </w:hyperlink>
      <w:r>
        <w:rPr>
          <w:rFonts w:cs="FrankRuehl" w:ascii="FrankRuehl" w:hAnsi="FrankRuehl"/>
          <w:color w:val="0000FF"/>
          <w:u w:val="single"/>
          <w:rtl w:val="true"/>
          <w:lang w:val="en-US" w:eastAsia="en-US"/>
        </w:rPr>
        <w:t xml:space="preserve">, </w:t>
      </w:r>
      <w:hyperlink r:id="rId12">
        <w:r>
          <w:rPr>
            <w:rStyle w:val="Hyperlink"/>
            <w:rFonts w:cs="FrankRuehl" w:ascii="FrankRuehl" w:hAnsi="FrankRuehl"/>
          </w:rPr>
          <w:t>40</w:t>
        </w:r>
        <w:r>
          <w:rPr>
            <w:rStyle w:val="Hyperlink"/>
            <w:rFonts w:ascii="FrankRuehl" w:hAnsi="FrankRuehl" w:cs="FrankRuehl"/>
            <w:rtl w:val="true"/>
          </w:rPr>
          <w:t>ט</w:t>
        </w:r>
      </w:hyperlink>
      <w:r>
        <w:rPr>
          <w:rFonts w:cs="FrankRuehl" w:ascii="FrankRuehl" w:hAnsi="FrankRuehl"/>
          <w:color w:val="0000FF"/>
          <w:u w:val="single"/>
          <w:rtl w:val="true"/>
          <w:lang w:val="en-US" w:eastAsia="en-US"/>
        </w:rPr>
        <w:t xml:space="preserve">, </w:t>
      </w:r>
      <w:hyperlink r:id="rId13">
        <w:r>
          <w:rPr>
            <w:rStyle w:val="Hyperlink"/>
            <w:rFonts w:cs="FrankRuehl" w:ascii="FrankRuehl" w:hAnsi="FrankRuehl"/>
          </w:rPr>
          <w:t>40</w:t>
        </w:r>
        <w:r>
          <w:rPr>
            <w:rStyle w:val="Hyperlink"/>
            <w:rFonts w:ascii="FrankRuehl" w:hAnsi="FrankRuehl" w:cs="FrankRuehl"/>
            <w:rtl w:val="true"/>
          </w:rPr>
          <w:t>ט</w:t>
        </w:r>
        <w:r>
          <w:rPr>
            <w:rStyle w:val="Hyperlink"/>
            <w:rFonts w:cs="FrankRuehl" w:ascii="FrankRuehl" w:hAnsi="FrankRuehl"/>
            <w:rtl w:val="true"/>
          </w:rPr>
          <w:t>(</w:t>
        </w:r>
        <w:r>
          <w:rPr>
            <w:rStyle w:val="Hyperlink"/>
            <w:rFonts w:ascii="FrankRuehl" w:hAnsi="FrankRuehl" w:cs="FrankRuehl"/>
            <w:rtl w:val="true"/>
          </w:rPr>
          <w:t>א</w:t>
        </w:r>
        <w:r>
          <w:rPr>
            <w:rStyle w:val="Hyperlink"/>
            <w:rFonts w:cs="FrankRuehl" w:ascii="FrankRuehl" w:hAnsi="FrankRuehl"/>
            <w:rtl w:val="true"/>
          </w:rPr>
          <w:t>)(</w:t>
        </w:r>
        <w:r>
          <w:rPr>
            <w:rStyle w:val="Hyperlink"/>
            <w:rFonts w:cs="FrankRuehl" w:ascii="FrankRuehl" w:hAnsi="FrankRuehl"/>
          </w:rPr>
          <w:t>1</w:t>
        </w:r>
        <w:r>
          <w:rPr>
            <w:rStyle w:val="Hyperlink"/>
            <w:rFonts w:cs="FrankRuehl" w:ascii="FrankRuehl" w:hAnsi="FrankRuehl"/>
            <w:rtl w:val="true"/>
          </w:rPr>
          <w:t>)</w:t>
        </w:r>
      </w:hyperlink>
      <w:r>
        <w:rPr>
          <w:rFonts w:cs="FrankRuehl" w:ascii="FrankRuehl" w:hAnsi="FrankRuehl"/>
          <w:color w:val="0000FF"/>
          <w:u w:val="single"/>
          <w:rtl w:val="true"/>
          <w:lang w:val="en-US" w:eastAsia="en-US"/>
        </w:rPr>
        <w:t xml:space="preserve">, </w:t>
      </w:r>
      <w:hyperlink r:id="rId14">
        <w:r>
          <w:rPr>
            <w:rStyle w:val="Hyperlink"/>
            <w:rFonts w:cs="FrankRuehl" w:ascii="FrankRuehl" w:hAnsi="FrankRuehl"/>
          </w:rPr>
          <w:t>40</w:t>
        </w:r>
        <w:r>
          <w:rPr>
            <w:rStyle w:val="Hyperlink"/>
            <w:rFonts w:ascii="FrankRuehl" w:hAnsi="FrankRuehl" w:cs="FrankRuehl"/>
            <w:rtl w:val="true"/>
          </w:rPr>
          <w:t>ט</w:t>
        </w:r>
        <w:r>
          <w:rPr>
            <w:rStyle w:val="Hyperlink"/>
            <w:rFonts w:cs="FrankRuehl" w:ascii="FrankRuehl" w:hAnsi="FrankRuehl"/>
            <w:rtl w:val="true"/>
          </w:rPr>
          <w:t>(</w:t>
        </w:r>
        <w:r>
          <w:rPr>
            <w:rStyle w:val="Hyperlink"/>
            <w:rFonts w:ascii="FrankRuehl" w:hAnsi="FrankRuehl" w:cs="FrankRuehl"/>
            <w:rtl w:val="true"/>
          </w:rPr>
          <w:t>א</w:t>
        </w:r>
        <w:r>
          <w:rPr>
            <w:rStyle w:val="Hyperlink"/>
            <w:rFonts w:cs="FrankRuehl" w:ascii="FrankRuehl" w:hAnsi="FrankRuehl"/>
            <w:rtl w:val="true"/>
          </w:rPr>
          <w:t>)(</w:t>
        </w:r>
        <w:r>
          <w:rPr>
            <w:rStyle w:val="Hyperlink"/>
            <w:rFonts w:cs="FrankRuehl" w:ascii="FrankRuehl" w:hAnsi="FrankRuehl"/>
          </w:rPr>
          <w:t>2</w:t>
        </w:r>
        <w:r>
          <w:rPr>
            <w:rStyle w:val="Hyperlink"/>
            <w:rFonts w:cs="FrankRuehl" w:ascii="FrankRuehl" w:hAnsi="FrankRuehl"/>
            <w:rtl w:val="true"/>
          </w:rPr>
          <w:t>)</w:t>
        </w:r>
      </w:hyperlink>
      <w:r>
        <w:rPr>
          <w:rFonts w:cs="FrankRuehl" w:ascii="FrankRuehl" w:hAnsi="FrankRuehl"/>
          <w:color w:val="0000FF"/>
          <w:u w:val="single"/>
          <w:rtl w:val="true"/>
          <w:lang w:val="en-US" w:eastAsia="en-US"/>
        </w:rPr>
        <w:t xml:space="preserve">, </w:t>
      </w:r>
      <w:hyperlink r:id="rId15">
        <w:r>
          <w:rPr>
            <w:rStyle w:val="Hyperlink"/>
            <w:rFonts w:cs="FrankRuehl" w:ascii="FrankRuehl" w:hAnsi="FrankRuehl"/>
          </w:rPr>
          <w:t>40</w:t>
        </w:r>
        <w:r>
          <w:rPr>
            <w:rStyle w:val="Hyperlink"/>
            <w:rFonts w:ascii="FrankRuehl" w:hAnsi="FrankRuehl" w:cs="FrankRuehl"/>
            <w:rtl w:val="true"/>
          </w:rPr>
          <w:t>יא</w:t>
        </w:r>
      </w:hyperlink>
      <w:r>
        <w:rPr>
          <w:rFonts w:cs="FrankRuehl" w:ascii="FrankRuehl" w:hAnsi="FrankRuehl"/>
          <w:color w:val="0000FF"/>
          <w:u w:val="single"/>
          <w:rtl w:val="true"/>
          <w:lang w:val="en-US" w:eastAsia="en-US"/>
        </w:rPr>
        <w:t xml:space="preserve">, </w:t>
      </w:r>
      <w:hyperlink r:id="rId16">
        <w:r>
          <w:rPr>
            <w:rStyle w:val="Hyperlink"/>
            <w:rFonts w:cs="FrankRuehl" w:ascii="FrankRuehl" w:hAnsi="FrankRuehl"/>
          </w:rPr>
          <w:t>40</w:t>
        </w:r>
        <w:r>
          <w:rPr>
            <w:rStyle w:val="Hyperlink"/>
            <w:rFonts w:ascii="FrankRuehl" w:hAnsi="FrankRuehl" w:cs="FrankRuehl"/>
            <w:rtl w:val="true"/>
          </w:rPr>
          <w:t>יג</w:t>
        </w:r>
      </w:hyperlink>
      <w:r>
        <w:rPr>
          <w:rFonts w:cs="FrankRuehl" w:ascii="FrankRuehl" w:hAnsi="FrankRuehl"/>
          <w:color w:val="0000FF"/>
          <w:u w:val="single"/>
          <w:rtl w:val="true"/>
          <w:lang w:val="en-US" w:eastAsia="en-US"/>
        </w:rPr>
        <w:t xml:space="preserve">, </w:t>
      </w:r>
      <w:hyperlink r:id="rId17">
        <w:r>
          <w:rPr>
            <w:rStyle w:val="Hyperlink"/>
            <w:rFonts w:cs="FrankRuehl" w:ascii="FrankRuehl" w:hAnsi="FrankRuehl"/>
          </w:rPr>
          <w:t>40</w:t>
        </w:r>
        <w:r>
          <w:rPr>
            <w:rStyle w:val="Hyperlink"/>
            <w:rFonts w:ascii="FrankRuehl" w:hAnsi="FrankRuehl" w:cs="FrankRuehl"/>
            <w:rtl w:val="true"/>
          </w:rPr>
          <w:t>יג</w:t>
        </w:r>
        <w:r>
          <w:rPr>
            <w:rStyle w:val="Hyperlink"/>
            <w:rFonts w:cs="FrankRuehl" w:ascii="FrankRuehl" w:hAnsi="FrankRuehl"/>
            <w:rtl w:val="true"/>
          </w:rPr>
          <w:t>(</w:t>
        </w:r>
        <w:r>
          <w:rPr>
            <w:rStyle w:val="Hyperlink"/>
            <w:rFonts w:ascii="FrankRuehl" w:hAnsi="FrankRuehl" w:cs="FrankRuehl"/>
            <w:rtl w:val="true"/>
          </w:rPr>
          <w:t>ב</w:t>
        </w:r>
        <w:r>
          <w:rPr>
            <w:rStyle w:val="Hyperlink"/>
            <w:rFonts w:cs="FrankRuehl" w:ascii="FrankRuehl" w:hAnsi="FrankRuehl"/>
            <w:rtl w:val="true"/>
          </w:rPr>
          <w:t>)</w:t>
        </w:r>
      </w:hyperlink>
      <w:r>
        <w:rPr>
          <w:rFonts w:cs="FrankRuehl" w:ascii="FrankRuehl" w:hAnsi="FrankRuehl"/>
          <w:color w:val="0000FF"/>
          <w:u w:val="single"/>
          <w:rtl w:val="true"/>
          <w:lang w:val="en-US" w:eastAsia="en-US"/>
        </w:rPr>
        <w:t xml:space="preserve">, </w:t>
      </w:r>
      <w:hyperlink r:id="rId18">
        <w:r>
          <w:rPr>
            <w:rStyle w:val="Hyperlink"/>
            <w:rFonts w:cs="FrankRuehl" w:ascii="FrankRuehl" w:hAnsi="FrankRuehl"/>
          </w:rPr>
          <w:t>40</w:t>
        </w:r>
        <w:r>
          <w:rPr>
            <w:rStyle w:val="Hyperlink"/>
            <w:rFonts w:ascii="FrankRuehl" w:hAnsi="FrankRuehl" w:cs="FrankRuehl"/>
            <w:rtl w:val="true"/>
          </w:rPr>
          <w:t>יג</w:t>
        </w:r>
        <w:r>
          <w:rPr>
            <w:rStyle w:val="Hyperlink"/>
            <w:rFonts w:cs="FrankRuehl" w:ascii="FrankRuehl" w:hAnsi="FrankRuehl"/>
            <w:rtl w:val="true"/>
          </w:rPr>
          <w:t>(</w:t>
        </w:r>
        <w:r>
          <w:rPr>
            <w:rStyle w:val="Hyperlink"/>
            <w:rFonts w:ascii="FrankRuehl" w:hAnsi="FrankRuehl" w:cs="FrankRuehl"/>
            <w:rtl w:val="true"/>
          </w:rPr>
          <w:t>ג</w:t>
        </w:r>
        <w:r>
          <w:rPr>
            <w:rStyle w:val="Hyperlink"/>
            <w:rFonts w:cs="FrankRuehl" w:ascii="FrankRuehl" w:hAnsi="FrankRuehl"/>
            <w:rtl w:val="true"/>
          </w:rPr>
          <w:t>)</w:t>
        </w:r>
      </w:hyperlink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color w:val="0000FF"/>
          <w:u w:val="single"/>
          <w:lang w:val="en-US" w:eastAsia="en-US"/>
        </w:rPr>
      </w:pPr>
      <w:r>
        <w:rPr>
          <w:rFonts w:cs="FrankRuehl" w:ascii="FrankRuehl" w:hAnsi="FrankRuehl"/>
          <w:color w:val="0000FF"/>
          <w:u w:val="single"/>
          <w:rtl w:val="true"/>
          <w:lang w:val="en-US" w:eastAsia="en-US"/>
        </w:rPr>
      </w:r>
    </w:p>
    <w:p>
      <w:pPr>
        <w:pStyle w:val="Style13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start="0" w:end="0"/>
        <w:contextualSpacing/>
        <w:jc w:val="both"/>
        <w:rPr>
          <w:rFonts w:cs="FrankRuehl"/>
          <w:szCs w:val="26"/>
        </w:rPr>
      </w:pPr>
      <w:bookmarkStart w:id="5" w:name="ABSTRACT_START"/>
      <w:bookmarkEnd w:id="5"/>
      <w:r>
        <w:rPr>
          <w:rFonts w:cs="FrankRuehl"/>
          <w:szCs w:val="26"/>
          <w:rtl w:val="true"/>
        </w:rPr>
        <w:t>מיני</w:t>
      </w:r>
      <w:r>
        <w:rPr>
          <w:rFonts w:cs="FrankRuehl"/>
          <w:szCs w:val="26"/>
          <w:rtl w:val="true"/>
        </w:rPr>
        <w:t>-</w:t>
      </w:r>
      <w:r>
        <w:rPr>
          <w:rFonts w:cs="FrankRuehl"/>
          <w:szCs w:val="26"/>
          <w:rtl w:val="true"/>
        </w:rPr>
        <w:t>רציו</w:t>
      </w:r>
      <w:r>
        <w:rPr>
          <w:rFonts w:cs="FrankRuehl"/>
          <w:szCs w:val="26"/>
          <w:rtl w:val="true"/>
        </w:rPr>
        <w:t>:</w:t>
      </w:r>
    </w:p>
    <w:p>
      <w:pPr>
        <w:pStyle w:val="Style13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start="0" w:end="0"/>
        <w:contextualSpacing/>
        <w:jc w:val="both"/>
        <w:rPr>
          <w:rFonts w:cs="FrankRuehl"/>
          <w:szCs w:val="26"/>
        </w:rPr>
      </w:pPr>
      <w:r>
        <w:rPr>
          <w:rFonts w:cs="FrankRuehl"/>
          <w:szCs w:val="26"/>
          <w:rtl w:val="true"/>
        </w:rPr>
        <w:t xml:space="preserve">* </w:t>
      </w:r>
      <w:r>
        <w:rPr>
          <w:rFonts w:cs="FrankRuehl"/>
          <w:szCs w:val="26"/>
          <w:rtl w:val="true"/>
        </w:rPr>
        <w:t>ביהמ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ש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החמיר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בעונש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המאסר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שהוטל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המשיב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בגין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הרשעתו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בביצוע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</w:rPr>
        <w:t>5</w:t>
      </w:r>
      <w:r>
        <w:rPr>
          <w:rFonts w:cs="FrankRuehl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עבירות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סחר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בסמים</w:t>
      </w:r>
      <w:r>
        <w:rPr>
          <w:rFonts w:cs="FrankRuehl"/>
          <w:szCs w:val="26"/>
          <w:rtl w:val="true"/>
        </w:rPr>
        <w:t>.</w:t>
      </w:r>
    </w:p>
    <w:p>
      <w:pPr>
        <w:pStyle w:val="Style13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start="0" w:end="0"/>
        <w:contextualSpacing/>
        <w:jc w:val="both"/>
        <w:rPr/>
      </w:pPr>
      <w:r>
        <w:rPr>
          <w:rFonts w:cs="FrankRuehl"/>
          <w:szCs w:val="26"/>
          <w:rtl w:val="true"/>
        </w:rPr>
        <w:t>*</w:t>
      </w:r>
      <w:r>
        <w:rPr>
          <w:rFonts w:cs="FrankRuehl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עונשין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–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ענישה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–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מתחם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הענישה</w:t>
      </w:r>
    </w:p>
    <w:p>
      <w:pPr>
        <w:pStyle w:val="Style13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start="0" w:end="0"/>
        <w:contextualSpacing/>
        <w:jc w:val="both"/>
        <w:rPr>
          <w:rFonts w:cs="FrankRuehl"/>
          <w:szCs w:val="26"/>
        </w:rPr>
      </w:pPr>
      <w:r>
        <w:rPr>
          <w:rFonts w:cs="FrankRuehl"/>
          <w:szCs w:val="26"/>
          <w:rtl w:val="true"/>
        </w:rPr>
        <w:t xml:space="preserve">* </w:t>
      </w:r>
      <w:r>
        <w:rPr>
          <w:rFonts w:cs="FrankRuehl"/>
          <w:szCs w:val="26"/>
          <w:rtl w:val="true"/>
        </w:rPr>
        <w:t>עונשין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–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ענישה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–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מדיניות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ענישה</w:t>
      </w:r>
      <w:r>
        <w:rPr>
          <w:rFonts w:cs="FrankRuehl"/>
          <w:szCs w:val="26"/>
          <w:rtl w:val="true"/>
        </w:rPr>
        <w:t xml:space="preserve">: </w:t>
      </w:r>
      <w:r>
        <w:rPr>
          <w:rFonts w:cs="FrankRuehl"/>
          <w:szCs w:val="26"/>
          <w:rtl w:val="true"/>
        </w:rPr>
        <w:t>עבירות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סמים</w:t>
      </w:r>
    </w:p>
    <w:p>
      <w:pPr>
        <w:pStyle w:val="Style13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start="0" w:end="0"/>
        <w:contextualSpacing/>
        <w:jc w:val="both"/>
        <w:rPr>
          <w:rFonts w:cs="FrankRuehl"/>
          <w:szCs w:val="26"/>
        </w:rPr>
      </w:pPr>
      <w:r>
        <w:rPr>
          <w:rFonts w:cs="FrankRuehl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"/>
          <w:szCs w:val="26"/>
        </w:rPr>
      </w:pPr>
      <w:r>
        <w:rPr>
          <w:rFonts w:cs="FrankRuehl"/>
          <w:szCs w:val="26"/>
          <w:rtl w:val="true"/>
        </w:rPr>
        <w:t>ערעור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המדינה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קולת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העונש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שנגזר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המשיב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בגין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</w:rPr>
        <w:t>5</w:t>
      </w:r>
      <w:r>
        <w:rPr>
          <w:rFonts w:cs="FrankRuehl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עבירות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סחר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בסמים</w:t>
      </w:r>
      <w:r>
        <w:rPr>
          <w:rFonts w:cs="FrankRuehl"/>
          <w:szCs w:val="26"/>
          <w:rtl w:val="true"/>
        </w:rPr>
        <w:t xml:space="preserve">: </w:t>
      </w:r>
      <w:r>
        <w:rPr>
          <w:rFonts w:cs="FrankRuehl"/>
          <w:szCs w:val="26"/>
        </w:rPr>
        <w:t>16</w:t>
      </w:r>
      <w:r>
        <w:rPr>
          <w:rFonts w:cs="FrankRuehl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חודשי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מאסר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בפועל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</w:rPr>
        <w:t>6</w:t>
      </w:r>
      <w:r>
        <w:rPr>
          <w:rFonts w:cs="FrankRuehl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חודשי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מאסר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תנאי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וקנס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בסך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</w:rPr>
        <w:t>2,000</w:t>
      </w:r>
      <w:r>
        <w:rPr>
          <w:rFonts w:cs="FrankRuehl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ח</w:t>
      </w:r>
      <w:r>
        <w:rPr>
          <w:rFonts w:cs="FrankRuehl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"/>
          <w:szCs w:val="26"/>
        </w:rPr>
      </w:pPr>
      <w:r>
        <w:rPr>
          <w:rFonts w:cs="FrankRuehl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szCs w:val="26"/>
        </w:rPr>
      </w:pPr>
      <w:r>
        <w:rPr>
          <w:rFonts w:cs="FrankRuehl"/>
          <w:szCs w:val="26"/>
          <w:rtl w:val="true"/>
        </w:rPr>
        <w:t>בית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המשפט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המחוזי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קיבל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את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הערעור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ופסק</w:t>
      </w:r>
      <w:r>
        <w:rPr>
          <w:rFonts w:cs="FrankRuehl"/>
          <w:szCs w:val="26"/>
          <w:rtl w:val="true"/>
        </w:rPr>
        <w:t>: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"/>
          <w:szCs w:val="26"/>
        </w:rPr>
      </w:pPr>
      <w:r>
        <w:rPr>
          <w:rFonts w:cs="FrankRuehl"/>
          <w:szCs w:val="26"/>
          <w:rtl w:val="true"/>
        </w:rPr>
        <w:t>כאשר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מדובר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בנאשם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שעיסוקו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הוא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סחר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בסמים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מתחם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העונש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ההולם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שנקבע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עד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</w:rPr>
        <w:t>12</w:t>
      </w:r>
      <w:r>
        <w:rPr>
          <w:rFonts w:cs="FrankRuehl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חודשי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מאסר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בפועל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–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הוא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מתחם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סביר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אולם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בנסיבות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העניין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יש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מקום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לקבוע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את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העונש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בשליש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העליון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ואולי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אף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ברבע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העליון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המתחם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ולא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באמצעו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כפי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שעשה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בימ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ש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קמא</w:t>
      </w:r>
      <w:r>
        <w:rPr>
          <w:rFonts w:cs="FrankRuehl"/>
          <w:szCs w:val="26"/>
          <w:rtl w:val="true"/>
        </w:rPr>
        <w:t xml:space="preserve">. </w:t>
      </w:r>
      <w:r>
        <w:rPr>
          <w:rFonts w:cs="FrankRuehl"/>
          <w:szCs w:val="26"/>
          <w:rtl w:val="true"/>
        </w:rPr>
        <w:t>לפיכך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עונש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המאסר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בפועל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יוחמר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ויועמד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</w:rPr>
        <w:t>24</w:t>
      </w:r>
      <w:r>
        <w:rPr>
          <w:rFonts w:cs="FrankRuehl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חודשי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מאסר</w:t>
      </w:r>
      <w:r>
        <w:rPr>
          <w:rFonts w:cs="FrankRuehl"/>
          <w:szCs w:val="26"/>
          <w:rtl w:val="true"/>
        </w:rPr>
        <w:t>.</w:t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Cs w:val="26"/>
          <w:lang w:val="en-US" w:eastAsia="en-US"/>
        </w:rPr>
      </w:pPr>
      <w:r>
        <w:rPr>
          <w:rFonts w:cs="FrankRuehl" w:ascii="FrankRuehl" w:hAnsi="FrankRuehl"/>
          <w:szCs w:val="26"/>
          <w:rtl w:val="true"/>
          <w:lang w:val="en-US" w:eastAsia="en-US"/>
        </w:rPr>
      </w:r>
      <w:bookmarkStart w:id="6" w:name="ABSTRACT_END"/>
      <w:bookmarkStart w:id="7" w:name="ABSTRACT_END"/>
      <w:bookmarkEnd w:id="7"/>
    </w:p>
    <w:p>
      <w:pPr>
        <w:pStyle w:val="Normal"/>
        <w:ind w:end="0"/>
        <w:jc w:val="center"/>
        <w:rPr>
          <w:rFonts w:ascii="Arial" w:hAnsi="Arial" w:cs="Arial"/>
          <w:b/>
          <w:bCs/>
          <w:sz w:val="28"/>
          <w:szCs w:val="28"/>
          <w:lang w:val="en-US" w:eastAsia="en-US"/>
        </w:rPr>
      </w:pPr>
      <w:bookmarkStart w:id="8" w:name="PsakDin"/>
      <w:bookmarkStart w:id="9" w:name="LawTable_End"/>
      <w:bookmarkEnd w:id="8"/>
      <w:bookmarkEnd w:id="9"/>
      <w:r>
        <w:rPr>
          <w:rFonts w:ascii="Arial" w:hAnsi="Arial" w:cs="Arial"/>
          <w:b/>
          <w:b/>
          <w:bCs/>
          <w:sz w:val="28"/>
          <w:sz w:val="28"/>
          <w:szCs w:val="28"/>
          <w:rtl w:val="true"/>
          <w:lang w:val="en-US" w:eastAsia="en-US"/>
        </w:rPr>
        <w:t>פסק</w:t>
      </w:r>
      <w:r>
        <w:rPr>
          <w:rFonts w:cs="Arial" w:ascii="Arial" w:hAnsi="Arial"/>
          <w:b/>
          <w:bCs/>
          <w:sz w:val="28"/>
          <w:szCs w:val="28"/>
          <w:rtl w:val="true"/>
          <w:lang w:val="en-US" w:eastAsia="en-US"/>
        </w:rPr>
        <w:t>-</w:t>
      </w:r>
      <w:r>
        <w:rPr>
          <w:rFonts w:ascii="Arial" w:hAnsi="Arial" w:cs="Arial"/>
          <w:b/>
          <w:b/>
          <w:bCs/>
          <w:sz w:val="28"/>
          <w:sz w:val="28"/>
          <w:szCs w:val="28"/>
          <w:rtl w:val="true"/>
          <w:lang w:val="en-US" w:eastAsia="en-US"/>
        </w:rPr>
        <w:t>דין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b/>
          <w:bCs/>
          <w:sz w:val="32"/>
          <w:szCs w:val="32"/>
          <w:u w:val="single"/>
          <w:lang w:val="en-US" w:eastAsia="en-US"/>
        </w:rPr>
      </w:pPr>
      <w:r>
        <w:rPr>
          <w:rFonts w:cs="Arial" w:ascii="Arial" w:hAnsi="Arial"/>
          <w:b/>
          <w:bCs/>
          <w:sz w:val="32"/>
          <w:szCs w:val="32"/>
          <w:u w:val="single"/>
          <w:rtl w:val="true"/>
          <w:lang w:val="en-US" w:eastAsia="en-US"/>
        </w:rPr>
      </w:r>
      <w:bookmarkStart w:id="10" w:name="PsakDin"/>
      <w:bookmarkStart w:id="11" w:name="PsakDin"/>
      <w:bookmarkEnd w:id="11"/>
    </w:p>
    <w:p>
      <w:pPr>
        <w:pStyle w:val="Normal"/>
        <w:spacing w:lineRule="auto" w:line="360"/>
        <w:ind w:end="0"/>
        <w:jc w:val="both"/>
        <w:rPr>
          <w:rFonts w:ascii="Arial" w:hAnsi="Arial" w:cs="Arial"/>
          <w:b/>
          <w:bCs/>
          <w:sz w:val="28"/>
          <w:szCs w:val="28"/>
          <w:u w:val="single"/>
          <w:lang w:val="en-US" w:eastAsia="en-US"/>
        </w:rPr>
      </w:pPr>
      <w:r>
        <w:rPr>
          <w:rFonts w:ascii="Arial" w:hAnsi="Arial" w:cs="Arial"/>
          <w:b/>
          <w:b/>
          <w:bCs/>
          <w:sz w:val="28"/>
          <w:sz w:val="28"/>
          <w:szCs w:val="28"/>
          <w:u w:val="single"/>
          <w:rtl w:val="true"/>
          <w:lang w:val="en-US" w:eastAsia="en-US"/>
        </w:rPr>
        <w:t>סגן הנשיא משה דרורי</w:t>
      </w:r>
      <w:r>
        <w:rPr>
          <w:rFonts w:cs="Arial" w:ascii="Arial" w:hAnsi="Arial"/>
          <w:b/>
          <w:bCs/>
          <w:sz w:val="28"/>
          <w:szCs w:val="28"/>
          <w:u w:val="single"/>
          <w:rtl w:val="true"/>
          <w:lang w:val="en-US" w:eastAsia="en-US"/>
        </w:rPr>
        <w:t>: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b/>
          <w:bCs/>
          <w:sz w:val="28"/>
          <w:szCs w:val="28"/>
          <w:u w:val="single"/>
          <w:lang w:val="en-US" w:eastAsia="en-US"/>
        </w:rPr>
      </w:pPr>
      <w:r>
        <w:rPr>
          <w:rFonts w:cs="Arial" w:ascii="Arial" w:hAnsi="Arial"/>
          <w:b/>
          <w:bCs/>
          <w:sz w:val="28"/>
          <w:szCs w:val="28"/>
          <w:u w:val="single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b/>
          <w:bCs/>
          <w:u w:val="single"/>
          <w:lang w:val="en-US" w:eastAsia="en-US"/>
        </w:rPr>
      </w:pPr>
      <w:r>
        <w:rPr>
          <w:rFonts w:ascii="Arial" w:hAnsi="Arial" w:cs="Arial"/>
          <w:b/>
          <w:b/>
          <w:bCs/>
          <w:u w:val="single"/>
          <w:rtl w:val="true"/>
          <w:lang w:val="en-US" w:eastAsia="en-US"/>
        </w:rPr>
        <w:t>כללי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b/>
          <w:bCs/>
          <w:u w:val="single"/>
          <w:lang w:val="en-US" w:eastAsia="en-US"/>
        </w:rPr>
      </w:pPr>
      <w:r>
        <w:rPr>
          <w:rFonts w:cs="Arial" w:ascii="Arial" w:hAnsi="Arial"/>
          <w:b/>
          <w:bCs/>
          <w:u w:val="single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1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בפנינו ערעור המדינה על קולת העונש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שגזר בית המשפט השלום בירושלים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ascii="Arial" w:hAnsi="Arial" w:cs="Arial"/>
          <w:rtl w:val="true"/>
          <w:lang w:val="en-US" w:eastAsia="en-US"/>
        </w:rPr>
        <w:t>כב</w:t>
      </w:r>
      <w:r>
        <w:rPr>
          <w:rFonts w:cs="Arial" w:ascii="Arial" w:hAnsi="Arial"/>
          <w:rtl w:val="true"/>
          <w:lang w:val="en-US" w:eastAsia="en-US"/>
        </w:rPr>
        <w:t xml:space="preserve">' </w:t>
      </w:r>
      <w:r>
        <w:rPr>
          <w:rFonts w:ascii="Arial" w:hAnsi="Arial" w:cs="Arial"/>
          <w:rtl w:val="true"/>
          <w:lang w:val="en-US" w:eastAsia="en-US"/>
        </w:rPr>
        <w:t>השופט שמואל הרבסט</w:t>
      </w:r>
      <w:r>
        <w:rPr>
          <w:rFonts w:cs="Arial" w:ascii="Arial" w:hAnsi="Arial"/>
          <w:rtl w:val="true"/>
          <w:lang w:val="en-US" w:eastAsia="en-US"/>
        </w:rPr>
        <w:t xml:space="preserve">) </w:t>
      </w:r>
      <w:r>
        <w:rPr>
          <w:rFonts w:ascii="Arial" w:hAnsi="Arial" w:cs="Arial"/>
          <w:rtl w:val="true"/>
          <w:lang w:val="en-US" w:eastAsia="en-US"/>
        </w:rPr>
        <w:t>ב</w:t>
      </w:r>
      <w:hyperlink r:id="rId19">
        <w:r>
          <w:rPr>
            <w:rStyle w:val="Hyperlink"/>
            <w:rFonts w:ascii="Arial" w:hAnsi="Arial" w:cs="Arial"/>
            <w:color w:val="0000FF"/>
            <w:u w:val="single"/>
            <w:rtl w:val="true"/>
            <w:lang w:val="en-US" w:eastAsia="en-US"/>
          </w:rPr>
          <w:t>ת</w:t>
        </w:r>
        <w:r>
          <w:rPr>
            <w:rStyle w:val="Hyperlink"/>
            <w:rFonts w:cs="Arial" w:ascii="Arial" w:hAnsi="Arial"/>
            <w:color w:val="0000FF"/>
            <w:u w:val="single"/>
            <w:rtl w:val="true"/>
            <w:lang w:val="en-US" w:eastAsia="en-US"/>
          </w:rPr>
          <w:t>"</w:t>
        </w:r>
        <w:r>
          <w:rPr>
            <w:rStyle w:val="Hyperlink"/>
            <w:rFonts w:ascii="Arial" w:hAnsi="Arial" w:cs="Arial"/>
            <w:color w:val="0000FF"/>
            <w:u w:val="single"/>
            <w:rtl w:val="true"/>
            <w:lang w:val="en-US" w:eastAsia="en-US"/>
          </w:rPr>
          <w:t xml:space="preserve">פ </w:t>
        </w:r>
        <w:r>
          <w:rPr>
            <w:rStyle w:val="Hyperlink"/>
            <w:rFonts w:cs="Arial" w:ascii="Arial" w:hAnsi="Arial"/>
            <w:color w:val="0000FF"/>
            <w:u w:val="single"/>
            <w:lang w:val="en-US" w:eastAsia="en-US"/>
          </w:rPr>
          <w:t>60564-05-13</w:t>
        </w:r>
      </w:hyperlink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sz w:val="22"/>
          <w:rtl w:val="true"/>
          <w:lang w:val="en-US" w:eastAsia="en-US"/>
        </w:rPr>
        <w:t>[</w:t>
      </w:r>
      <w:r>
        <w:rPr>
          <w:sz w:val="22"/>
          <w:sz w:val="22"/>
          <w:rtl w:val="true"/>
          <w:lang w:val="en-US" w:eastAsia="en-US"/>
        </w:rPr>
        <w:t>פורסם</w:t>
      </w:r>
      <w:r>
        <w:rPr>
          <w:rFonts w:cs="Times New Roman"/>
          <w:sz w:val="22"/>
          <w:sz w:val="22"/>
          <w:rtl w:val="true"/>
          <w:lang w:val="en-US" w:eastAsia="en-US"/>
        </w:rPr>
        <w:t xml:space="preserve"> </w:t>
      </w:r>
      <w:r>
        <w:rPr>
          <w:sz w:val="22"/>
          <w:sz w:val="22"/>
          <w:rtl w:val="true"/>
          <w:lang w:val="en-US" w:eastAsia="en-US"/>
        </w:rPr>
        <w:t>בנבו</w:t>
      </w:r>
      <w:r>
        <w:rPr>
          <w:sz w:val="22"/>
          <w:rtl w:val="true"/>
          <w:lang w:val="en-US" w:eastAsia="en-US"/>
        </w:rPr>
        <w:t xml:space="preserve">] </w:t>
      </w:r>
      <w:r>
        <w:rPr>
          <w:rFonts w:ascii="Arial" w:hAnsi="Arial" w:cs="Arial"/>
          <w:rtl w:val="true"/>
          <w:lang w:val="en-US" w:eastAsia="en-US"/>
        </w:rPr>
        <w:t>ביום יב אדר תשע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 xml:space="preserve">ד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cs="Arial" w:ascii="Arial" w:hAnsi="Arial"/>
          <w:lang w:val="en-US" w:eastAsia="en-US"/>
        </w:rPr>
        <w:t>12.2.14</w:t>
      </w:r>
      <w:r>
        <w:rPr>
          <w:rFonts w:cs="Arial" w:ascii="Arial" w:hAnsi="Arial"/>
          <w:rtl w:val="true"/>
          <w:lang w:val="en-US" w:eastAsia="en-US"/>
        </w:rPr>
        <w:t xml:space="preserve">), </w:t>
      </w:r>
      <w:r>
        <w:rPr>
          <w:rFonts w:ascii="Arial" w:hAnsi="Arial" w:cs="Arial"/>
          <w:rtl w:val="true"/>
          <w:lang w:val="en-US" w:eastAsia="en-US"/>
        </w:rPr>
        <w:t>על המשיב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בגין עבירות סחר בסמים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ואלה העונשים</w:t>
      </w:r>
      <w:r>
        <w:rPr>
          <w:rFonts w:cs="Arial" w:ascii="Arial" w:hAnsi="Arial"/>
          <w:rtl w:val="true"/>
          <w:lang w:val="en-US" w:eastAsia="en-US"/>
        </w:rPr>
        <w:t xml:space="preserve">: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  <w:tab/>
      </w:r>
      <w:r>
        <w:rPr>
          <w:rFonts w:ascii="Arial" w:hAnsi="Arial" w:cs="Arial"/>
          <w:rtl w:val="true"/>
          <w:lang w:val="en-US" w:eastAsia="en-US"/>
        </w:rPr>
        <w:t>א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cs="Arial" w:ascii="Arial" w:hAnsi="Arial"/>
          <w:lang w:val="en-US" w:eastAsia="en-US"/>
        </w:rPr>
        <w:t>16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חודשי מאסר בפו</w:t>
      </w:r>
      <w:bookmarkStart w:id="12" w:name="_GoBack"/>
      <w:bookmarkEnd w:id="12"/>
      <w:r>
        <w:rPr>
          <w:rFonts w:ascii="Arial" w:hAnsi="Arial" w:cs="Arial"/>
          <w:rtl w:val="true"/>
          <w:lang w:val="en-US" w:eastAsia="en-US"/>
        </w:rPr>
        <w:t xml:space="preserve">על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ascii="Arial" w:hAnsi="Arial" w:cs="Arial"/>
          <w:rtl w:val="true"/>
          <w:lang w:val="en-US" w:eastAsia="en-US"/>
        </w:rPr>
        <w:t>בניכוי ימי מעצרו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החל מיום </w:t>
      </w:r>
      <w:r>
        <w:rPr>
          <w:rFonts w:cs="Arial" w:ascii="Arial" w:hAnsi="Arial"/>
          <w:lang w:val="en-US" w:eastAsia="en-US"/>
        </w:rPr>
        <w:t>26.5.13</w:t>
      </w:r>
      <w:r>
        <w:rPr>
          <w:rFonts w:cs="Arial" w:ascii="Arial" w:hAnsi="Arial"/>
          <w:rtl w:val="true"/>
          <w:lang w:val="en-US" w:eastAsia="en-US"/>
        </w:rPr>
        <w:t>);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  <w:tab/>
      </w:r>
      <w:r>
        <w:rPr>
          <w:rFonts w:ascii="Arial" w:hAnsi="Arial" w:cs="Arial"/>
          <w:rtl w:val="true"/>
          <w:lang w:val="en-US" w:eastAsia="en-US"/>
        </w:rPr>
        <w:t>ב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 xml:space="preserve">מאסר על תנאי של </w:t>
      </w:r>
      <w:r>
        <w:rPr>
          <w:rFonts w:cs="Arial" w:ascii="Arial" w:hAnsi="Arial"/>
          <w:lang w:val="en-US" w:eastAsia="en-US"/>
        </w:rPr>
        <w:t>6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חודשים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למשך שלוש שנים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על עבירות סחר בסמים</w:t>
      </w:r>
      <w:r>
        <w:rPr>
          <w:rFonts w:cs="Arial" w:ascii="Arial" w:hAnsi="Arial"/>
          <w:rtl w:val="true"/>
          <w:lang w:val="en-US" w:eastAsia="en-US"/>
        </w:rPr>
        <w:t>;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  <w:tab/>
      </w:r>
      <w:r>
        <w:rPr>
          <w:rFonts w:ascii="Arial" w:hAnsi="Arial" w:cs="Arial"/>
          <w:rtl w:val="true"/>
          <w:lang w:val="en-US" w:eastAsia="en-US"/>
        </w:rPr>
        <w:t>ג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 xml:space="preserve">קנס בסך </w:t>
      </w:r>
      <w:r>
        <w:rPr>
          <w:rFonts w:cs="Arial" w:ascii="Arial" w:hAnsi="Arial"/>
          <w:lang w:val="en-US" w:eastAsia="en-US"/>
        </w:rPr>
        <w:t>2,000</w:t>
      </w:r>
      <w:r>
        <w:rPr>
          <w:rFonts w:cs="Arial" w:ascii="Arial" w:hAnsi="Arial"/>
          <w:rtl w:val="true"/>
          <w:lang w:val="en-US" w:eastAsia="en-US"/>
        </w:rPr>
        <w:t xml:space="preserve"> ₪, </w:t>
      </w:r>
      <w:r>
        <w:rPr>
          <w:rFonts w:ascii="Arial" w:hAnsi="Arial" w:cs="Arial"/>
          <w:rtl w:val="true"/>
          <w:lang w:val="en-US" w:eastAsia="en-US"/>
        </w:rPr>
        <w:t xml:space="preserve">שישולם עד ליום </w:t>
      </w:r>
      <w:r>
        <w:rPr>
          <w:rFonts w:cs="Arial" w:ascii="Arial" w:hAnsi="Arial"/>
          <w:lang w:val="en-US" w:eastAsia="en-US"/>
        </w:rPr>
        <w:t>1.10.14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או </w:t>
      </w:r>
      <w:r>
        <w:rPr>
          <w:rFonts w:cs="Arial" w:ascii="Arial" w:hAnsi="Arial"/>
          <w:lang w:val="en-US" w:eastAsia="en-US"/>
        </w:rPr>
        <w:t>70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ימי מאסר תמורתו</w:t>
      </w:r>
      <w:r>
        <w:rPr>
          <w:rFonts w:cs="Arial" w:ascii="Arial" w:hAnsi="Arial"/>
          <w:rtl w:val="true"/>
          <w:lang w:val="en-US" w:eastAsia="en-US"/>
        </w:rPr>
        <w:t>.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b/>
          <w:bCs/>
          <w:u w:val="single"/>
          <w:lang w:val="en-US" w:eastAsia="en-US"/>
        </w:rPr>
      </w:pPr>
      <w:r>
        <w:rPr>
          <w:rFonts w:ascii="Arial" w:hAnsi="Arial" w:cs="Arial"/>
          <w:b/>
          <w:b/>
          <w:bCs/>
          <w:u w:val="single"/>
          <w:rtl w:val="true"/>
          <w:lang w:val="en-US" w:eastAsia="en-US"/>
        </w:rPr>
        <w:t>הליכים בבית משפט קמא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b/>
          <w:bCs/>
          <w:u w:val="single"/>
          <w:lang w:val="en-US" w:eastAsia="en-US"/>
        </w:rPr>
      </w:pPr>
      <w:r>
        <w:rPr>
          <w:rFonts w:cs="Arial" w:ascii="Arial" w:hAnsi="Arial"/>
          <w:b/>
          <w:bCs/>
          <w:u w:val="single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2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נגד הנאשם ואחיו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אחמד סליימה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ascii="Arial" w:hAnsi="Arial" w:cs="Arial"/>
          <w:rtl w:val="true"/>
          <w:lang w:val="en-US" w:eastAsia="en-US"/>
        </w:rPr>
        <w:t xml:space="preserve">להלן – 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האח</w:t>
      </w:r>
      <w:r>
        <w:rPr>
          <w:rFonts w:cs="Arial" w:ascii="Arial" w:hAnsi="Arial"/>
          <w:rtl w:val="true"/>
          <w:lang w:val="en-US" w:eastAsia="en-US"/>
        </w:rPr>
        <w:t xml:space="preserve">" </w:t>
      </w:r>
      <w:r>
        <w:rPr>
          <w:rFonts w:ascii="Arial" w:hAnsi="Arial" w:cs="Arial"/>
          <w:rtl w:val="true"/>
          <w:lang w:val="en-US" w:eastAsia="en-US"/>
        </w:rPr>
        <w:t xml:space="preserve">או 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האח התאום</w:t>
      </w:r>
      <w:r>
        <w:rPr>
          <w:rFonts w:cs="Arial" w:ascii="Arial" w:hAnsi="Arial"/>
          <w:rtl w:val="true"/>
          <w:lang w:val="en-US" w:eastAsia="en-US"/>
        </w:rPr>
        <w:t xml:space="preserve">"), </w:t>
      </w:r>
      <w:r>
        <w:rPr>
          <w:rFonts w:ascii="Arial" w:hAnsi="Arial" w:cs="Arial"/>
          <w:rtl w:val="true"/>
          <w:lang w:val="en-US" w:eastAsia="en-US"/>
        </w:rPr>
        <w:t>הוגש לבית משפט השלום בירושלים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כתב אישום מקורי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ביום </w:t>
      </w:r>
      <w:r>
        <w:rPr>
          <w:rFonts w:cs="Arial" w:ascii="Arial" w:hAnsi="Arial"/>
          <w:lang w:val="en-US" w:eastAsia="en-US"/>
        </w:rPr>
        <w:t>30.5.13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המייחס להם עבירות של סחר בסם מסוכן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כאשר למערער מיוחסות שמונה עבירות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ולאחיו התאום שלוש עבירות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שבוצעו ביחד עם המערער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3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 xml:space="preserve">המערער נעצר עד לתום ההליכים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ascii="Arial" w:hAnsi="Arial" w:cs="Arial"/>
          <w:rtl w:val="true"/>
          <w:lang w:val="en-US" w:eastAsia="en-US"/>
        </w:rPr>
        <w:t>החלטת כב</w:t>
      </w:r>
      <w:r>
        <w:rPr>
          <w:rFonts w:cs="Arial" w:ascii="Arial" w:hAnsi="Arial"/>
          <w:rtl w:val="true"/>
          <w:lang w:val="en-US" w:eastAsia="en-US"/>
        </w:rPr>
        <w:t xml:space="preserve">' </w:t>
      </w:r>
      <w:r>
        <w:rPr>
          <w:rFonts w:ascii="Arial" w:hAnsi="Arial" w:cs="Arial"/>
          <w:rtl w:val="true"/>
          <w:lang w:val="en-US" w:eastAsia="en-US"/>
        </w:rPr>
        <w:t>השופט אביטל חן מיום כו סיון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תשע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 xml:space="preserve">ד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cs="Arial" w:ascii="Arial" w:hAnsi="Arial"/>
          <w:lang w:val="en-US" w:eastAsia="en-US"/>
        </w:rPr>
        <w:t>4.6.13</w:t>
      </w:r>
      <w:r>
        <w:rPr>
          <w:rFonts w:cs="Arial" w:ascii="Arial" w:hAnsi="Arial"/>
          <w:rtl w:val="true"/>
          <w:lang w:val="en-US" w:eastAsia="en-US"/>
        </w:rPr>
        <w:t xml:space="preserve">), </w:t>
      </w:r>
      <w:r>
        <w:rPr>
          <w:rFonts w:ascii="Arial" w:hAnsi="Arial" w:cs="Arial"/>
          <w:rtl w:val="true"/>
          <w:lang w:val="en-US" w:eastAsia="en-US"/>
        </w:rPr>
        <w:t xml:space="preserve">בתיק </w:t>
      </w:r>
      <w:hyperlink r:id="rId20">
        <w:r>
          <w:rPr>
            <w:rStyle w:val="Hyperlink"/>
            <w:rFonts w:ascii="Arial" w:hAnsi="Arial" w:cs="Arial"/>
            <w:color w:val="0000FF"/>
            <w:u w:val="single"/>
            <w:rtl w:val="true"/>
            <w:lang w:val="en-US" w:eastAsia="en-US"/>
          </w:rPr>
          <w:t>מ</w:t>
        </w:r>
        <w:r>
          <w:rPr>
            <w:rStyle w:val="Hyperlink"/>
            <w:rFonts w:cs="Arial" w:ascii="Arial" w:hAnsi="Arial"/>
            <w:color w:val="0000FF"/>
            <w:u w:val="single"/>
            <w:rtl w:val="true"/>
            <w:lang w:val="en-US" w:eastAsia="en-US"/>
          </w:rPr>
          <w:t>"</w:t>
        </w:r>
        <w:r>
          <w:rPr>
            <w:rStyle w:val="Hyperlink"/>
            <w:rFonts w:ascii="Arial" w:hAnsi="Arial" w:cs="Arial"/>
            <w:color w:val="0000FF"/>
            <w:u w:val="single"/>
            <w:rtl w:val="true"/>
            <w:lang w:val="en-US" w:eastAsia="en-US"/>
          </w:rPr>
          <w:t xml:space="preserve">ת </w:t>
        </w:r>
        <w:r>
          <w:rPr>
            <w:rStyle w:val="Hyperlink"/>
            <w:rFonts w:cs="Arial" w:ascii="Arial" w:hAnsi="Arial"/>
            <w:color w:val="0000FF"/>
            <w:u w:val="single"/>
            <w:lang w:val="en-US" w:eastAsia="en-US"/>
          </w:rPr>
          <w:t>60589-05-13</w:t>
        </w:r>
      </w:hyperlink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sz w:val="22"/>
          <w:rtl w:val="true"/>
          <w:lang w:val="en-US" w:eastAsia="en-US"/>
        </w:rPr>
        <w:t>[</w:t>
      </w:r>
      <w:r>
        <w:rPr>
          <w:sz w:val="22"/>
          <w:sz w:val="22"/>
          <w:rtl w:val="true"/>
          <w:lang w:val="en-US" w:eastAsia="en-US"/>
        </w:rPr>
        <w:t>פורסם</w:t>
      </w:r>
      <w:r>
        <w:rPr>
          <w:rFonts w:cs="Times New Roman"/>
          <w:sz w:val="22"/>
          <w:sz w:val="22"/>
          <w:rtl w:val="true"/>
          <w:lang w:val="en-US" w:eastAsia="en-US"/>
        </w:rPr>
        <w:t xml:space="preserve"> </w:t>
      </w:r>
      <w:r>
        <w:rPr>
          <w:sz w:val="22"/>
          <w:sz w:val="22"/>
          <w:rtl w:val="true"/>
          <w:lang w:val="en-US" w:eastAsia="en-US"/>
        </w:rPr>
        <w:t>בנבו</w:t>
      </w:r>
      <w:r>
        <w:rPr>
          <w:sz w:val="22"/>
          <w:rtl w:val="true"/>
          <w:lang w:val="en-US" w:eastAsia="en-US"/>
        </w:rPr>
        <w:t>]</w:t>
      </w:r>
      <w:r>
        <w:rPr>
          <w:rFonts w:cs="Arial" w:ascii="Arial" w:hAnsi="Arial"/>
          <w:rtl w:val="true"/>
          <w:lang w:val="en-US" w:eastAsia="en-US"/>
        </w:rPr>
        <w:t>.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4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לאחר מספר ישיבות בתיק העיקרי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הגיעו הצדדים להסכמה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לפיה במסגרת הסדר טיעון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יתוקן כתב האישום והנאשם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ascii="Arial" w:hAnsi="Arial" w:cs="Arial"/>
          <w:rtl w:val="true"/>
          <w:lang w:val="en-US" w:eastAsia="en-US"/>
        </w:rPr>
        <w:t>המשיב שבפנינו</w:t>
      </w:r>
      <w:r>
        <w:rPr>
          <w:rFonts w:cs="Arial" w:ascii="Arial" w:hAnsi="Arial"/>
          <w:rtl w:val="true"/>
          <w:lang w:val="en-US" w:eastAsia="en-US"/>
        </w:rPr>
        <w:t xml:space="preserve">), </w:t>
      </w:r>
      <w:r>
        <w:rPr>
          <w:rFonts w:ascii="Arial" w:hAnsi="Arial" w:cs="Arial"/>
          <w:rtl w:val="true"/>
          <w:lang w:val="en-US" w:eastAsia="en-US"/>
        </w:rPr>
        <w:t xml:space="preserve">יחד עם אחיו ונאשם שלישי שהוסף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ascii="Arial" w:hAnsi="Arial" w:cs="Arial"/>
          <w:rtl w:val="true"/>
          <w:lang w:val="en-US" w:eastAsia="en-US"/>
        </w:rPr>
        <w:t>מחמוד גולאני</w:t>
      </w:r>
      <w:r>
        <w:rPr>
          <w:rFonts w:cs="Arial" w:ascii="Arial" w:hAnsi="Arial"/>
          <w:rtl w:val="true"/>
          <w:lang w:val="en-US" w:eastAsia="en-US"/>
        </w:rPr>
        <w:t xml:space="preserve">), </w:t>
      </w:r>
      <w:r>
        <w:rPr>
          <w:rFonts w:ascii="Arial" w:hAnsi="Arial" w:cs="Arial"/>
          <w:rtl w:val="true"/>
          <w:lang w:val="en-US" w:eastAsia="en-US"/>
        </w:rPr>
        <w:t>יודו בו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ויורשעו על פי הודאתם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ascii="Arial" w:hAnsi="Arial" w:cs="Arial"/>
          <w:rtl w:val="true"/>
          <w:lang w:val="en-US" w:eastAsia="en-US"/>
        </w:rPr>
        <w:t>עמ</w:t>
      </w:r>
      <w:r>
        <w:rPr>
          <w:rFonts w:cs="Arial" w:ascii="Arial" w:hAnsi="Arial"/>
          <w:rtl w:val="true"/>
          <w:lang w:val="en-US" w:eastAsia="en-US"/>
        </w:rPr>
        <w:t xml:space="preserve">' </w:t>
      </w:r>
      <w:r>
        <w:rPr>
          <w:rFonts w:cs="Arial" w:ascii="Arial" w:hAnsi="Arial"/>
          <w:lang w:val="en-US" w:eastAsia="en-US"/>
        </w:rPr>
        <w:t>17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לפרוטוקול של בית משפט קמא</w:t>
      </w:r>
      <w:r>
        <w:rPr>
          <w:rFonts w:cs="Arial" w:ascii="Arial" w:hAnsi="Arial"/>
          <w:rtl w:val="true"/>
          <w:lang w:val="en-US" w:eastAsia="en-US"/>
        </w:rPr>
        <w:t xml:space="preserve">).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5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על פי הכרעת הדין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מיום ז טבת תשע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 xml:space="preserve">ד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cs="Arial" w:ascii="Arial" w:hAnsi="Arial"/>
          <w:lang w:val="en-US" w:eastAsia="en-US"/>
        </w:rPr>
        <w:t>10.12.13</w:t>
      </w:r>
      <w:r>
        <w:rPr>
          <w:rFonts w:cs="Arial" w:ascii="Arial" w:hAnsi="Arial"/>
          <w:rtl w:val="true"/>
          <w:lang w:val="en-US" w:eastAsia="en-US"/>
        </w:rPr>
        <w:t xml:space="preserve">), </w:t>
      </w:r>
      <w:r>
        <w:rPr>
          <w:rFonts w:ascii="Arial" w:hAnsi="Arial" w:cs="Arial"/>
          <w:rtl w:val="true"/>
          <w:lang w:val="en-US" w:eastAsia="en-US"/>
        </w:rPr>
        <w:t>עמ</w:t>
      </w:r>
      <w:r>
        <w:rPr>
          <w:rFonts w:cs="Arial" w:ascii="Arial" w:hAnsi="Arial"/>
          <w:rtl w:val="true"/>
          <w:lang w:val="en-US" w:eastAsia="en-US"/>
        </w:rPr>
        <w:t xml:space="preserve">' </w:t>
      </w:r>
      <w:r>
        <w:rPr>
          <w:rFonts w:cs="Arial" w:ascii="Arial" w:hAnsi="Arial"/>
          <w:lang w:val="en-US" w:eastAsia="en-US"/>
        </w:rPr>
        <w:t>18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לפרוטוקול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המבוססת על כתב האישום המתוקן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העבירות שבהן הורשע המשיב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הן </w:t>
      </w:r>
      <w:r>
        <w:rPr>
          <w:rFonts w:cs="Arial" w:ascii="Arial" w:hAnsi="Arial"/>
          <w:lang w:val="en-US" w:eastAsia="en-US"/>
        </w:rPr>
        <w:t>5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עבירות של סחר בסמים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כמפורט להלן</w:t>
      </w:r>
      <w:r>
        <w:rPr>
          <w:rFonts w:cs="Arial" w:ascii="Arial" w:hAnsi="Arial"/>
          <w:rtl w:val="true"/>
          <w:lang w:val="en-US" w:eastAsia="en-US"/>
        </w:rPr>
        <w:t>: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א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 xml:space="preserve">מכירת חשיש במשקל </w:t>
      </w:r>
      <w:r>
        <w:rPr>
          <w:rFonts w:cs="Arial" w:ascii="Arial" w:hAnsi="Arial"/>
          <w:lang w:val="en-US" w:eastAsia="en-US"/>
        </w:rPr>
        <w:t>100.07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 xml:space="preserve">גרם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ascii="Arial" w:hAnsi="Arial" w:cs="Arial"/>
          <w:rtl w:val="true"/>
          <w:lang w:val="en-US" w:eastAsia="en-US"/>
        </w:rPr>
        <w:t>סוליית חשיש</w:t>
      </w:r>
      <w:r>
        <w:rPr>
          <w:rFonts w:cs="Arial" w:ascii="Arial" w:hAnsi="Arial"/>
          <w:rtl w:val="true"/>
          <w:lang w:val="en-US" w:eastAsia="en-US"/>
        </w:rPr>
        <w:t xml:space="preserve">), </w:t>
      </w:r>
      <w:r>
        <w:rPr>
          <w:rFonts w:ascii="Arial" w:hAnsi="Arial" w:cs="Arial"/>
          <w:rtl w:val="true"/>
          <w:lang w:val="en-US" w:eastAsia="en-US"/>
        </w:rPr>
        <w:t xml:space="preserve">תמורת סך </w:t>
      </w:r>
      <w:r>
        <w:rPr>
          <w:rFonts w:cs="Arial" w:ascii="Arial" w:hAnsi="Arial"/>
          <w:lang w:val="en-US" w:eastAsia="en-US"/>
        </w:rPr>
        <w:t>2,300</w:t>
      </w:r>
      <w:r>
        <w:rPr>
          <w:rFonts w:cs="Arial" w:ascii="Arial" w:hAnsi="Arial"/>
          <w:rtl w:val="true"/>
          <w:lang w:val="en-US" w:eastAsia="en-US"/>
        </w:rPr>
        <w:t xml:space="preserve"> ₪ </w:t>
      </w:r>
      <w:r>
        <w:rPr>
          <w:rFonts w:ascii="Arial" w:hAnsi="Arial" w:cs="Arial"/>
          <w:rtl w:val="true"/>
          <w:lang w:val="en-US" w:eastAsia="en-US"/>
        </w:rPr>
        <w:t>לסוכן משטרתי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ביום </w:t>
      </w:r>
      <w:r>
        <w:rPr>
          <w:rFonts w:cs="Arial" w:ascii="Arial" w:hAnsi="Arial"/>
          <w:lang w:val="en-US" w:eastAsia="en-US"/>
        </w:rPr>
        <w:t>16.5.12</w:t>
      </w:r>
      <w:r>
        <w:rPr>
          <w:rFonts w:cs="Arial" w:ascii="Arial" w:hAnsi="Arial"/>
          <w:rtl w:val="true"/>
          <w:lang w:val="en-US" w:eastAsia="en-US"/>
        </w:rPr>
        <w:t xml:space="preserve"> (</w:t>
      </w:r>
      <w:r>
        <w:rPr>
          <w:rFonts w:ascii="Arial" w:hAnsi="Arial" w:cs="Arial"/>
          <w:rtl w:val="true"/>
          <w:lang w:val="en-US" w:eastAsia="en-US"/>
        </w:rPr>
        <w:t xml:space="preserve">אישום </w:t>
      </w:r>
      <w:r>
        <w:rPr>
          <w:rFonts w:cs="Arial" w:ascii="Arial" w:hAnsi="Arial"/>
          <w:lang w:val="en-US" w:eastAsia="en-US"/>
        </w:rPr>
        <w:t>2</w:t>
      </w:r>
      <w:r>
        <w:rPr>
          <w:rFonts w:cs="Arial" w:ascii="Arial" w:hAnsi="Arial"/>
          <w:rtl w:val="true"/>
          <w:lang w:val="en-US" w:eastAsia="en-US"/>
        </w:rPr>
        <w:t>).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ב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 xml:space="preserve">מכירת </w:t>
      </w:r>
      <w:r>
        <w:rPr>
          <w:rFonts w:cs="Arial" w:ascii="Arial" w:hAnsi="Arial"/>
          <w:lang w:val="en-US" w:eastAsia="en-US"/>
        </w:rPr>
        <w:t>30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טבליות מסוג</w:t>
      </w:r>
      <w:r>
        <w:rPr>
          <w:rFonts w:cs="Arial" w:ascii="Arial" w:hAnsi="Arial"/>
          <w:lang w:val="en-US" w:eastAsia="en-US"/>
        </w:rPr>
        <w:t>MDMA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תמורת סך של </w:t>
      </w:r>
      <w:r>
        <w:rPr>
          <w:rFonts w:cs="Arial" w:ascii="Arial" w:hAnsi="Arial"/>
          <w:lang w:val="en-US" w:eastAsia="en-US"/>
        </w:rPr>
        <w:t>1,000</w:t>
      </w:r>
      <w:r>
        <w:rPr>
          <w:rFonts w:cs="Arial" w:ascii="Arial" w:hAnsi="Arial"/>
          <w:rtl w:val="true"/>
          <w:lang w:val="en-US" w:eastAsia="en-US"/>
        </w:rPr>
        <w:t xml:space="preserve"> ₪ </w:t>
      </w:r>
      <w:r>
        <w:rPr>
          <w:rFonts w:ascii="Arial" w:hAnsi="Arial" w:cs="Arial"/>
          <w:rtl w:val="true"/>
          <w:lang w:val="en-US" w:eastAsia="en-US"/>
        </w:rPr>
        <w:t>לסוכן האמור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ביום </w:t>
      </w:r>
      <w:r>
        <w:rPr>
          <w:rFonts w:cs="Arial" w:ascii="Arial" w:hAnsi="Arial"/>
          <w:lang w:val="en-US" w:eastAsia="en-US"/>
        </w:rPr>
        <w:t>5.6.12</w:t>
      </w:r>
      <w:r>
        <w:rPr>
          <w:rFonts w:cs="Arial" w:ascii="Arial" w:hAnsi="Arial"/>
          <w:rtl w:val="true"/>
          <w:lang w:val="en-US" w:eastAsia="en-US"/>
        </w:rPr>
        <w:t xml:space="preserve"> (</w:t>
      </w:r>
      <w:r>
        <w:rPr>
          <w:rFonts w:ascii="Arial" w:hAnsi="Arial" w:cs="Arial"/>
          <w:rtl w:val="true"/>
          <w:lang w:val="en-US" w:eastAsia="en-US"/>
        </w:rPr>
        <w:t xml:space="preserve">אישום </w:t>
      </w:r>
      <w:r>
        <w:rPr>
          <w:rFonts w:cs="Arial" w:ascii="Arial" w:hAnsi="Arial"/>
          <w:lang w:val="en-US" w:eastAsia="en-US"/>
        </w:rPr>
        <w:t>3</w:t>
      </w:r>
      <w:r>
        <w:rPr>
          <w:rFonts w:cs="Arial" w:ascii="Arial" w:hAnsi="Arial"/>
          <w:rtl w:val="true"/>
          <w:lang w:val="en-US" w:eastAsia="en-US"/>
        </w:rPr>
        <w:t>).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  <w:tab/>
      </w:r>
      <w:r>
        <w:rPr>
          <w:rFonts w:ascii="Arial" w:hAnsi="Arial" w:cs="Arial"/>
          <w:rtl w:val="true"/>
          <w:lang w:val="en-US" w:eastAsia="en-US"/>
        </w:rPr>
        <w:t>ג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 xml:space="preserve">מכירת חשיש במשקל </w:t>
      </w:r>
      <w:r>
        <w:rPr>
          <w:rFonts w:cs="Arial" w:ascii="Arial" w:hAnsi="Arial"/>
          <w:lang w:val="en-US" w:eastAsia="en-US"/>
        </w:rPr>
        <w:t>97.04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 xml:space="preserve">גרם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ascii="Arial" w:hAnsi="Arial" w:cs="Arial"/>
          <w:rtl w:val="true"/>
          <w:lang w:val="en-US" w:eastAsia="en-US"/>
        </w:rPr>
        <w:t>פלטות חשיש</w:t>
      </w:r>
      <w:r>
        <w:rPr>
          <w:rFonts w:cs="Arial" w:ascii="Arial" w:hAnsi="Arial"/>
          <w:rtl w:val="true"/>
          <w:lang w:val="en-US" w:eastAsia="en-US"/>
        </w:rPr>
        <w:t xml:space="preserve">), </w:t>
      </w:r>
      <w:r>
        <w:rPr>
          <w:rFonts w:ascii="Arial" w:hAnsi="Arial" w:cs="Arial"/>
          <w:rtl w:val="true"/>
          <w:lang w:val="en-US" w:eastAsia="en-US"/>
        </w:rPr>
        <w:t xml:space="preserve">תמורת סך </w:t>
      </w:r>
      <w:r>
        <w:rPr>
          <w:rFonts w:cs="Arial" w:ascii="Arial" w:hAnsi="Arial"/>
          <w:lang w:val="en-US" w:eastAsia="en-US"/>
        </w:rPr>
        <w:t>2,300</w:t>
      </w:r>
      <w:r>
        <w:rPr>
          <w:rFonts w:cs="Arial" w:ascii="Arial" w:hAnsi="Arial"/>
          <w:rtl w:val="true"/>
          <w:lang w:val="en-US" w:eastAsia="en-US"/>
        </w:rPr>
        <w:t xml:space="preserve"> ₪, </w:t>
      </w:r>
      <w:r>
        <w:rPr>
          <w:rFonts w:ascii="Arial" w:hAnsi="Arial" w:cs="Arial"/>
          <w:rtl w:val="true"/>
          <w:lang w:val="en-US" w:eastAsia="en-US"/>
        </w:rPr>
        <w:t xml:space="preserve">ביום </w:t>
      </w:r>
      <w:r>
        <w:rPr>
          <w:rFonts w:cs="Arial" w:ascii="Arial" w:hAnsi="Arial"/>
          <w:lang w:val="en-US" w:eastAsia="en-US"/>
        </w:rPr>
        <w:t>4.9.12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כאשר המכירה הייתה ביחד עם אחיו התאום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ascii="Arial" w:hAnsi="Arial" w:cs="Arial"/>
          <w:rtl w:val="true"/>
          <w:lang w:val="en-US" w:eastAsia="en-US"/>
        </w:rPr>
        <w:t xml:space="preserve">אישום </w:t>
      </w:r>
      <w:r>
        <w:rPr>
          <w:rFonts w:cs="Arial" w:ascii="Arial" w:hAnsi="Arial"/>
          <w:lang w:val="en-US" w:eastAsia="en-US"/>
        </w:rPr>
        <w:t>4</w:t>
      </w:r>
      <w:r>
        <w:rPr>
          <w:rFonts w:cs="Arial" w:ascii="Arial" w:hAnsi="Arial"/>
          <w:rtl w:val="true"/>
          <w:lang w:val="en-US" w:eastAsia="en-US"/>
        </w:rPr>
        <w:t>).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  <w:tab/>
      </w:r>
      <w:r>
        <w:rPr>
          <w:rFonts w:ascii="Arial" w:hAnsi="Arial" w:cs="Arial"/>
          <w:rtl w:val="true"/>
          <w:lang w:val="en-US" w:eastAsia="en-US"/>
        </w:rPr>
        <w:t>ד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 xml:space="preserve">מכירת חשיש במשקל </w:t>
      </w:r>
      <w:r>
        <w:rPr>
          <w:rFonts w:cs="Arial" w:ascii="Arial" w:hAnsi="Arial"/>
          <w:lang w:val="en-US" w:eastAsia="en-US"/>
        </w:rPr>
        <w:t>97.25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 xml:space="preserve">גרם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ascii="Arial" w:hAnsi="Arial" w:cs="Arial"/>
          <w:rtl w:val="true"/>
          <w:lang w:val="en-US" w:eastAsia="en-US"/>
        </w:rPr>
        <w:t>סוליית חשיש</w:t>
      </w:r>
      <w:r>
        <w:rPr>
          <w:rFonts w:cs="Arial" w:ascii="Arial" w:hAnsi="Arial"/>
          <w:rtl w:val="true"/>
          <w:lang w:val="en-US" w:eastAsia="en-US"/>
        </w:rPr>
        <w:t xml:space="preserve">) </w:t>
      </w:r>
      <w:r>
        <w:rPr>
          <w:rFonts w:ascii="Arial" w:hAnsi="Arial" w:cs="Arial"/>
          <w:rtl w:val="true"/>
          <w:lang w:val="en-US" w:eastAsia="en-US"/>
        </w:rPr>
        <w:t xml:space="preserve">תמורת סך </w:t>
      </w:r>
      <w:r>
        <w:rPr>
          <w:rFonts w:cs="Arial" w:ascii="Arial" w:hAnsi="Arial"/>
          <w:lang w:val="en-US" w:eastAsia="en-US"/>
        </w:rPr>
        <w:t>2,300</w:t>
      </w:r>
      <w:r>
        <w:rPr>
          <w:rFonts w:cs="Arial" w:ascii="Arial" w:hAnsi="Arial"/>
          <w:rtl w:val="true"/>
          <w:lang w:val="en-US" w:eastAsia="en-US"/>
        </w:rPr>
        <w:t xml:space="preserve"> ₪ </w:t>
      </w:r>
      <w:r>
        <w:rPr>
          <w:rFonts w:ascii="Arial" w:hAnsi="Arial" w:cs="Arial"/>
          <w:rtl w:val="true"/>
          <w:lang w:val="en-US" w:eastAsia="en-US"/>
        </w:rPr>
        <w:t>לסוכן האמור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ביום </w:t>
      </w:r>
      <w:r>
        <w:rPr>
          <w:rFonts w:cs="Arial" w:ascii="Arial" w:hAnsi="Arial"/>
          <w:lang w:val="en-US" w:eastAsia="en-US"/>
        </w:rPr>
        <w:t>24.9.12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כאשר המוכרים היו הנאשם ואחיו התאום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ascii="Arial" w:hAnsi="Arial" w:cs="Arial"/>
          <w:rtl w:val="true"/>
          <w:lang w:val="en-US" w:eastAsia="en-US"/>
        </w:rPr>
        <w:t xml:space="preserve">אישום </w:t>
      </w:r>
      <w:r>
        <w:rPr>
          <w:rFonts w:cs="Arial" w:ascii="Arial" w:hAnsi="Arial"/>
          <w:lang w:val="en-US" w:eastAsia="en-US"/>
        </w:rPr>
        <w:t>6</w:t>
      </w:r>
      <w:r>
        <w:rPr>
          <w:rFonts w:cs="Arial" w:ascii="Arial" w:hAnsi="Arial"/>
          <w:rtl w:val="true"/>
          <w:lang w:val="en-US" w:eastAsia="en-US"/>
        </w:rPr>
        <w:t>).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  <w:tab/>
      </w:r>
      <w:r>
        <w:rPr>
          <w:rFonts w:ascii="Arial" w:hAnsi="Arial" w:cs="Arial"/>
          <w:rtl w:val="true"/>
          <w:lang w:val="en-US" w:eastAsia="en-US"/>
        </w:rPr>
        <w:t>ה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 xml:space="preserve">מכירת חשיש בסך </w:t>
      </w:r>
      <w:r>
        <w:rPr>
          <w:rFonts w:cs="Arial" w:ascii="Arial" w:hAnsi="Arial"/>
          <w:lang w:val="en-US" w:eastAsia="en-US"/>
        </w:rPr>
        <w:t>96.39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 xml:space="preserve">גרם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ascii="Arial" w:hAnsi="Arial" w:cs="Arial"/>
          <w:rtl w:val="true"/>
          <w:lang w:val="en-US" w:eastAsia="en-US"/>
        </w:rPr>
        <w:t>סוליית חשיש</w:t>
      </w:r>
      <w:r>
        <w:rPr>
          <w:rFonts w:cs="Arial" w:ascii="Arial" w:hAnsi="Arial"/>
          <w:rtl w:val="true"/>
          <w:lang w:val="en-US" w:eastAsia="en-US"/>
        </w:rPr>
        <w:t xml:space="preserve">), </w:t>
      </w:r>
      <w:r>
        <w:rPr>
          <w:rFonts w:ascii="Arial" w:hAnsi="Arial" w:cs="Arial"/>
          <w:rtl w:val="true"/>
          <w:lang w:val="en-US" w:eastAsia="en-US"/>
        </w:rPr>
        <w:t xml:space="preserve">תמורת סך </w:t>
      </w:r>
      <w:r>
        <w:rPr>
          <w:rFonts w:cs="Arial" w:ascii="Arial" w:hAnsi="Arial"/>
          <w:lang w:val="en-US" w:eastAsia="en-US"/>
        </w:rPr>
        <w:t>2,300</w:t>
      </w:r>
      <w:r>
        <w:rPr>
          <w:rFonts w:cs="Arial" w:ascii="Arial" w:hAnsi="Arial"/>
          <w:rtl w:val="true"/>
          <w:lang w:val="en-US" w:eastAsia="en-US"/>
        </w:rPr>
        <w:t xml:space="preserve"> ₪, </w:t>
      </w:r>
      <w:r>
        <w:rPr>
          <w:rFonts w:ascii="Arial" w:hAnsi="Arial" w:cs="Arial"/>
          <w:rtl w:val="true"/>
          <w:lang w:val="en-US" w:eastAsia="en-US"/>
        </w:rPr>
        <w:t xml:space="preserve">ביום </w:t>
      </w:r>
      <w:r>
        <w:rPr>
          <w:rFonts w:cs="Arial" w:ascii="Arial" w:hAnsi="Arial"/>
          <w:lang w:val="en-US" w:eastAsia="en-US"/>
        </w:rPr>
        <w:t>17.10.12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כאשר המוכרים היו המשיב והנאשם השלישי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ascii="Arial" w:hAnsi="Arial" w:cs="Arial"/>
          <w:rtl w:val="true"/>
          <w:lang w:val="en-US" w:eastAsia="en-US"/>
        </w:rPr>
        <w:t xml:space="preserve">אישום </w:t>
      </w:r>
      <w:r>
        <w:rPr>
          <w:rFonts w:cs="Arial" w:ascii="Arial" w:hAnsi="Arial"/>
          <w:lang w:val="en-US" w:eastAsia="en-US"/>
        </w:rPr>
        <w:t>8</w:t>
      </w:r>
      <w:r>
        <w:rPr>
          <w:rFonts w:cs="Arial" w:ascii="Arial" w:hAnsi="Arial"/>
          <w:rtl w:val="true"/>
          <w:lang w:val="en-US" w:eastAsia="en-US"/>
        </w:rPr>
        <w:t xml:space="preserve">).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6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סעיפי החיקוק בהם הורשע הנאשם בכל חמשת העבירות הם אלה</w:t>
      </w:r>
      <w:r>
        <w:rPr>
          <w:rFonts w:cs="Arial" w:ascii="Arial" w:hAnsi="Arial"/>
          <w:rtl w:val="true"/>
          <w:lang w:val="en-US" w:eastAsia="en-US"/>
        </w:rPr>
        <w:t>: "</w:t>
      </w:r>
      <w:r>
        <w:rPr>
          <w:rFonts w:ascii="Arial" w:hAnsi="Arial" w:cs="Arial"/>
          <w:rtl w:val="true"/>
          <w:lang w:val="en-US" w:eastAsia="en-US"/>
        </w:rPr>
        <w:t xml:space="preserve">סחר בסם מסוכן </w:t>
      </w:r>
      <w:r>
        <w:rPr>
          <w:rFonts w:cs="Arial" w:ascii="Arial" w:hAnsi="Arial"/>
          <w:rtl w:val="true"/>
          <w:lang w:val="en-US" w:eastAsia="en-US"/>
        </w:rPr>
        <w:t xml:space="preserve">- </w:t>
      </w:r>
      <w:r>
        <w:rPr>
          <w:rFonts w:ascii="Arial" w:hAnsi="Arial" w:cs="Arial"/>
          <w:rtl w:val="true"/>
          <w:lang w:val="en-US" w:eastAsia="en-US"/>
        </w:rPr>
        <w:t xml:space="preserve">עבירה לפי </w:t>
      </w:r>
      <w:hyperlink r:id="rId21">
        <w:r>
          <w:rPr>
            <w:rStyle w:val="Hyperlink"/>
            <w:rFonts w:ascii="Arial" w:hAnsi="Arial" w:cs="Arial"/>
            <w:rtl w:val="true"/>
            <w:lang w:val="en-US" w:eastAsia="en-US"/>
          </w:rPr>
          <w:t>סעיף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 xml:space="preserve"> </w:t>
        </w:r>
        <w:r>
          <w:rPr>
            <w:rStyle w:val="Hyperlink"/>
            <w:rFonts w:cs="Arial" w:ascii="Arial" w:hAnsi="Arial"/>
            <w:lang w:val="en-US" w:eastAsia="en-US"/>
          </w:rPr>
          <w:t>13</w:t>
        </w:r>
      </w:hyperlink>
      <w:r>
        <w:rPr>
          <w:rFonts w:cs="Arial" w:ascii="Arial" w:hAnsi="Arial"/>
          <w:rtl w:val="true"/>
          <w:lang w:val="en-US" w:eastAsia="en-US"/>
        </w:rPr>
        <w:t xml:space="preserve"> + </w:t>
      </w:r>
      <w:hyperlink r:id="rId22">
        <w:r>
          <w:rPr>
            <w:rStyle w:val="Hyperlink"/>
            <w:rFonts w:ascii="Arial" w:hAnsi="Arial" w:cs="Arial"/>
            <w:rtl w:val="true"/>
            <w:lang w:val="en-US" w:eastAsia="en-US"/>
          </w:rPr>
          <w:t>סעיף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 xml:space="preserve"> </w:t>
        </w:r>
        <w:r>
          <w:rPr>
            <w:rStyle w:val="Hyperlink"/>
            <w:rFonts w:cs="Arial" w:ascii="Arial" w:hAnsi="Arial"/>
            <w:lang w:val="en-US" w:eastAsia="en-US"/>
          </w:rPr>
          <w:t>19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>א</w:t>
        </w:r>
      </w:hyperlink>
      <w:r>
        <w:rPr>
          <w:rFonts w:ascii="Arial" w:hAnsi="Arial" w:cs="Arial"/>
          <w:rtl w:val="true"/>
          <w:lang w:val="en-US" w:eastAsia="en-US"/>
        </w:rPr>
        <w:t xml:space="preserve"> ל</w:t>
      </w:r>
      <w:hyperlink r:id="rId23">
        <w:r>
          <w:rPr>
            <w:rStyle w:val="Hyperlink"/>
            <w:rFonts w:ascii="Arial" w:hAnsi="Arial" w:cs="Arial"/>
            <w:color w:val="0000FF"/>
            <w:u w:val="single"/>
            <w:rtl w:val="true"/>
            <w:lang w:val="en-US" w:eastAsia="en-US"/>
          </w:rPr>
          <w:t>פקודת הסמים המסוכנים</w:t>
        </w:r>
      </w:hyperlink>
      <w:r>
        <w:rPr>
          <w:rFonts w:ascii="Arial" w:hAnsi="Arial" w:cs="Arial"/>
          <w:rtl w:val="true"/>
          <w:lang w:val="en-US" w:eastAsia="en-US"/>
        </w:rPr>
        <w:t xml:space="preserve"> </w:t>
      </w:r>
      <w:r>
        <w:rPr>
          <w:rFonts w:cs="Arial" w:ascii="Arial" w:hAnsi="Arial"/>
          <w:rtl w:val="true"/>
          <w:lang w:val="en-US" w:eastAsia="en-US"/>
        </w:rPr>
        <w:t>[</w:t>
      </w:r>
      <w:r>
        <w:rPr>
          <w:rFonts w:ascii="Arial" w:hAnsi="Arial" w:cs="Arial"/>
          <w:rtl w:val="true"/>
          <w:lang w:val="en-US" w:eastAsia="en-US"/>
        </w:rPr>
        <w:t>נוסח חדש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התש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ל</w:t>
      </w:r>
      <w:r>
        <w:rPr>
          <w:rFonts w:cs="Arial" w:ascii="Arial" w:hAnsi="Arial"/>
          <w:rtl w:val="true"/>
          <w:lang w:val="en-US" w:eastAsia="en-US"/>
        </w:rPr>
        <w:t xml:space="preserve">- </w:t>
      </w:r>
      <w:r>
        <w:rPr>
          <w:rFonts w:cs="Arial" w:ascii="Arial" w:hAnsi="Arial"/>
          <w:lang w:val="en-US" w:eastAsia="en-US"/>
        </w:rPr>
        <w:t>1973</w:t>
      </w:r>
      <w:r>
        <w:rPr>
          <w:rFonts w:cs="Arial" w:ascii="Arial" w:hAnsi="Arial"/>
          <w:rtl w:val="true"/>
          <w:lang w:val="en-US" w:eastAsia="en-US"/>
        </w:rPr>
        <w:t>)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7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לאחר הרשעת הנאשם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החליט בית משפט קמא כי יוכן תסקיר אודותיו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ascii="Arial" w:hAnsi="Arial" w:cs="Arial"/>
          <w:rtl w:val="true"/>
          <w:lang w:val="en-US" w:eastAsia="en-US"/>
        </w:rPr>
        <w:t>החלטה מיום ז טבת תשע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 xml:space="preserve">ד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cs="Arial" w:ascii="Arial" w:hAnsi="Arial"/>
          <w:lang w:val="en-US" w:eastAsia="en-US"/>
        </w:rPr>
        <w:t>10.12.13</w:t>
      </w:r>
      <w:r>
        <w:rPr>
          <w:rFonts w:cs="Arial" w:ascii="Arial" w:hAnsi="Arial"/>
          <w:rtl w:val="true"/>
          <w:lang w:val="en-US" w:eastAsia="en-US"/>
        </w:rPr>
        <w:t xml:space="preserve">), </w:t>
      </w:r>
      <w:r>
        <w:rPr>
          <w:rFonts w:ascii="Arial" w:hAnsi="Arial" w:cs="Arial"/>
          <w:rtl w:val="true"/>
          <w:lang w:val="en-US" w:eastAsia="en-US"/>
        </w:rPr>
        <w:t>עמ</w:t>
      </w:r>
      <w:r>
        <w:rPr>
          <w:rFonts w:cs="Arial" w:ascii="Arial" w:hAnsi="Arial"/>
          <w:rtl w:val="true"/>
          <w:lang w:val="en-US" w:eastAsia="en-US"/>
        </w:rPr>
        <w:t xml:space="preserve">' </w:t>
      </w:r>
      <w:r>
        <w:rPr>
          <w:rFonts w:cs="Arial" w:ascii="Arial" w:hAnsi="Arial"/>
          <w:lang w:val="en-US" w:eastAsia="en-US"/>
        </w:rPr>
        <w:t>19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לפרוטוקול</w:t>
      </w:r>
      <w:r>
        <w:rPr>
          <w:rFonts w:cs="Arial" w:ascii="Arial" w:hAnsi="Arial"/>
          <w:rtl w:val="true"/>
          <w:lang w:val="en-US" w:eastAsia="en-US"/>
        </w:rPr>
        <w:t>).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  <w:tab/>
      </w:r>
      <w:r>
        <w:rPr>
          <w:rFonts w:ascii="Arial" w:hAnsi="Arial" w:cs="Arial"/>
          <w:rtl w:val="true"/>
          <w:lang w:val="en-US" w:eastAsia="en-US"/>
        </w:rPr>
        <w:t>התסקיר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מיום ט אדר תשע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 xml:space="preserve">ד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cs="Arial" w:ascii="Arial" w:hAnsi="Arial"/>
          <w:lang w:val="en-US" w:eastAsia="en-US"/>
        </w:rPr>
        <w:t>9.2.14</w:t>
      </w:r>
      <w:r>
        <w:rPr>
          <w:rFonts w:cs="Arial" w:ascii="Arial" w:hAnsi="Arial"/>
          <w:rtl w:val="true"/>
          <w:lang w:val="en-US" w:eastAsia="en-US"/>
        </w:rPr>
        <w:t xml:space="preserve">), </w:t>
      </w:r>
      <w:r>
        <w:rPr>
          <w:rFonts w:ascii="Arial" w:hAnsi="Arial" w:cs="Arial"/>
          <w:rtl w:val="true"/>
          <w:lang w:val="en-US" w:eastAsia="en-US"/>
        </w:rPr>
        <w:t xml:space="preserve">מתאר את הרקע של המשיב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ascii="Arial" w:hAnsi="Arial" w:cs="Arial"/>
          <w:rtl w:val="true"/>
          <w:lang w:val="en-US" w:eastAsia="en-US"/>
        </w:rPr>
        <w:t xml:space="preserve">יליד </w:t>
      </w:r>
      <w:r>
        <w:rPr>
          <w:rFonts w:cs="Arial" w:ascii="Arial" w:hAnsi="Arial"/>
          <w:lang w:val="en-US" w:eastAsia="en-US"/>
        </w:rPr>
        <w:t>1986</w:t>
      </w:r>
      <w:r>
        <w:rPr>
          <w:rFonts w:cs="Arial" w:ascii="Arial" w:hAnsi="Arial"/>
          <w:rtl w:val="true"/>
          <w:lang w:val="en-US" w:eastAsia="en-US"/>
        </w:rPr>
        <w:t xml:space="preserve">), </w:t>
      </w:r>
      <w:r>
        <w:rPr>
          <w:rFonts w:ascii="Arial" w:hAnsi="Arial" w:cs="Arial"/>
          <w:rtl w:val="true"/>
          <w:lang w:val="en-US" w:eastAsia="en-US"/>
        </w:rPr>
        <w:t xml:space="preserve">בן למשפחה בת </w:t>
      </w:r>
      <w:r>
        <w:rPr>
          <w:rFonts w:cs="Arial" w:ascii="Arial" w:hAnsi="Arial"/>
          <w:lang w:val="en-US" w:eastAsia="en-US"/>
        </w:rPr>
        <w:t>8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ילדים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הסובלת ממצוקה כלכלית קשה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שפרטיה מובאים בתסקיר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ומטעמי צנעת הפרט אינני מפרטם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המערער נשר מבית ספר בכיתה 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ועבד עם אחיו התאום במכירת עוגות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במשך </w:t>
      </w:r>
      <w:r>
        <w:rPr>
          <w:rFonts w:cs="Arial" w:ascii="Arial" w:hAnsi="Arial"/>
          <w:lang w:val="en-US" w:eastAsia="en-US"/>
        </w:rPr>
        <w:t>4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שנים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לאחר מכן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עבד  הנאשם בעבודות מזדמנות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ובהמשך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כסדרן בסופר מרקט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לדבריו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בשלוש השנים האחרונות עבד כעוזר טבח בבית קפה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ולאחר שהתארס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החליטה ארוסתו לבטל את האירוסין</w:t>
      </w:r>
      <w:r>
        <w:rPr>
          <w:rFonts w:cs="Arial" w:ascii="Arial" w:hAnsi="Arial"/>
          <w:rtl w:val="true"/>
          <w:lang w:val="en-US" w:eastAsia="en-US"/>
        </w:rPr>
        <w:t>.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בהיסטוריה העבריינית של הנאשם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יש הרשעות בעבירות אלה</w:t>
      </w:r>
      <w:r>
        <w:rPr>
          <w:rFonts w:cs="Arial" w:ascii="Arial" w:hAnsi="Arial"/>
          <w:rtl w:val="true"/>
          <w:lang w:val="en-US" w:eastAsia="en-US"/>
        </w:rPr>
        <w:t xml:space="preserve">: </w:t>
      </w:r>
      <w:r>
        <w:rPr>
          <w:rFonts w:ascii="Arial" w:hAnsi="Arial" w:cs="Arial"/>
          <w:rtl w:val="true"/>
          <w:lang w:val="en-US" w:eastAsia="en-US"/>
        </w:rPr>
        <w:t>סמים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תקיפה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גניבה בידי עובד ממעבידו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הפרעה לשוטר במילוי תפקידו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נהיגה ללא רישיון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התחזות במטרה להונות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ויידוי אבנים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הוא נידון בעבר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פעמיים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לעונשי מאסר</w:t>
      </w:r>
      <w:r>
        <w:rPr>
          <w:rFonts w:cs="Arial" w:ascii="Arial" w:hAnsi="Arial"/>
          <w:rtl w:val="true"/>
          <w:lang w:val="en-US" w:eastAsia="en-US"/>
        </w:rPr>
        <w:t>.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התסקיר מציין כי המשיב לוקח אחריות חלקית על מעשיו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לדבריו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הוא פעל לאחר שהופעל עליו לחץ כבד לקניית הסמים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מתוך 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טובה אישית</w:t>
      </w:r>
      <w:r>
        <w:rPr>
          <w:rFonts w:cs="Arial" w:ascii="Arial" w:hAnsi="Arial"/>
          <w:rtl w:val="true"/>
          <w:lang w:val="en-US" w:eastAsia="en-US"/>
        </w:rPr>
        <w:t xml:space="preserve">" </w:t>
      </w:r>
      <w:r>
        <w:rPr>
          <w:rFonts w:ascii="Arial" w:hAnsi="Arial" w:cs="Arial"/>
          <w:rtl w:val="true"/>
          <w:lang w:val="en-US" w:eastAsia="en-US"/>
        </w:rPr>
        <w:t>לחבר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כאשר הוא מספר שלא קיבל תמורה כספית למעשיו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התרשמות שירות המבחן היא כי המשיב מטשטש דפוסים עבריינים בהתנהלותו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ומנסה להפחית מחומרת מעשיו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כאשר הוא שולל כוונה פלילית לשימוש בסמים שלו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ורואה עצמו כמי שנפל קורבן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אולם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שירות המבחן סבור כי לאור עברו ומציאות חייו כילד והקושי של הוריו להוות עבורו דמויות מיטיבות ומציבות גבולות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נפגעה התפתחותו התפקודית והאישיותית של המשיב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בשל כך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במשך השנים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הוא פיתח דפוסי התמודדות עברייניים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כדרך לשרוד את מציאות חייו</w:t>
      </w:r>
      <w:r>
        <w:rPr>
          <w:rFonts w:cs="Arial" w:ascii="Arial" w:hAnsi="Arial"/>
          <w:rtl w:val="true"/>
          <w:lang w:val="en-US" w:eastAsia="en-US"/>
        </w:rPr>
        <w:t>.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כל אלה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להערכת שירות המבחן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מהווים גורמי סיכון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להמשך מעורבותו בעבריינות</w:t>
      </w:r>
      <w:r>
        <w:rPr>
          <w:rFonts w:cs="Arial" w:ascii="Arial" w:hAnsi="Arial"/>
          <w:rtl w:val="true"/>
          <w:lang w:val="en-US" w:eastAsia="en-US"/>
        </w:rPr>
        <w:t>.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יחד עם זאת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המשיב מסר לקציני המבחן כי בשנים האחרונות הצליח להתמיד במקום עבודה מסודר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וכי אינו משתמש בסמים ובאלכוהול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ושואף להקים משפחה ולנהל אורח חיים תקין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כל אלו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להערכת שירות המבחן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מהווים גורמי סיכוי לשיקום בעתיד</w:t>
      </w:r>
      <w:r>
        <w:rPr>
          <w:rFonts w:cs="Arial" w:ascii="Arial" w:hAnsi="Arial"/>
          <w:rtl w:val="true"/>
          <w:lang w:val="en-US" w:eastAsia="en-US"/>
        </w:rPr>
        <w:t>.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b/>
          <w:bCs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המלצת שירות המבחן היא זו</w:t>
      </w:r>
      <w:r>
        <w:rPr>
          <w:rFonts w:cs="Arial" w:ascii="Arial" w:hAnsi="Arial"/>
          <w:rtl w:val="true"/>
          <w:lang w:val="en-US" w:eastAsia="en-US"/>
        </w:rPr>
        <w:t xml:space="preserve">: </w:t>
      </w:r>
      <w:r>
        <w:rPr>
          <w:rFonts w:cs="Arial" w:ascii="Arial" w:hAnsi="Arial"/>
          <w:b/>
          <w:bCs/>
          <w:rtl w:val="true"/>
          <w:lang w:val="en-US" w:eastAsia="en-US"/>
        </w:rPr>
        <w:t>"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לאור חומרת העבירות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ולאור התרשמותנו כי זקוק לגבולות חיצוניים ברורים ונוקשים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לצורך הפנמת כללי ההתנהגות המצופה ממנו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אנו ממליצים על מאסר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.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יחד עם זאת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נמליץ כי בשיקולי הענישה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יילקחו בחשבון תקופת מעצרו הממושכת והמוטיבציה שמביע כיום לחזור לעבוד ולנהל אורח חיים תקין</w:t>
      </w:r>
      <w:r>
        <w:rPr>
          <w:rFonts w:cs="Arial" w:ascii="Arial" w:hAnsi="Arial"/>
          <w:b/>
          <w:bCs/>
          <w:rtl w:val="true"/>
          <w:lang w:val="en-US" w:eastAsia="en-US"/>
        </w:rPr>
        <w:t>".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b/>
          <w:bCs/>
          <w:lang w:val="en-US" w:eastAsia="en-US"/>
        </w:rPr>
      </w:pPr>
      <w:r>
        <w:rPr>
          <w:rFonts w:cs="Arial" w:ascii="Arial" w:hAnsi="Arial"/>
          <w:b/>
          <w:bCs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8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במסגרת הטיעונים לעונש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עמדת המאשימה היא כי מתחם העונש ההולם ביחס לעבירות סחר בחשיש נע בין </w:t>
      </w:r>
      <w:r>
        <w:rPr>
          <w:rFonts w:cs="Arial" w:ascii="Arial" w:hAnsi="Arial"/>
          <w:lang w:val="en-US" w:eastAsia="en-US"/>
        </w:rPr>
        <w:t>6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 xml:space="preserve">חודשי מאסר לבין </w:t>
      </w:r>
      <w:r>
        <w:rPr>
          <w:rFonts w:cs="Arial" w:ascii="Arial" w:hAnsi="Arial"/>
          <w:lang w:val="en-US" w:eastAsia="en-US"/>
        </w:rPr>
        <w:t>12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חודשי מאסר בפועל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לכל עבירה</w:t>
      </w:r>
      <w:r>
        <w:rPr>
          <w:rFonts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cs="Arial"/>
          <w:rtl w:val="true"/>
          <w:lang w:val="en-US" w:eastAsia="en-US"/>
        </w:rPr>
        <w:t xml:space="preserve">ביחס לאישום השלישי של מכירת כדורי </w:t>
      </w:r>
      <w:r>
        <w:rPr>
          <w:rFonts w:cs="Arial" w:ascii="Arial" w:hAnsi="Arial"/>
          <w:lang w:val="en-US" w:eastAsia="en-US"/>
        </w:rPr>
        <w:t>MDMA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מתחם הענישה נע בין </w:t>
      </w:r>
      <w:r>
        <w:rPr>
          <w:rFonts w:cs="Arial" w:ascii="Arial" w:hAnsi="Arial"/>
          <w:lang w:val="en-US" w:eastAsia="en-US"/>
        </w:rPr>
        <w:t>8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 xml:space="preserve">לבין </w:t>
      </w:r>
      <w:r>
        <w:rPr>
          <w:rFonts w:cs="Arial" w:ascii="Arial" w:hAnsi="Arial"/>
          <w:lang w:val="en-US" w:eastAsia="en-US"/>
        </w:rPr>
        <w:t>18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 xml:space="preserve">חודשי מאסר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ascii="Arial" w:hAnsi="Arial" w:cs="Arial"/>
          <w:rtl w:val="true"/>
          <w:lang w:val="en-US" w:eastAsia="en-US"/>
        </w:rPr>
        <w:t>עמ</w:t>
      </w:r>
      <w:r>
        <w:rPr>
          <w:rFonts w:cs="Arial" w:ascii="Arial" w:hAnsi="Arial"/>
          <w:rtl w:val="true"/>
          <w:lang w:val="en-US" w:eastAsia="en-US"/>
        </w:rPr>
        <w:t xml:space="preserve">' </w:t>
      </w:r>
      <w:r>
        <w:rPr>
          <w:rFonts w:cs="Arial" w:ascii="Arial" w:hAnsi="Arial"/>
          <w:lang w:val="en-US" w:eastAsia="en-US"/>
        </w:rPr>
        <w:t>27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שורות </w:t>
      </w:r>
      <w:r>
        <w:rPr>
          <w:rFonts w:cs="Arial" w:ascii="Arial" w:hAnsi="Arial"/>
          <w:lang w:val="en-US" w:eastAsia="en-US"/>
        </w:rPr>
        <w:t>9-10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לפרוטוקול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מיום </w:t>
      </w:r>
      <w:r>
        <w:rPr>
          <w:rFonts w:cs="Arial" w:ascii="Arial" w:hAnsi="Arial"/>
          <w:lang w:val="en-US" w:eastAsia="en-US"/>
        </w:rPr>
        <w:t>12.2.14</w:t>
      </w:r>
      <w:r>
        <w:rPr>
          <w:rFonts w:cs="Arial" w:ascii="Arial" w:hAnsi="Arial"/>
          <w:rtl w:val="true"/>
          <w:lang w:val="en-US" w:eastAsia="en-US"/>
        </w:rPr>
        <w:t xml:space="preserve">).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  <w:tab/>
      </w:r>
      <w:r>
        <w:rPr>
          <w:rFonts w:ascii="Arial" w:hAnsi="Arial" w:cs="Arial"/>
          <w:rtl w:val="true"/>
          <w:lang w:val="en-US" w:eastAsia="en-US"/>
        </w:rPr>
        <w:t>מבחינת המעשים בכללותם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מדובר בנאשם שמכר לשוטר בתקופה של חצי שנה סמים בכמות כוללת של כ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cs="Arial" w:ascii="Arial" w:hAnsi="Arial"/>
          <w:lang w:val="en-US" w:eastAsia="en-US"/>
        </w:rPr>
        <w:t>390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גרם חשיש ו</w:t>
      </w:r>
      <w:r>
        <w:rPr>
          <w:rFonts w:cs="Arial" w:ascii="Arial" w:hAnsi="Arial"/>
          <w:rtl w:val="true"/>
          <w:lang w:val="en-US" w:eastAsia="en-US"/>
        </w:rPr>
        <w:t xml:space="preserve">- </w:t>
      </w:r>
      <w:r>
        <w:rPr>
          <w:rFonts w:cs="Arial" w:ascii="Arial" w:hAnsi="Arial"/>
          <w:lang w:val="en-US" w:eastAsia="en-US"/>
        </w:rPr>
        <w:t>30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כדורים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בסך כולל של </w:t>
      </w:r>
      <w:r>
        <w:rPr>
          <w:rFonts w:cs="Arial" w:ascii="Arial" w:hAnsi="Arial"/>
          <w:lang w:val="en-US" w:eastAsia="en-US"/>
        </w:rPr>
        <w:t>10,200</w:t>
      </w:r>
      <w:r>
        <w:rPr>
          <w:rFonts w:cs="Arial" w:ascii="Arial" w:hAnsi="Arial"/>
          <w:rtl w:val="true"/>
          <w:lang w:val="en-US" w:eastAsia="en-US"/>
        </w:rPr>
        <w:t xml:space="preserve"> ₪ (</w:t>
      </w:r>
      <w:r>
        <w:rPr>
          <w:rFonts w:ascii="Arial" w:hAnsi="Arial" w:cs="Arial"/>
          <w:u w:val="single"/>
          <w:rtl w:val="true"/>
          <w:lang w:val="en-US" w:eastAsia="en-US"/>
        </w:rPr>
        <w:t>שם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שורו</w:t>
      </w:r>
      <w:r>
        <w:rPr>
          <w:rFonts w:ascii="Arial" w:hAnsi="Arial" w:cs="Arial"/>
          <w:color w:val="000000"/>
          <w:rtl w:val="true"/>
          <w:lang w:val="en-US" w:eastAsia="en-US"/>
        </w:rPr>
        <w:t xml:space="preserve">ת </w:t>
      </w:r>
      <w:r>
        <w:rPr>
          <w:rFonts w:cs="Arial" w:ascii="Arial" w:hAnsi="Arial"/>
          <w:color w:val="000000"/>
          <w:lang w:val="en-US" w:eastAsia="en-US"/>
        </w:rPr>
        <w:t>12-13</w:t>
      </w:r>
      <w:r>
        <w:rPr>
          <w:rFonts w:cs="Arial" w:ascii="Arial" w:hAnsi="Arial"/>
          <w:rtl w:val="true"/>
          <w:lang w:val="en-US" w:eastAsia="en-US"/>
        </w:rPr>
        <w:t xml:space="preserve">).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  <w:tab/>
      </w:r>
      <w:r>
        <w:rPr>
          <w:rFonts w:ascii="Arial" w:hAnsi="Arial" w:cs="Arial"/>
          <w:rtl w:val="true"/>
          <w:lang w:val="en-US" w:eastAsia="en-US"/>
        </w:rPr>
        <w:t>לטענת המדינה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יש להטיל על הנאשם עונש מרתיע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לאור עברו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הכולל</w:t>
      </w:r>
      <w:r>
        <w:rPr>
          <w:rFonts w:cs="Arial" w:ascii="Arial" w:hAnsi="Arial"/>
          <w:rtl w:val="true"/>
          <w:lang w:val="en-US" w:eastAsia="en-US"/>
        </w:rPr>
        <w:t xml:space="preserve">: </w:t>
      </w:r>
      <w:r>
        <w:rPr>
          <w:rFonts w:ascii="Arial" w:hAnsi="Arial" w:cs="Arial"/>
          <w:rtl w:val="true"/>
          <w:lang w:val="en-US" w:eastAsia="en-US"/>
        </w:rPr>
        <w:t>אורח חיים עברייני בתחום הסמים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ולאור נגישותו של הנאשם לסמים ולשרשרת הפצת הסם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דבר המעיד על כך שמטרת ההפצה היא לשם בצע כסף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ascii="Arial" w:hAnsi="Arial" w:cs="Arial"/>
          <w:u w:val="single"/>
          <w:rtl w:val="true"/>
          <w:lang w:val="en-US" w:eastAsia="en-US"/>
        </w:rPr>
        <w:t>שם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שורו</w:t>
      </w:r>
      <w:r>
        <w:rPr>
          <w:rFonts w:ascii="Arial" w:hAnsi="Arial" w:cs="Arial"/>
          <w:color w:val="000000"/>
          <w:rtl w:val="true"/>
          <w:lang w:val="en-US" w:eastAsia="en-US"/>
        </w:rPr>
        <w:t xml:space="preserve">ת </w:t>
      </w:r>
      <w:r>
        <w:rPr>
          <w:rFonts w:cs="Arial" w:ascii="Arial" w:hAnsi="Arial"/>
          <w:color w:val="000000"/>
          <w:lang w:val="en-US" w:eastAsia="en-US"/>
        </w:rPr>
        <w:t>17-18</w:t>
      </w:r>
      <w:r>
        <w:rPr>
          <w:rFonts w:cs="Arial" w:ascii="Arial" w:hAnsi="Arial"/>
          <w:rtl w:val="true"/>
          <w:lang w:val="en-US" w:eastAsia="en-US"/>
        </w:rPr>
        <w:t xml:space="preserve">).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נימוק נוסף הוא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כי על פי התסקיר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הנאשם לוקח אחריות חלקית בלבד על העבירה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ויישום המלצת שירות המבחן מחייב עונש חמור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כי התסקיר מציין שהנאשם זקוק לגבולות קיצוניים ברורים ונוקשים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וממליץ על מאסר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ascii="Arial" w:hAnsi="Arial" w:cs="Arial"/>
          <w:u w:val="single"/>
          <w:rtl w:val="true"/>
          <w:lang w:val="en-US" w:eastAsia="en-US"/>
        </w:rPr>
        <w:t>שם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שורו</w:t>
      </w:r>
      <w:r>
        <w:rPr>
          <w:rFonts w:ascii="Arial" w:hAnsi="Arial" w:cs="Arial"/>
          <w:color w:val="000000"/>
          <w:rtl w:val="true"/>
          <w:lang w:val="en-US" w:eastAsia="en-US"/>
        </w:rPr>
        <w:t xml:space="preserve">ת </w:t>
      </w:r>
      <w:r>
        <w:rPr>
          <w:rFonts w:cs="Arial" w:ascii="Arial" w:hAnsi="Arial"/>
          <w:color w:val="000000"/>
          <w:lang w:val="en-US" w:eastAsia="en-US"/>
        </w:rPr>
        <w:t>20-22</w:t>
      </w:r>
      <w:r>
        <w:rPr>
          <w:rFonts w:cs="Arial" w:ascii="Arial" w:hAnsi="Arial"/>
          <w:rtl w:val="true"/>
          <w:lang w:val="en-US" w:eastAsia="en-US"/>
        </w:rPr>
        <w:t xml:space="preserve">).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9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ב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כ הנאשם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עו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ד מוסטפא יחיא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שם את הדגש על תנאי חייו הקשים של הנאשם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על כן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ביקש להפעיל את מידת הרחמים כלפיו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הסנגור הסביר כי הוא מאמין ומקווה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לאחר שמרשו קיבל את ה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שוק</w:t>
      </w:r>
      <w:r>
        <w:rPr>
          <w:rFonts w:cs="Arial" w:ascii="Arial" w:hAnsi="Arial"/>
          <w:rtl w:val="true"/>
          <w:lang w:val="en-US" w:eastAsia="en-US"/>
        </w:rPr>
        <w:t xml:space="preserve">" </w:t>
      </w:r>
      <w:r>
        <w:rPr>
          <w:rFonts w:ascii="Arial" w:hAnsi="Arial" w:cs="Arial"/>
          <w:rtl w:val="true"/>
          <w:lang w:val="en-US" w:eastAsia="en-US"/>
        </w:rPr>
        <w:t>ממאסרו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יוכל לחזור לעבודה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ובכך לא יחזור לסורו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ascii="Arial" w:hAnsi="Arial" w:cs="Arial"/>
          <w:rtl w:val="true"/>
          <w:lang w:val="en-US" w:eastAsia="en-US"/>
        </w:rPr>
        <w:t>עמ</w:t>
      </w:r>
      <w:r>
        <w:rPr>
          <w:rFonts w:cs="Arial" w:ascii="Arial" w:hAnsi="Arial"/>
          <w:rtl w:val="true"/>
          <w:lang w:val="en-US" w:eastAsia="en-US"/>
        </w:rPr>
        <w:t xml:space="preserve">' </w:t>
      </w:r>
      <w:r>
        <w:rPr>
          <w:rFonts w:cs="Arial" w:ascii="Arial" w:hAnsi="Arial"/>
          <w:lang w:val="en-US" w:eastAsia="en-US"/>
        </w:rPr>
        <w:t>28-29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לפרוטוקול</w:t>
      </w:r>
      <w:r>
        <w:rPr>
          <w:rFonts w:cs="Arial" w:ascii="Arial" w:hAnsi="Arial"/>
          <w:rtl w:val="true"/>
          <w:lang w:val="en-US" w:eastAsia="en-US"/>
        </w:rPr>
        <w:t xml:space="preserve">).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10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הנאשם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בדבריו האחרונים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הביע צער וביקש להשתחרר מן הכלא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כדי לעבוד אצל הבוס שלו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ascii="Arial" w:hAnsi="Arial" w:cs="Arial"/>
          <w:rtl w:val="true"/>
          <w:lang w:val="en-US" w:eastAsia="en-US"/>
        </w:rPr>
        <w:t>עמ</w:t>
      </w:r>
      <w:r>
        <w:rPr>
          <w:rFonts w:cs="Arial" w:ascii="Arial" w:hAnsi="Arial"/>
          <w:rtl w:val="true"/>
          <w:lang w:val="en-US" w:eastAsia="en-US"/>
        </w:rPr>
        <w:t xml:space="preserve">' </w:t>
      </w:r>
      <w:r>
        <w:rPr>
          <w:rFonts w:cs="Arial" w:ascii="Arial" w:hAnsi="Arial"/>
          <w:lang w:val="en-US" w:eastAsia="en-US"/>
        </w:rPr>
        <w:t>29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שורה </w:t>
      </w:r>
      <w:r>
        <w:rPr>
          <w:rFonts w:cs="Arial" w:ascii="Arial" w:hAnsi="Arial"/>
          <w:lang w:val="en-US" w:eastAsia="en-US"/>
        </w:rPr>
        <w:t>7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לפרוטוקול הנ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ל</w:t>
      </w:r>
      <w:r>
        <w:rPr>
          <w:rFonts w:cs="Arial" w:ascii="Arial" w:hAnsi="Arial"/>
          <w:rtl w:val="true"/>
          <w:lang w:val="en-US" w:eastAsia="en-US"/>
        </w:rPr>
        <w:t xml:space="preserve">).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b/>
          <w:bCs/>
          <w:u w:val="single"/>
          <w:lang w:val="en-US" w:eastAsia="en-US"/>
        </w:rPr>
      </w:pPr>
      <w:r>
        <w:rPr>
          <w:rFonts w:ascii="Arial" w:hAnsi="Arial" w:cs="Arial"/>
          <w:b/>
          <w:b/>
          <w:bCs/>
          <w:u w:val="single"/>
          <w:rtl w:val="true"/>
          <w:lang w:val="en-US" w:eastAsia="en-US"/>
        </w:rPr>
        <w:t>גזר הדין של בית משפט השלום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b/>
          <w:bCs/>
          <w:u w:val="single"/>
          <w:lang w:val="en-US" w:eastAsia="en-US"/>
        </w:rPr>
      </w:pPr>
      <w:r>
        <w:rPr>
          <w:rFonts w:cs="Arial" w:ascii="Arial" w:hAnsi="Arial"/>
          <w:b/>
          <w:bCs/>
          <w:u w:val="single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11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 xml:space="preserve">בית משפט השלום בירושלים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ascii="Arial" w:hAnsi="Arial" w:cs="Arial"/>
          <w:rtl w:val="true"/>
          <w:lang w:val="en-US" w:eastAsia="en-US"/>
        </w:rPr>
        <w:t>כב</w:t>
      </w:r>
      <w:r>
        <w:rPr>
          <w:rFonts w:cs="Arial" w:ascii="Arial" w:hAnsi="Arial"/>
          <w:rtl w:val="true"/>
          <w:lang w:val="en-US" w:eastAsia="en-US"/>
        </w:rPr>
        <w:t xml:space="preserve">' </w:t>
      </w:r>
      <w:r>
        <w:rPr>
          <w:rFonts w:ascii="Arial" w:hAnsi="Arial" w:cs="Arial"/>
          <w:rtl w:val="true"/>
          <w:lang w:val="en-US" w:eastAsia="en-US"/>
        </w:rPr>
        <w:t>השופט שמואל הרבסט</w:t>
      </w:r>
      <w:r>
        <w:rPr>
          <w:rFonts w:cs="Arial" w:ascii="Arial" w:hAnsi="Arial"/>
          <w:rtl w:val="true"/>
          <w:lang w:val="en-US" w:eastAsia="en-US"/>
        </w:rPr>
        <w:t xml:space="preserve">), </w:t>
      </w:r>
      <w:r>
        <w:rPr>
          <w:rFonts w:ascii="Arial" w:hAnsi="Arial" w:cs="Arial"/>
          <w:rtl w:val="true"/>
          <w:lang w:val="en-US" w:eastAsia="en-US"/>
        </w:rPr>
        <w:t>פתח את חלק הדיון בגזר דינו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מיום יב אדר תשע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 xml:space="preserve">ד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cs="Arial" w:ascii="Arial" w:hAnsi="Arial"/>
          <w:lang w:val="en-US" w:eastAsia="en-US"/>
        </w:rPr>
        <w:t>12.2.14</w:t>
      </w:r>
      <w:r>
        <w:rPr>
          <w:rFonts w:cs="Arial" w:ascii="Arial" w:hAnsi="Arial"/>
          <w:rtl w:val="true"/>
          <w:lang w:val="en-US" w:eastAsia="en-US"/>
        </w:rPr>
        <w:t xml:space="preserve">), </w:t>
      </w:r>
      <w:r>
        <w:rPr>
          <w:rFonts w:ascii="Arial" w:hAnsi="Arial" w:cs="Arial"/>
          <w:rtl w:val="true"/>
          <w:lang w:val="en-US" w:eastAsia="en-US"/>
        </w:rPr>
        <w:t>באומרו כי העבירות אותן ביצע הנאשם הן חמורות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נפוצותן רבה ופגיעתן קשה ביותר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בשל קלות הביצוע והרווח הכספי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מחייב הדבר תגובה עונשית הולמת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ascii="Arial" w:hAnsi="Arial" w:cs="Arial"/>
          <w:rtl w:val="true"/>
          <w:lang w:val="en-US" w:eastAsia="en-US"/>
        </w:rPr>
        <w:t>עמ</w:t>
      </w:r>
      <w:r>
        <w:rPr>
          <w:rFonts w:cs="Arial" w:ascii="Arial" w:hAnsi="Arial"/>
          <w:rtl w:val="true"/>
          <w:lang w:val="en-US" w:eastAsia="en-US"/>
        </w:rPr>
        <w:t xml:space="preserve">' </w:t>
      </w:r>
      <w:r>
        <w:rPr>
          <w:rFonts w:cs="Arial" w:ascii="Arial" w:hAnsi="Arial"/>
          <w:lang w:val="en-US" w:eastAsia="en-US"/>
        </w:rPr>
        <w:t>30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שורו</w:t>
      </w:r>
      <w:r>
        <w:rPr>
          <w:rFonts w:ascii="Arial" w:hAnsi="Arial" w:cs="Arial"/>
          <w:color w:val="000000"/>
          <w:rtl w:val="true"/>
          <w:lang w:val="en-US" w:eastAsia="en-US"/>
        </w:rPr>
        <w:t xml:space="preserve">ת </w:t>
      </w:r>
      <w:r>
        <w:rPr>
          <w:rFonts w:cs="Arial" w:ascii="Arial" w:hAnsi="Arial"/>
          <w:color w:val="000000"/>
          <w:lang w:val="en-US" w:eastAsia="en-US"/>
        </w:rPr>
        <w:t>19-20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לפרוטוקול האמור</w:t>
      </w:r>
      <w:r>
        <w:rPr>
          <w:rFonts w:cs="Arial" w:ascii="Arial" w:hAnsi="Arial"/>
          <w:rtl w:val="true"/>
          <w:lang w:val="en-US" w:eastAsia="en-US"/>
        </w:rPr>
        <w:t xml:space="preserve">).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  <w:tab/>
      </w:r>
      <w:r>
        <w:rPr>
          <w:rFonts w:ascii="Arial" w:hAnsi="Arial" w:cs="Arial"/>
          <w:rtl w:val="true"/>
          <w:lang w:val="en-US" w:eastAsia="en-US"/>
        </w:rPr>
        <w:t>בית משפט קמא מסיק מכמות הסם וצורת ניהול העסקאות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כי 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הנאשם בקיא ורגיל</w:t>
      </w:r>
      <w:r>
        <w:rPr>
          <w:rFonts w:ascii="Arial" w:hAnsi="Arial" w:cs="Arial"/>
          <w:rtl w:val="true"/>
          <w:lang w:val="en-US" w:eastAsia="en-US"/>
        </w:rPr>
        <w:t xml:space="preserve">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בשוק הסמים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"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ascii="Arial" w:hAnsi="Arial" w:cs="Arial"/>
          <w:u w:val="single"/>
          <w:rtl w:val="true"/>
          <w:lang w:val="en-US" w:eastAsia="en-US"/>
        </w:rPr>
        <w:t>שם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שורו</w:t>
      </w:r>
      <w:r>
        <w:rPr>
          <w:rFonts w:ascii="Arial" w:hAnsi="Arial" w:cs="Arial"/>
          <w:color w:val="000000"/>
          <w:rtl w:val="true"/>
          <w:lang w:val="en-US" w:eastAsia="en-US"/>
        </w:rPr>
        <w:t xml:space="preserve">ת </w:t>
      </w:r>
      <w:r>
        <w:rPr>
          <w:rFonts w:cs="Arial" w:ascii="Arial" w:hAnsi="Arial"/>
          <w:color w:val="000000"/>
          <w:lang w:val="en-US" w:eastAsia="en-US"/>
        </w:rPr>
        <w:t>22-25</w:t>
      </w:r>
      <w:r>
        <w:rPr>
          <w:rFonts w:cs="Arial" w:ascii="Arial" w:hAnsi="Arial"/>
          <w:rtl w:val="true"/>
          <w:lang w:val="en-US" w:eastAsia="en-US"/>
        </w:rPr>
        <w:t xml:space="preserve">).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12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מתחם העונש ההולם נקבע על ידי בית משפט קמא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לכל אירוע סחר בנפרד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באופן הבא</w:t>
      </w:r>
      <w:r>
        <w:rPr>
          <w:rFonts w:cs="Arial" w:ascii="Arial" w:hAnsi="Arial"/>
          <w:rtl w:val="true"/>
          <w:lang w:val="en-US" w:eastAsia="en-US"/>
        </w:rPr>
        <w:t>: "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ממאסר שירוצה בעבודות שירות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 xml:space="preserve">ועד למאסר בפועל בן </w:t>
      </w:r>
      <w:r>
        <w:rPr>
          <w:rFonts w:cs="Arial" w:ascii="Arial" w:hAnsi="Arial"/>
          <w:b/>
          <w:bCs/>
          <w:lang w:val="en-US" w:eastAsia="en-US"/>
        </w:rPr>
        <w:t>12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חודשי מאסר בפועל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ascii="Arial" w:hAnsi="Arial" w:cs="Arial"/>
          <w:rtl w:val="true"/>
          <w:lang w:val="en-US" w:eastAsia="en-US"/>
        </w:rPr>
        <w:t>עמ</w:t>
      </w:r>
      <w:r>
        <w:rPr>
          <w:rFonts w:cs="Arial" w:ascii="Arial" w:hAnsi="Arial"/>
          <w:rtl w:val="true"/>
          <w:lang w:val="en-US" w:eastAsia="en-US"/>
        </w:rPr>
        <w:t xml:space="preserve">' </w:t>
      </w:r>
      <w:r>
        <w:rPr>
          <w:rFonts w:cs="Arial" w:ascii="Arial" w:hAnsi="Arial"/>
          <w:lang w:val="en-US" w:eastAsia="en-US"/>
        </w:rPr>
        <w:t>30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שורו</w:t>
      </w:r>
      <w:r>
        <w:rPr>
          <w:rFonts w:ascii="Arial" w:hAnsi="Arial" w:cs="Arial"/>
          <w:rtl w:val="true"/>
          <w:lang w:val="en-US" w:eastAsia="en-US"/>
        </w:rPr>
        <w:t xml:space="preserve">ת </w:t>
      </w:r>
      <w:r>
        <w:rPr>
          <w:rFonts w:cs="Arial" w:ascii="Arial" w:hAnsi="Arial"/>
          <w:lang w:val="en-US" w:eastAsia="en-US"/>
        </w:rPr>
        <w:t>27-28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לפרוטוקול מיום </w:t>
      </w:r>
      <w:r>
        <w:rPr>
          <w:rFonts w:cs="Arial" w:ascii="Arial" w:hAnsi="Arial"/>
          <w:lang w:val="en-US" w:eastAsia="en-US"/>
        </w:rPr>
        <w:t>12.2.14</w:t>
      </w:r>
      <w:r>
        <w:rPr>
          <w:rFonts w:cs="Arial" w:ascii="Arial" w:hAnsi="Arial"/>
          <w:rtl w:val="true"/>
          <w:lang w:val="en-US" w:eastAsia="en-US"/>
        </w:rPr>
        <w:t>).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13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 xml:space="preserve">בפרק שעניינו 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העונש המתאים</w:t>
      </w:r>
      <w:r>
        <w:rPr>
          <w:rFonts w:cs="Arial" w:ascii="Arial" w:hAnsi="Arial"/>
          <w:rtl w:val="true"/>
          <w:lang w:val="en-US" w:eastAsia="en-US"/>
        </w:rPr>
        <w:t xml:space="preserve">", </w:t>
      </w:r>
      <w:r>
        <w:rPr>
          <w:rFonts w:ascii="Arial" w:hAnsi="Arial" w:cs="Arial"/>
          <w:rtl w:val="true"/>
          <w:lang w:val="en-US" w:eastAsia="en-US"/>
        </w:rPr>
        <w:t>הוזכר לחומרא כי חלקו של הנאשם הוא הכרחי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דומיננטי וסגולי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והנזק מביצוע העבירה גדול ורחב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והמניע לעבירה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הינו ממוני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ascii="Arial" w:hAnsi="Arial" w:cs="Arial"/>
          <w:rtl w:val="true"/>
          <w:lang w:val="en-US" w:eastAsia="en-US"/>
        </w:rPr>
        <w:t>עמ</w:t>
      </w:r>
      <w:r>
        <w:rPr>
          <w:rFonts w:cs="Arial" w:ascii="Arial" w:hAnsi="Arial"/>
          <w:rtl w:val="true"/>
          <w:lang w:val="en-US" w:eastAsia="en-US"/>
        </w:rPr>
        <w:t xml:space="preserve">' </w:t>
      </w:r>
      <w:r>
        <w:rPr>
          <w:rFonts w:cs="Arial" w:ascii="Arial" w:hAnsi="Arial"/>
          <w:lang w:val="en-US" w:eastAsia="en-US"/>
        </w:rPr>
        <w:t>31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שורות </w:t>
      </w:r>
      <w:r>
        <w:rPr>
          <w:rFonts w:cs="Arial" w:ascii="Arial" w:hAnsi="Arial"/>
          <w:lang w:val="en-US" w:eastAsia="en-US"/>
        </w:rPr>
        <w:t>4-5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לפרוטוקול הנ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ל</w:t>
      </w:r>
      <w:r>
        <w:rPr>
          <w:rFonts w:cs="Arial" w:ascii="Arial" w:hAnsi="Arial"/>
          <w:rtl w:val="true"/>
          <w:lang w:val="en-US" w:eastAsia="en-US"/>
        </w:rPr>
        <w:t xml:space="preserve">).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  <w:tab/>
      </w:r>
      <w:r>
        <w:rPr>
          <w:rFonts w:ascii="Arial" w:hAnsi="Arial" w:cs="Arial"/>
          <w:rtl w:val="true"/>
          <w:lang w:val="en-US" w:eastAsia="en-US"/>
        </w:rPr>
        <w:t>לקולא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הובאו בחשבון נתונים אלה</w:t>
      </w:r>
      <w:r>
        <w:rPr>
          <w:rFonts w:cs="Arial" w:ascii="Arial" w:hAnsi="Arial"/>
          <w:rtl w:val="true"/>
          <w:lang w:val="en-US" w:eastAsia="en-US"/>
        </w:rPr>
        <w:t xml:space="preserve">: </w:t>
      </w:r>
      <w:r>
        <w:rPr>
          <w:rFonts w:ascii="Arial" w:hAnsi="Arial" w:cs="Arial"/>
          <w:rtl w:val="true"/>
          <w:lang w:val="en-US" w:eastAsia="en-US"/>
        </w:rPr>
        <w:t>ילדות מורכבת ונסיבות חיים קשות</w:t>
      </w:r>
      <w:r>
        <w:rPr>
          <w:rFonts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cs="Arial"/>
          <w:rtl w:val="true"/>
          <w:lang w:val="en-US" w:eastAsia="en-US"/>
        </w:rPr>
        <w:t>התמדה במקום עבודה מסודר</w:t>
      </w:r>
      <w:r>
        <w:rPr>
          <w:rFonts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cs="Arial"/>
          <w:rtl w:val="true"/>
          <w:lang w:val="en-US" w:eastAsia="en-US"/>
        </w:rPr>
        <w:t>נטילת אחריות חלקית בפני קצינת המבחן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בבחינת 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מוטב מאוחר מאשר לעולם לא</w:t>
      </w:r>
      <w:r>
        <w:rPr>
          <w:rFonts w:cs="Arial" w:ascii="Arial" w:hAnsi="Arial"/>
          <w:rtl w:val="true"/>
          <w:lang w:val="en-US" w:eastAsia="en-US"/>
        </w:rPr>
        <w:t xml:space="preserve">"; </w:t>
      </w:r>
      <w:r>
        <w:rPr>
          <w:rFonts w:ascii="Arial" w:hAnsi="Arial" w:cs="Arial"/>
          <w:rtl w:val="true"/>
          <w:lang w:val="en-US" w:eastAsia="en-US"/>
        </w:rPr>
        <w:t xml:space="preserve">ציפייה כי בעתיד יש הבטחה שיש בה סיכוי לצעידה משותפת לקראת דרך חדשה שאינה עבריינית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ascii="Arial" w:hAnsi="Arial" w:cs="Arial"/>
          <w:u w:val="single"/>
          <w:rtl w:val="true"/>
          <w:lang w:val="en-US" w:eastAsia="en-US"/>
        </w:rPr>
        <w:t>שם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שורות </w:t>
      </w:r>
      <w:r>
        <w:rPr>
          <w:rFonts w:cs="Arial" w:ascii="Arial" w:hAnsi="Arial"/>
          <w:lang w:val="en-US" w:eastAsia="en-US"/>
        </w:rPr>
        <w:t>7-11</w:t>
      </w:r>
      <w:r>
        <w:rPr>
          <w:rFonts w:cs="Arial" w:ascii="Arial" w:hAnsi="Arial"/>
          <w:rtl w:val="true"/>
          <w:lang w:val="en-US" w:eastAsia="en-US"/>
        </w:rPr>
        <w:t xml:space="preserve">).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14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בית המשפט מסביר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כי בגלל הנתונים האישיים ודבריו האחרונים של הנאשם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ותוך השוואה לעונשו של אחיו התאום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ascii="Arial" w:hAnsi="Arial" w:cs="Arial"/>
          <w:u w:val="single"/>
          <w:rtl w:val="true"/>
          <w:lang w:val="en-US" w:eastAsia="en-US"/>
        </w:rPr>
        <w:t>שם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שורו</w:t>
      </w:r>
      <w:r>
        <w:rPr>
          <w:rFonts w:ascii="Arial" w:hAnsi="Arial" w:cs="Arial"/>
          <w:color w:val="000000"/>
          <w:rtl w:val="true"/>
          <w:lang w:val="en-US" w:eastAsia="en-US"/>
        </w:rPr>
        <w:t xml:space="preserve">ת </w:t>
      </w:r>
      <w:r>
        <w:rPr>
          <w:rFonts w:cs="Arial" w:ascii="Arial" w:hAnsi="Arial"/>
          <w:color w:val="000000"/>
          <w:lang w:val="en-US" w:eastAsia="en-US"/>
        </w:rPr>
        <w:t>17-19</w:t>
      </w:r>
      <w:r>
        <w:rPr>
          <w:rFonts w:cs="Arial" w:ascii="Arial" w:hAnsi="Arial"/>
          <w:rtl w:val="true"/>
          <w:lang w:val="en-US" w:eastAsia="en-US"/>
        </w:rPr>
        <w:t xml:space="preserve">), </w:t>
      </w:r>
      <w:r>
        <w:rPr>
          <w:rFonts w:ascii="Arial" w:hAnsi="Arial" w:cs="Arial"/>
          <w:rtl w:val="true"/>
          <w:lang w:val="en-US" w:eastAsia="en-US"/>
        </w:rPr>
        <w:t xml:space="preserve">הוא הגיע למסקנה כי עונשו של הנאשם ראוי שיעמוד על חלקו המרכזי של מתחם הענישה ההולם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ascii="Arial" w:hAnsi="Arial" w:cs="Arial"/>
          <w:rtl w:val="true"/>
          <w:lang w:val="en-US" w:eastAsia="en-US"/>
        </w:rPr>
        <w:t>עמ</w:t>
      </w:r>
      <w:r>
        <w:rPr>
          <w:rFonts w:cs="Arial" w:ascii="Arial" w:hAnsi="Arial"/>
          <w:rtl w:val="true"/>
          <w:lang w:val="en-US" w:eastAsia="en-US"/>
        </w:rPr>
        <w:t xml:space="preserve">' </w:t>
      </w:r>
      <w:r>
        <w:rPr>
          <w:rFonts w:cs="Arial" w:ascii="Arial" w:hAnsi="Arial"/>
          <w:lang w:val="en-US" w:eastAsia="en-US"/>
        </w:rPr>
        <w:t>31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שורו</w:t>
      </w:r>
      <w:r>
        <w:rPr>
          <w:rFonts w:ascii="Arial" w:hAnsi="Arial" w:cs="Arial"/>
          <w:color w:val="000000"/>
          <w:rtl w:val="true"/>
          <w:lang w:val="en-US" w:eastAsia="en-US"/>
        </w:rPr>
        <w:t xml:space="preserve">ת </w:t>
      </w:r>
      <w:r>
        <w:rPr>
          <w:rFonts w:cs="Arial" w:ascii="Arial" w:hAnsi="Arial"/>
          <w:color w:val="000000"/>
          <w:lang w:val="en-US" w:eastAsia="en-US"/>
        </w:rPr>
        <w:t>21-23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לפרוטוקול הנ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ל</w:t>
      </w:r>
      <w:r>
        <w:rPr>
          <w:rFonts w:cs="Arial" w:ascii="Arial" w:hAnsi="Arial"/>
          <w:rtl w:val="true"/>
          <w:lang w:val="en-US" w:eastAsia="en-US"/>
        </w:rPr>
        <w:t xml:space="preserve">).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15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העונש שנגזר על הנאשם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הוא כאמור בפיסקה הראשונה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בפתח פסק דין זה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firstLine="60" w:start="144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b/>
          <w:bCs/>
          <w:lang w:val="en-US" w:eastAsia="en-US"/>
        </w:rPr>
      </w:pPr>
      <w:r>
        <w:rPr>
          <w:rFonts w:ascii="Arial" w:hAnsi="Arial" w:cs="Arial"/>
          <w:b/>
          <w:b/>
          <w:bCs/>
          <w:u w:val="single"/>
          <w:rtl w:val="true"/>
          <w:lang w:val="en-US" w:eastAsia="en-US"/>
        </w:rPr>
        <w:t>טיעוני המדינה בערעור</w:t>
      </w:r>
      <w:r>
        <w:rPr>
          <w:rFonts w:cs="Arial" w:ascii="Arial" w:hAnsi="Arial"/>
          <w:b/>
          <w:bCs/>
          <w:rtl w:val="true"/>
          <w:lang w:val="en-US" w:eastAsia="en-US"/>
        </w:rPr>
        <w:tab/>
        <w:tab/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b/>
          <w:bCs/>
          <w:lang w:val="en-US" w:eastAsia="en-US"/>
        </w:rPr>
      </w:pPr>
      <w:r>
        <w:rPr>
          <w:rFonts w:cs="Arial" w:ascii="Arial" w:hAnsi="Arial"/>
          <w:b/>
          <w:bCs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16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במסגרת תיאור ההליכים בתיק זה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בפתח הודעת הערעור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מתייחסת ב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כ המדינה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עו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ד נורית בלובשטיין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מנהלת המחלקה הפלילית בפרקליטות מחוז ירושלים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ascii="Arial" w:hAnsi="Arial" w:cs="Arial"/>
          <w:rtl w:val="true"/>
          <w:lang w:val="en-US" w:eastAsia="en-US"/>
        </w:rPr>
        <w:t>פלילי</w:t>
      </w:r>
      <w:r>
        <w:rPr>
          <w:rFonts w:cs="Arial" w:ascii="Arial" w:hAnsi="Arial"/>
          <w:rtl w:val="true"/>
          <w:lang w:val="en-US" w:eastAsia="en-US"/>
        </w:rPr>
        <w:t xml:space="preserve">) </w:t>
      </w:r>
      <w:r>
        <w:rPr>
          <w:rFonts w:ascii="Arial" w:hAnsi="Arial" w:cs="Arial"/>
          <w:rtl w:val="true"/>
          <w:lang w:val="en-US" w:eastAsia="en-US"/>
        </w:rPr>
        <w:t>לכך שנגד האח התאום תלוי ועומד ערעור על קולת העונש שהוגש על ידי המדינה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ובעניין הנאשם השלישי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נקבע התיק לטיעונים לעונש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ליום </w:t>
      </w:r>
      <w:r>
        <w:rPr>
          <w:rFonts w:cs="Arial" w:ascii="Arial" w:hAnsi="Arial"/>
          <w:lang w:val="en-US" w:eastAsia="en-US"/>
        </w:rPr>
        <w:t>3.4.14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17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לטענת המדינה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בית משפט קמא לא ייחס את החומרה הראויה והמתבקשת לכל העבירות בהן הורשע המשיב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ולא גזר עליו עונש ההולם את חומרתן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בכך שלא יישם את דבריו על חומרת העבירות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עת השית על המשיב עונש מתון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18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לטענת המדינה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מן הראוי היה לייחס חומרה מיוחדת למסחר בטבליות </w:t>
      </w:r>
      <w:r>
        <w:rPr>
          <w:rFonts w:cs="Arial" w:ascii="Arial" w:hAnsi="Arial"/>
          <w:lang w:val="en-US" w:eastAsia="en-US"/>
        </w:rPr>
        <w:t>MDMA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אך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הערכאה הראשונה לא התייחסה לנתון זה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בעת קביעת העונש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19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לטענת המדינה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בהתבססה על פסיקה שציטטה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עבירות סחר בסמים והפצתם הם אחד מהתחלואים המרכזיים של החברה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המחייבות ענישה מחמירה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במסגרת הערעור שבכתב מובאים כמה תקדימים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שבהם על כמות סמים נמוכה יותר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נגזרו </w:t>
      </w:r>
      <w:r>
        <w:rPr>
          <w:rFonts w:cs="Arial" w:ascii="Arial" w:hAnsi="Arial"/>
          <w:lang w:val="en-US" w:eastAsia="en-US"/>
        </w:rPr>
        <w:t>5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שנות מאסר ועונשים דומים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20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בערעור בכתב יש התייחסות גם לקביעת העונש ההולם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המדינה סבורה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כי יש להשית על המשיב עונש המצוי ברף הגבוה של המתחם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לאור עברו הפלילי והעונשים שריצה בעבר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21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בסיום טיעוניה בכתב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טוענת המדינה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כי העונש שהוטל על המשיב הוא מקל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ולכן אין בו הרתעה מספקת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הן ברמת ההרתעה האינדיווידואלית והן במישור הקולקטיבי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22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בדיון בעל פה בפנינו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חזרה באת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כוח המדינה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עו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ד ענת גרינבאום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על הטיעונים האמורים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לא היה בפיה מידע מהו העונש שהוטל על הנאשם השלישי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בעניין ההשוואה בין הנאשם לבין אחיו התאום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לא ידעה להסביר מדוע לא ביקשה המדינה איחוד דיון של שני הנאשמים בערעורים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23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במסגרת טיעוניה למתחם העונש ההולם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סבורה המדינה כי יש לקבוע מתחם שונה לסחר בחשיש ומתחם גבוה יותר למסחר בטבליות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באומרה כי הסחר בטבליות חמור יותר מחשיש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אך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לא היה לה מידע רפואי על כך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ולא הביאה אסמכתאות מן הפסיקה לשוני האמור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ובמיוחד לא לשאלה מהו היחס בין כמות הסם לבין הסוג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לעניין החומרה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24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מכל מקום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נסיבות ביצוע העבירה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לטענת המדינה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מוכיחות כי למשיב הייתה זמינות לשני סוגי סמים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הוא העביר במהירות את הסמים לסוכן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לכן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העונש שהוטל הוא נמוך ויש להחמיר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שכן בסופו של דבר </w:t>
      </w:r>
      <w:r>
        <w:rPr>
          <w:rFonts w:cs="Arial" w:ascii="Arial" w:hAnsi="Arial"/>
          <w:lang w:val="en-US" w:eastAsia="en-US"/>
        </w:rPr>
        <w:t>16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חודשי המאסר שקיבל משקפים כשלושה חודשי מאסר לכל אישום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דבר שאינו ראוי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בנסיבות העניין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b/>
          <w:bCs/>
          <w:u w:val="single"/>
          <w:lang w:val="en-US" w:eastAsia="en-US"/>
        </w:rPr>
      </w:pPr>
      <w:r>
        <w:rPr>
          <w:rFonts w:ascii="Arial" w:hAnsi="Arial" w:cs="Arial"/>
          <w:b/>
          <w:b/>
          <w:bCs/>
          <w:u w:val="single"/>
          <w:rtl w:val="true"/>
          <w:lang w:val="en-US" w:eastAsia="en-US"/>
        </w:rPr>
        <w:t>טיעוני המשיב לעונש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b/>
          <w:bCs/>
          <w:u w:val="single"/>
          <w:lang w:val="en-US" w:eastAsia="en-US"/>
        </w:rPr>
      </w:pPr>
      <w:r>
        <w:rPr>
          <w:rFonts w:cs="Arial" w:ascii="Arial" w:hAnsi="Arial"/>
          <w:b/>
          <w:bCs/>
          <w:u w:val="single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25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עו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ד מוסטפא יחיא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שטען למרשו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ביקש לתת משקל לנסיבות חייו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כעולות מן התסקיר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כאשר הוא מדגיש כי מדובר בצעיר שגדל בסביבה קשה ובחסכים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שתוארו בתסקיר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26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שיקול קולא נוסף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אשר עליו הצביע ב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כ הנאשם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הוא הודאתו של המשיב וקבלת האחריות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27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 xml:space="preserve">הסנגור מציין כי העבירות בוצעו בין מאי </w:t>
      </w:r>
      <w:r>
        <w:rPr>
          <w:rFonts w:cs="Arial" w:ascii="Arial" w:hAnsi="Arial"/>
          <w:lang w:val="en-US" w:eastAsia="en-US"/>
        </w:rPr>
        <w:t>2012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 xml:space="preserve">ועד ספטמבר </w:t>
      </w:r>
      <w:r>
        <w:rPr>
          <w:rFonts w:cs="Arial" w:ascii="Arial" w:hAnsi="Arial"/>
          <w:lang w:val="en-US" w:eastAsia="en-US"/>
        </w:rPr>
        <w:t>2012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כאשר הנאשם נעצר במאי </w:t>
      </w:r>
      <w:r>
        <w:rPr>
          <w:rFonts w:cs="Arial" w:ascii="Arial" w:hAnsi="Arial"/>
          <w:lang w:val="en-US" w:eastAsia="en-US"/>
        </w:rPr>
        <w:t>2013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מכאן מסיק ב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כ הנאשם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כי באותם תשעה חודשים לא ביצע הנאשם עבירה נוספת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לכן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בנסיבות אלה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העונש הולם את נסיבות העניין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28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עו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ד יחיא התייחס לעונש שהוטל על האח התאום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כאשר לשניהם עבר פלילי דומה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הוא מסביר כי על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פי השוואת העונשים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אין זה ראוי להחמיר בעונשו של המשיב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29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ב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כ המשיב הביא פסיקה בדבר עונשים נמוכים יותר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הן מבית משפט שלום והן מבית משפט מחוזי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30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 xml:space="preserve">ככל שמדובר בתיקון </w:t>
      </w:r>
      <w:r>
        <w:rPr>
          <w:rFonts w:cs="Arial" w:ascii="Arial" w:hAnsi="Arial"/>
          <w:lang w:val="en-US" w:eastAsia="en-US"/>
        </w:rPr>
        <w:t>113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טענת הסנגור הינה כי גם אחרי התיקון חובה על בית המשפט להפעיל ענישה באופן אינדיוודואלי כלפי כל נאשם ונאשם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לטעמו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אין הצדקה לצבירת כל העונשים בתוך המתחם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שקבע בית משפט השלום והעונש גם ברמת הענישה וגם ביישום תיקון </w:t>
      </w:r>
      <w:r>
        <w:rPr>
          <w:rFonts w:cs="Arial" w:ascii="Arial" w:hAnsi="Arial"/>
          <w:lang w:val="en-US" w:eastAsia="en-US"/>
        </w:rPr>
        <w:t>113</w:t>
      </w:r>
      <w:r>
        <w:rPr>
          <w:rFonts w:cs="Arial" w:ascii="Arial" w:hAnsi="Arial"/>
          <w:rtl w:val="true"/>
          <w:lang w:val="en-US" w:eastAsia="en-US"/>
        </w:rPr>
        <w:t xml:space="preserve"> – </w:t>
      </w:r>
      <w:r>
        <w:rPr>
          <w:rFonts w:ascii="Arial" w:hAnsi="Arial" w:cs="Arial"/>
          <w:rtl w:val="true"/>
          <w:lang w:val="en-US" w:eastAsia="en-US"/>
        </w:rPr>
        <w:t>אינו מחייב התערבות בית משפט לערעורים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31</w:t>
      </w:r>
      <w:r>
        <w:rPr>
          <w:rFonts w:cs="Arial" w:ascii="Arial" w:hAnsi="Arial"/>
          <w:rtl w:val="true"/>
          <w:lang w:val="en-US" w:eastAsia="en-US"/>
        </w:rPr>
        <w:t>.</w:t>
        <w:tab/>
        <w:t xml:space="preserve"> </w:t>
      </w:r>
      <w:r>
        <w:rPr>
          <w:rFonts w:ascii="Arial" w:hAnsi="Arial" w:cs="Arial"/>
          <w:rtl w:val="true"/>
          <w:lang w:val="en-US" w:eastAsia="en-US"/>
        </w:rPr>
        <w:t>בכל מקרה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ביקש הסנגור כי בית משפט יפעל על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פי מידת הרחמים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ויביא בחשבון כי המשיב למד לקח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והוא מפרנס יחיד של המשפחה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ועל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כן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יש להותיר את העונש בעינו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b/>
          <w:bCs/>
          <w:sz w:val="28"/>
          <w:szCs w:val="28"/>
          <w:u w:val="single"/>
          <w:lang w:val="en-US" w:eastAsia="en-US"/>
        </w:rPr>
      </w:pPr>
      <w:r>
        <w:rPr>
          <w:rFonts w:ascii="Arial" w:hAnsi="Arial" w:cs="Arial"/>
          <w:b/>
          <w:b/>
          <w:bCs/>
          <w:sz w:val="28"/>
          <w:sz w:val="28"/>
          <w:szCs w:val="28"/>
          <w:u w:val="single"/>
          <w:rtl w:val="true"/>
          <w:lang w:val="en-US" w:eastAsia="en-US"/>
        </w:rPr>
        <w:t>דיון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b/>
          <w:bCs/>
          <w:sz w:val="28"/>
          <w:szCs w:val="28"/>
          <w:u w:val="single"/>
          <w:lang w:val="en-US" w:eastAsia="en-US"/>
        </w:rPr>
      </w:pPr>
      <w:r>
        <w:rPr>
          <w:rFonts w:cs="Arial" w:ascii="Arial" w:hAnsi="Arial"/>
          <w:b/>
          <w:bCs/>
          <w:sz w:val="28"/>
          <w:szCs w:val="28"/>
          <w:u w:val="single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32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 xml:space="preserve">בית משפט קמא קבע כי מתחם העונש ההולם לכל אחת מעבירות הסמים בהן הורשע הנאשם הוא בין מאסר בעבודות שירות לבין </w:t>
      </w:r>
      <w:r>
        <w:rPr>
          <w:rFonts w:cs="Arial" w:ascii="Arial" w:hAnsi="Arial"/>
          <w:lang w:val="en-US" w:eastAsia="en-US"/>
        </w:rPr>
        <w:t>12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 xml:space="preserve">חודשי מאסר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ascii="Arial" w:hAnsi="Arial" w:cs="Arial"/>
          <w:rtl w:val="true"/>
          <w:lang w:val="en-US" w:eastAsia="en-US"/>
        </w:rPr>
        <w:t>ראה</w:t>
      </w:r>
      <w:r>
        <w:rPr>
          <w:rFonts w:cs="Arial" w:ascii="Arial" w:hAnsi="Arial"/>
          <w:rtl w:val="true"/>
          <w:lang w:val="en-US" w:eastAsia="en-US"/>
        </w:rPr>
        <w:t xml:space="preserve">: </w:t>
      </w:r>
      <w:r>
        <w:rPr>
          <w:rFonts w:ascii="Arial" w:hAnsi="Arial" w:cs="Arial"/>
          <w:rtl w:val="true"/>
          <w:lang w:val="en-US" w:eastAsia="en-US"/>
        </w:rPr>
        <w:t xml:space="preserve">פיסקה </w:t>
      </w:r>
      <w:r>
        <w:rPr>
          <w:rFonts w:cs="Arial" w:ascii="Arial" w:hAnsi="Arial"/>
          <w:lang w:val="en-US" w:eastAsia="en-US"/>
        </w:rPr>
        <w:t>12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לעיל</w:t>
      </w:r>
      <w:r>
        <w:rPr>
          <w:rFonts w:cs="Arial" w:ascii="Arial" w:hAnsi="Arial"/>
          <w:rtl w:val="true"/>
          <w:lang w:val="en-US" w:eastAsia="en-US"/>
        </w:rPr>
        <w:t xml:space="preserve">), </w:t>
      </w:r>
      <w:r>
        <w:rPr>
          <w:rFonts w:ascii="Arial" w:hAnsi="Arial" w:cs="Arial"/>
          <w:rtl w:val="true"/>
          <w:lang w:val="en-US" w:eastAsia="en-US"/>
        </w:rPr>
        <w:t>בדומה למתחם שהוצע על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 xml:space="preserve">ידי המדינה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cs="Arial" w:ascii="Arial" w:hAnsi="Arial"/>
          <w:lang w:val="en-US" w:eastAsia="en-US"/>
        </w:rPr>
        <w:t>6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 xml:space="preserve">עד </w:t>
      </w:r>
      <w:r>
        <w:rPr>
          <w:rFonts w:cs="Arial" w:ascii="Arial" w:hAnsi="Arial"/>
          <w:lang w:val="en-US" w:eastAsia="en-US"/>
        </w:rPr>
        <w:t>12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חודשי מאסר</w:t>
      </w:r>
      <w:r>
        <w:rPr>
          <w:rFonts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cs="Arial"/>
          <w:rtl w:val="true"/>
          <w:lang w:val="en-US" w:eastAsia="en-US"/>
        </w:rPr>
        <w:t xml:space="preserve">ראה פיסקה </w:t>
      </w:r>
      <w:r>
        <w:rPr>
          <w:rFonts w:cs="Arial" w:ascii="Arial" w:hAnsi="Arial"/>
          <w:lang w:val="en-US" w:eastAsia="en-US"/>
        </w:rPr>
        <w:t>8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לעיל</w:t>
      </w:r>
      <w:r>
        <w:rPr>
          <w:rFonts w:cs="Arial" w:ascii="Arial" w:hAnsi="Arial"/>
          <w:rtl w:val="true"/>
          <w:lang w:val="en-US" w:eastAsia="en-US"/>
        </w:rPr>
        <w:t xml:space="preserve">).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33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ב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כ המאשימה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בטיעוניה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לא ביקשה לשנות את המתחם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אלא רק להוסיף מתחם נוסף חמור יותר לעניין סחר בטבליות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ברם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לא הובאה כל אסמכתא לעניין זה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34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לטעמי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במסגרת קביעת מתחם העונש ההולם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יש לפעול באופן מדויק על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 xml:space="preserve">פי הפרמטרים הכלולים </w:t>
      </w:r>
      <w:hyperlink r:id="rId24">
        <w:r>
          <w:rPr>
            <w:rStyle w:val="Hyperlink"/>
            <w:rFonts w:ascii="Arial" w:hAnsi="Arial" w:cs="Arial"/>
            <w:rtl w:val="true"/>
            <w:lang w:val="en-US" w:eastAsia="en-US"/>
          </w:rPr>
          <w:t>בסעיף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 xml:space="preserve"> </w:t>
        </w:r>
        <w:r>
          <w:rPr>
            <w:rStyle w:val="Hyperlink"/>
            <w:rFonts w:cs="Arial" w:ascii="Arial" w:hAnsi="Arial"/>
            <w:lang w:val="en-US" w:eastAsia="en-US"/>
          </w:rPr>
          <w:t>40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>ג</w:t>
        </w:r>
        <w:r>
          <w:rPr>
            <w:rStyle w:val="Hyperlink"/>
            <w:rFonts w:cs="Arial" w:ascii="Arial" w:hAnsi="Arial"/>
            <w:rtl w:val="true"/>
            <w:lang w:val="en-US" w:eastAsia="en-US"/>
          </w:rPr>
          <w:t>(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>א</w:t>
        </w:r>
        <w:r>
          <w:rPr>
            <w:rStyle w:val="Hyperlink"/>
            <w:rFonts w:cs="Arial" w:ascii="Arial" w:hAnsi="Arial"/>
            <w:rtl w:val="true"/>
            <w:lang w:val="en-US" w:eastAsia="en-US"/>
          </w:rPr>
          <w:t>)</w:t>
        </w:r>
      </w:hyperlink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ל</w:t>
      </w:r>
      <w:hyperlink r:id="rId25">
        <w:r>
          <w:rPr>
            <w:rStyle w:val="Hyperlink"/>
            <w:rFonts w:ascii="Arial" w:hAnsi="Arial" w:cs="Arial"/>
            <w:color w:val="0000FF"/>
            <w:u w:val="single"/>
            <w:rtl w:val="true"/>
            <w:lang w:val="en-US" w:eastAsia="en-US"/>
          </w:rPr>
          <w:t>חוק העונשין</w:t>
        </w:r>
      </w:hyperlink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כאשר ביחס לכל עבירות הסמים יש להתחשב בערך החברתי שנפגע מביצוע העבירה – ובעניין זה אין מחלוקת בין הצדדים ויש לאמץ את הערכים שהציג בית משפט קמא – במידת הפגיעה באותו ערך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במדיניות ענישה הנהוגה ובנסיבות הקשורות בביצוע העבירה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כאמור </w:t>
      </w:r>
      <w:hyperlink r:id="rId26">
        <w:r>
          <w:rPr>
            <w:rStyle w:val="Hyperlink"/>
            <w:rFonts w:ascii="Arial" w:hAnsi="Arial" w:cs="Arial"/>
            <w:rtl w:val="true"/>
            <w:lang w:val="en-US" w:eastAsia="en-US"/>
          </w:rPr>
          <w:t>בסעיף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 xml:space="preserve"> </w:t>
        </w:r>
        <w:r>
          <w:rPr>
            <w:rStyle w:val="Hyperlink"/>
            <w:rFonts w:cs="Arial" w:ascii="Arial" w:hAnsi="Arial"/>
            <w:lang w:val="en-US" w:eastAsia="en-US"/>
          </w:rPr>
          <w:t>40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>ט</w:t>
        </w:r>
      </w:hyperlink>
      <w:r>
        <w:rPr>
          <w:rFonts w:ascii="Arial" w:hAnsi="Arial" w:cs="Arial"/>
          <w:rtl w:val="true"/>
          <w:lang w:val="en-US" w:eastAsia="en-US"/>
        </w:rPr>
        <w:t xml:space="preserve"> לחוק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35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יש שוני בין עבירות סחר בסמים</w:t>
      </w:r>
      <w:r>
        <w:rPr>
          <w:rFonts w:cs="Arial" w:ascii="Arial" w:hAnsi="Arial"/>
          <w:rtl w:val="true"/>
          <w:lang w:val="en-US" w:eastAsia="en-US"/>
        </w:rPr>
        <w:t xml:space="preserve">: </w:t>
      </w:r>
      <w:r>
        <w:rPr>
          <w:rFonts w:ascii="Arial" w:hAnsi="Arial" w:cs="Arial"/>
          <w:rtl w:val="true"/>
          <w:lang w:val="en-US" w:eastAsia="en-US"/>
        </w:rPr>
        <w:t>לא הרי סחר באצבע חשיש כהרי סחר בקילו הירואין</w:t>
      </w:r>
      <w:r>
        <w:rPr>
          <w:rFonts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cs="Arial"/>
          <w:rtl w:val="true"/>
          <w:lang w:val="en-US" w:eastAsia="en-US"/>
        </w:rPr>
        <w:t xml:space="preserve">לא הרי סחר במנה אחת תמורת עשרות שקלים כהרי מכירת 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פלטה</w:t>
      </w:r>
      <w:r>
        <w:rPr>
          <w:rFonts w:cs="Arial" w:ascii="Arial" w:hAnsi="Arial"/>
          <w:rtl w:val="true"/>
          <w:lang w:val="en-US" w:eastAsia="en-US"/>
        </w:rPr>
        <w:t xml:space="preserve">", </w:t>
      </w:r>
      <w:r>
        <w:rPr>
          <w:rFonts w:ascii="Arial" w:hAnsi="Arial" w:cs="Arial"/>
          <w:rtl w:val="true"/>
          <w:lang w:val="en-US" w:eastAsia="en-US"/>
        </w:rPr>
        <w:t>תמורת אלפי שקלים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מתחם העונש ההולם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צריך להביא בחשבון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כאמור </w:t>
      </w:r>
      <w:hyperlink r:id="rId27">
        <w:r>
          <w:rPr>
            <w:rStyle w:val="Hyperlink"/>
            <w:rFonts w:ascii="Arial" w:hAnsi="Arial" w:cs="Arial"/>
            <w:rtl w:val="true"/>
            <w:lang w:val="en-US" w:eastAsia="en-US"/>
          </w:rPr>
          <w:t>בסעיף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 xml:space="preserve"> </w:t>
        </w:r>
        <w:r>
          <w:rPr>
            <w:rStyle w:val="Hyperlink"/>
            <w:rFonts w:cs="Arial" w:ascii="Arial" w:hAnsi="Arial"/>
            <w:lang w:val="en-US" w:eastAsia="en-US"/>
          </w:rPr>
          <w:t>40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>ג</w:t>
        </w:r>
      </w:hyperlink>
      <w:r>
        <w:rPr>
          <w:rFonts w:ascii="Arial" w:hAnsi="Arial" w:cs="Arial"/>
          <w:rtl w:val="true"/>
          <w:lang w:val="en-US" w:eastAsia="en-US"/>
        </w:rPr>
        <w:t xml:space="preserve"> לחוק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את מידת הפגיעה בערך החברתי ובנסיבות הקשורות בביצוע אותה עבירה</w:t>
      </w:r>
      <w:r>
        <w:rPr>
          <w:rFonts w:cs="Arial" w:ascii="Arial" w:hAnsi="Arial"/>
          <w:rtl w:val="true"/>
          <w:lang w:val="en-US" w:eastAsia="en-US"/>
        </w:rPr>
        <w:t xml:space="preserve">. 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36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במקרה שלפנינו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אם נביא בחשבון את הנתונים המוזכרים </w:t>
      </w:r>
      <w:hyperlink r:id="rId28">
        <w:r>
          <w:rPr>
            <w:rStyle w:val="Hyperlink"/>
            <w:rFonts w:ascii="Arial" w:hAnsi="Arial" w:cs="Arial"/>
            <w:rtl w:val="true"/>
            <w:lang w:val="en-US" w:eastAsia="en-US"/>
          </w:rPr>
          <w:t>בסעיף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 xml:space="preserve"> </w:t>
        </w:r>
        <w:r>
          <w:rPr>
            <w:rStyle w:val="Hyperlink"/>
            <w:rFonts w:cs="Arial" w:ascii="Arial" w:hAnsi="Arial"/>
            <w:lang w:val="en-US" w:eastAsia="en-US"/>
          </w:rPr>
          <w:t>40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>ט</w:t>
        </w:r>
      </w:hyperlink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לעניין נסיבות העבירה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יש לומר כי חלות הוראות הפסקאות הבאות</w:t>
      </w:r>
      <w:r>
        <w:rPr>
          <w:rFonts w:cs="Arial" w:ascii="Arial" w:hAnsi="Arial"/>
          <w:rtl w:val="true"/>
          <w:lang w:val="en-US" w:eastAsia="en-US"/>
        </w:rPr>
        <w:t xml:space="preserve">: </w:t>
      </w:r>
      <w:r>
        <w:rPr>
          <w:rFonts w:ascii="Arial" w:hAnsi="Arial" w:cs="Arial"/>
          <w:rtl w:val="true"/>
          <w:lang w:val="en-US" w:eastAsia="en-US"/>
        </w:rPr>
        <w:t>בכל אירוע של מכירת סם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התכנון קדם לביצוע העבירה </w:t>
      </w:r>
      <w:r>
        <w:rPr>
          <w:rFonts w:cs="Arial" w:ascii="Arial" w:hAnsi="Arial"/>
          <w:rtl w:val="true"/>
          <w:lang w:val="en-US" w:eastAsia="en-US"/>
        </w:rPr>
        <w:t>(</w:t>
      </w:r>
      <w:hyperlink r:id="rId29">
        <w:r>
          <w:rPr>
            <w:rStyle w:val="Hyperlink"/>
            <w:rFonts w:ascii="Arial" w:hAnsi="Arial" w:cs="Arial"/>
            <w:rtl w:val="true"/>
            <w:lang w:val="en-US" w:eastAsia="en-US"/>
          </w:rPr>
          <w:t>סעיף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 xml:space="preserve"> </w:t>
        </w:r>
        <w:r>
          <w:rPr>
            <w:rStyle w:val="Hyperlink"/>
            <w:rFonts w:cs="Arial" w:ascii="Arial" w:hAnsi="Arial"/>
            <w:lang w:val="en-US" w:eastAsia="en-US"/>
          </w:rPr>
          <w:t>40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>ט</w:t>
        </w:r>
        <w:r>
          <w:rPr>
            <w:rStyle w:val="Hyperlink"/>
            <w:rFonts w:cs="Arial" w:ascii="Arial" w:hAnsi="Arial"/>
            <w:rtl w:val="true"/>
            <w:lang w:val="en-US" w:eastAsia="en-US"/>
          </w:rPr>
          <w:t>(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>א</w:t>
        </w:r>
        <w:r>
          <w:rPr>
            <w:rStyle w:val="Hyperlink"/>
            <w:rFonts w:cs="Arial" w:ascii="Arial" w:hAnsi="Arial"/>
            <w:rtl w:val="true"/>
            <w:lang w:val="en-US" w:eastAsia="en-US"/>
          </w:rPr>
          <w:t>)(</w:t>
        </w:r>
        <w:r>
          <w:rPr>
            <w:rStyle w:val="Hyperlink"/>
            <w:rFonts w:cs="Arial" w:ascii="Arial" w:hAnsi="Arial"/>
            <w:lang w:val="en-US" w:eastAsia="en-US"/>
          </w:rPr>
          <w:t>1</w:t>
        </w:r>
        <w:r>
          <w:rPr>
            <w:rStyle w:val="Hyperlink"/>
            <w:rFonts w:cs="Arial" w:ascii="Arial" w:hAnsi="Arial"/>
            <w:rtl w:val="true"/>
            <w:lang w:val="en-US" w:eastAsia="en-US"/>
          </w:rPr>
          <w:t>)</w:t>
        </w:r>
      </w:hyperlink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לחוק</w:t>
      </w:r>
      <w:r>
        <w:rPr>
          <w:rFonts w:cs="Arial" w:ascii="Arial" w:hAnsi="Arial"/>
          <w:rtl w:val="true"/>
          <w:lang w:val="en-US" w:eastAsia="en-US"/>
        </w:rPr>
        <w:t xml:space="preserve">); </w:t>
      </w:r>
      <w:r>
        <w:rPr>
          <w:rFonts w:ascii="Arial" w:hAnsi="Arial" w:cs="Arial"/>
          <w:rtl w:val="true"/>
          <w:lang w:val="en-US" w:eastAsia="en-US"/>
        </w:rPr>
        <w:t xml:space="preserve">חלקו היחסי של הנאשם בביצוע העבירה הוא דומיננטי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ascii="Arial" w:hAnsi="Arial" w:cs="Arial"/>
          <w:rtl w:val="true"/>
          <w:lang w:val="en-US" w:eastAsia="en-US"/>
        </w:rPr>
        <w:t xml:space="preserve">שיקול חשוב לעניין </w:t>
      </w:r>
      <w:hyperlink r:id="rId30">
        <w:r>
          <w:rPr>
            <w:rStyle w:val="Hyperlink"/>
            <w:rFonts w:ascii="Arial" w:hAnsi="Arial" w:cs="Arial"/>
            <w:rtl w:val="true"/>
            <w:lang w:val="en-US" w:eastAsia="en-US"/>
          </w:rPr>
          <w:t>סעיף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 xml:space="preserve"> </w:t>
        </w:r>
        <w:r>
          <w:rPr>
            <w:rStyle w:val="Hyperlink"/>
            <w:rFonts w:cs="Arial" w:ascii="Arial" w:hAnsi="Arial"/>
            <w:lang w:val="en-US" w:eastAsia="en-US"/>
          </w:rPr>
          <w:t>40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>ט</w:t>
        </w:r>
        <w:r>
          <w:rPr>
            <w:rStyle w:val="Hyperlink"/>
            <w:rFonts w:cs="Arial" w:ascii="Arial" w:hAnsi="Arial"/>
            <w:rtl w:val="true"/>
            <w:lang w:val="en-US" w:eastAsia="en-US"/>
          </w:rPr>
          <w:t>(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>א</w:t>
        </w:r>
        <w:r>
          <w:rPr>
            <w:rStyle w:val="Hyperlink"/>
            <w:rFonts w:cs="Arial" w:ascii="Arial" w:hAnsi="Arial"/>
            <w:rtl w:val="true"/>
            <w:lang w:val="en-US" w:eastAsia="en-US"/>
          </w:rPr>
          <w:t>)(</w:t>
        </w:r>
        <w:r>
          <w:rPr>
            <w:rStyle w:val="Hyperlink"/>
            <w:rFonts w:cs="Arial" w:ascii="Arial" w:hAnsi="Arial"/>
            <w:lang w:val="en-US" w:eastAsia="en-US"/>
          </w:rPr>
          <w:t>2</w:t>
        </w:r>
        <w:r>
          <w:rPr>
            <w:rStyle w:val="Hyperlink"/>
            <w:rFonts w:cs="Arial" w:ascii="Arial" w:hAnsi="Arial"/>
            <w:rtl w:val="true"/>
            <w:lang w:val="en-US" w:eastAsia="en-US"/>
          </w:rPr>
          <w:t>)</w:t>
        </w:r>
      </w:hyperlink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לחוק</w:t>
      </w:r>
      <w:r>
        <w:rPr>
          <w:rFonts w:cs="Arial" w:ascii="Arial" w:hAnsi="Arial"/>
          <w:rtl w:val="true"/>
          <w:lang w:val="en-US" w:eastAsia="en-US"/>
        </w:rPr>
        <w:t xml:space="preserve">), </w:t>
      </w:r>
      <w:r>
        <w:rPr>
          <w:rFonts w:ascii="Arial" w:hAnsi="Arial" w:cs="Arial"/>
          <w:rtl w:val="true"/>
          <w:lang w:val="en-US" w:eastAsia="en-US"/>
        </w:rPr>
        <w:t xml:space="preserve">כאשר בשני מקרים פעל לבד ובשלושה מקרים פעל עם אחרים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ascii="Arial" w:hAnsi="Arial" w:cs="Arial"/>
          <w:rtl w:val="true"/>
          <w:lang w:val="en-US" w:eastAsia="en-US"/>
        </w:rPr>
        <w:t>פעמיים עם אחיו התאום ופעם עם הנאשם השלישי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הכל כמפורט בפיסקה </w:t>
      </w:r>
      <w:r>
        <w:rPr>
          <w:rFonts w:cs="Arial" w:ascii="Arial" w:hAnsi="Arial"/>
          <w:lang w:val="en-US" w:eastAsia="en-US"/>
        </w:rPr>
        <w:t>5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לעיל</w:t>
      </w:r>
      <w:r>
        <w:rPr>
          <w:rFonts w:cs="Arial" w:ascii="Arial" w:hAnsi="Arial"/>
          <w:rtl w:val="true"/>
          <w:lang w:val="en-US" w:eastAsia="en-US"/>
        </w:rPr>
        <w:t xml:space="preserve">); </w:t>
      </w:r>
      <w:r>
        <w:rPr>
          <w:rFonts w:ascii="Arial" w:hAnsi="Arial" w:cs="Arial"/>
          <w:rtl w:val="true"/>
          <w:lang w:val="en-US" w:eastAsia="en-US"/>
        </w:rPr>
        <w:t xml:space="preserve">הנזק שהיה צפוי להיגרם מביצוע העבירה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ascii="Arial" w:hAnsi="Arial" w:cs="Arial"/>
          <w:rtl w:val="true"/>
          <w:lang w:val="en-US" w:eastAsia="en-US"/>
        </w:rPr>
        <w:t>ראה</w:t>
      </w:r>
      <w:r>
        <w:rPr>
          <w:rFonts w:cs="Arial" w:ascii="Arial" w:hAnsi="Arial"/>
          <w:rtl w:val="true"/>
          <w:lang w:val="en-US" w:eastAsia="en-US"/>
        </w:rPr>
        <w:t xml:space="preserve">: </w:t>
      </w:r>
      <w:r>
        <w:rPr>
          <w:rFonts w:ascii="Arial" w:hAnsi="Arial" w:cs="Arial"/>
          <w:rtl w:val="true"/>
          <w:lang w:val="en-US" w:eastAsia="en-US"/>
        </w:rPr>
        <w:t xml:space="preserve">פיסקה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cs="Arial" w:ascii="Arial" w:hAnsi="Arial"/>
          <w:lang w:val="en-US" w:eastAsia="en-US"/>
        </w:rPr>
        <w:t>3</w:t>
      </w:r>
      <w:r>
        <w:rPr>
          <w:rFonts w:cs="Arial" w:ascii="Arial" w:hAnsi="Arial"/>
          <w:rtl w:val="true"/>
          <w:lang w:val="en-US" w:eastAsia="en-US"/>
        </w:rPr>
        <w:t xml:space="preserve">) </w:t>
      </w:r>
      <w:r>
        <w:rPr>
          <w:rFonts w:ascii="Arial" w:hAnsi="Arial" w:cs="Arial"/>
          <w:rtl w:val="true"/>
          <w:lang w:val="en-US" w:eastAsia="en-US"/>
        </w:rPr>
        <w:t>לאותו סעיף</w:t>
      </w:r>
      <w:r>
        <w:rPr>
          <w:rFonts w:cs="Arial" w:ascii="Arial" w:hAnsi="Arial"/>
          <w:rtl w:val="true"/>
          <w:lang w:val="en-US" w:eastAsia="en-US"/>
        </w:rPr>
        <w:t xml:space="preserve">) – </w:t>
      </w:r>
      <w:r>
        <w:rPr>
          <w:rFonts w:ascii="Arial" w:hAnsi="Arial" w:cs="Arial"/>
          <w:rtl w:val="true"/>
          <w:lang w:val="en-US" w:eastAsia="en-US"/>
        </w:rPr>
        <w:t>הוא רב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שכן מדובר בכמות סם כוללת של כ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cs="Arial" w:ascii="Arial" w:hAnsi="Arial"/>
          <w:lang w:val="en-US" w:eastAsia="en-US"/>
        </w:rPr>
        <w:t>400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גרם חשיש ו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cs="Arial" w:ascii="Arial" w:hAnsi="Arial"/>
          <w:lang w:val="en-US" w:eastAsia="en-US"/>
        </w:rPr>
        <w:t>30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טבליות</w:t>
      </w:r>
      <w:r>
        <w:rPr>
          <w:rFonts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cs="Arial"/>
          <w:rtl w:val="true"/>
          <w:lang w:val="en-US" w:eastAsia="en-US"/>
        </w:rPr>
        <w:t xml:space="preserve">הסיבות שהביאו את הנאשם לבצע את העבירה – שיקול רלוונטי כאמור בפיסקה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cs="Arial" w:ascii="Arial" w:hAnsi="Arial"/>
          <w:lang w:val="en-US" w:eastAsia="en-US"/>
        </w:rPr>
        <w:t>4</w:t>
      </w:r>
      <w:r>
        <w:rPr>
          <w:rFonts w:cs="Arial" w:ascii="Arial" w:hAnsi="Arial"/>
          <w:rtl w:val="true"/>
          <w:lang w:val="en-US" w:eastAsia="en-US"/>
        </w:rPr>
        <w:t xml:space="preserve">) </w:t>
      </w:r>
      <w:r>
        <w:rPr>
          <w:rFonts w:ascii="Arial" w:hAnsi="Arial" w:cs="Arial"/>
          <w:rtl w:val="true"/>
          <w:lang w:val="en-US" w:eastAsia="en-US"/>
        </w:rPr>
        <w:t>לאותו סעיף – הוא שיקול כספי של בצע כסף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יתר הפרמטרים באותו סעיף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אינם רלוונטיים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37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על רקע זה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כאשר מדובר בנאשם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שעיסוקו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למעשה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הוא סחר בסמים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בתקופה הרלוונטית לכתב האישום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מתחם העונש ההולם שהוצע על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ידי המדינה והתקבל על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ידי בית משפט קמא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דהיינו</w:t>
      </w:r>
      <w:r>
        <w:rPr>
          <w:rFonts w:cs="Arial" w:ascii="Arial" w:hAnsi="Arial"/>
          <w:rtl w:val="true"/>
          <w:lang w:val="en-US" w:eastAsia="en-US"/>
        </w:rPr>
        <w:t xml:space="preserve">: </w:t>
      </w:r>
      <w:r>
        <w:rPr>
          <w:rFonts w:ascii="Arial" w:hAnsi="Arial" w:cs="Arial"/>
          <w:rtl w:val="true"/>
          <w:lang w:val="en-US" w:eastAsia="en-US"/>
        </w:rPr>
        <w:t xml:space="preserve">עד </w:t>
      </w:r>
      <w:r>
        <w:rPr>
          <w:rFonts w:cs="Arial" w:ascii="Arial" w:hAnsi="Arial"/>
          <w:lang w:val="en-US" w:eastAsia="en-US"/>
        </w:rPr>
        <w:t>12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חודשי מאסר בפועל – הוא מתחם סביר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לטעמי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ניתן היה לקבוע מתחם עונש הולם גבוה יותר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שכן אין להתעלם מכך שמדובר בעבירה שהמחוקק קבע בצידה עונש של </w:t>
      </w:r>
      <w:r>
        <w:rPr>
          <w:rFonts w:cs="Arial" w:ascii="Arial" w:hAnsi="Arial"/>
          <w:lang w:val="en-US" w:eastAsia="en-US"/>
        </w:rPr>
        <w:t>20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שנות מאסר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כאמור </w:t>
      </w:r>
      <w:hyperlink r:id="rId31">
        <w:r>
          <w:rPr>
            <w:rStyle w:val="Hyperlink"/>
            <w:rFonts w:ascii="Arial" w:hAnsi="Arial" w:cs="Arial"/>
            <w:rtl w:val="true"/>
            <w:lang w:val="en-US" w:eastAsia="en-US"/>
          </w:rPr>
          <w:t>בסעיף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 xml:space="preserve"> </w:t>
        </w:r>
        <w:r>
          <w:rPr>
            <w:rStyle w:val="Hyperlink"/>
            <w:rFonts w:cs="Arial" w:ascii="Arial" w:hAnsi="Arial"/>
            <w:lang w:val="en-US" w:eastAsia="en-US"/>
          </w:rPr>
          <w:t>19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>א</w:t>
        </w:r>
      </w:hyperlink>
      <w:r>
        <w:rPr>
          <w:rFonts w:ascii="Arial" w:hAnsi="Arial" w:cs="Arial"/>
          <w:rtl w:val="true"/>
          <w:lang w:val="en-US" w:eastAsia="en-US"/>
        </w:rPr>
        <w:t xml:space="preserve"> ל</w:t>
      </w:r>
      <w:hyperlink r:id="rId32">
        <w:r>
          <w:rPr>
            <w:rStyle w:val="Hyperlink"/>
            <w:rFonts w:ascii="Arial" w:hAnsi="Arial" w:cs="Arial"/>
            <w:color w:val="0000FF"/>
            <w:u w:val="single"/>
            <w:rtl w:val="true"/>
            <w:lang w:val="en-US" w:eastAsia="en-US"/>
          </w:rPr>
          <w:t>פקודת הסמים המסוכנים</w:t>
        </w:r>
      </w:hyperlink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אך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על פי הכלל הידוע כי בית המשפט אינו מחמיר יותר מדרישת המאשימה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אין מקום להאריך בעניין זה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38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על כל פנים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לא ראיתי מקום למתחם נפרד לעניין הטבליות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שכן במכלול עיסוקו של הנאשם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הערך הכלכלי של מכירת הטבליות נופל בהרבה ממכירת הסמים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cs="Arial" w:ascii="Arial" w:hAnsi="Arial"/>
          <w:lang w:val="en-US" w:eastAsia="en-US"/>
        </w:rPr>
        <w:t>1,000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ש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ח תמורת הטבליות</w:t>
      </w:r>
      <w:r>
        <w:rPr>
          <w:rFonts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cs="Arial"/>
          <w:rtl w:val="true"/>
          <w:lang w:val="en-US" w:eastAsia="en-US"/>
        </w:rPr>
        <w:t xml:space="preserve">מול </w:t>
      </w:r>
      <w:r>
        <w:rPr>
          <w:rFonts w:cs="Arial" w:ascii="Arial" w:hAnsi="Arial"/>
          <w:lang w:val="en-US" w:eastAsia="en-US"/>
        </w:rPr>
        <w:t>2,300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ש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ח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לכל אחת מן המכירות של כ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cs="Arial" w:ascii="Arial" w:hAnsi="Arial"/>
          <w:lang w:val="en-US" w:eastAsia="en-US"/>
        </w:rPr>
        <w:t>100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גרם חשיש</w:t>
      </w:r>
      <w:r>
        <w:rPr>
          <w:rFonts w:cs="Arial" w:ascii="Arial" w:hAnsi="Arial"/>
          <w:rtl w:val="true"/>
          <w:lang w:val="en-US" w:eastAsia="en-US"/>
        </w:rPr>
        <w:t xml:space="preserve">).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39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במהלך הדיון בפנינו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הובהר כי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באופן מעשי המחלוקת האמיתית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בין הצדדים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באה לידי ביטוי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בשאלת היישום של תיקון </w:t>
      </w:r>
      <w:r>
        <w:rPr>
          <w:rFonts w:cs="Arial" w:ascii="Arial" w:hAnsi="Arial"/>
          <w:lang w:val="en-US" w:eastAsia="en-US"/>
        </w:rPr>
        <w:t>113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ככל שהדבר מתמקד </w:t>
      </w:r>
      <w:hyperlink r:id="rId33">
        <w:r>
          <w:rPr>
            <w:rStyle w:val="Hyperlink"/>
            <w:rFonts w:ascii="Arial" w:hAnsi="Arial" w:cs="Arial"/>
            <w:rtl w:val="true"/>
            <w:lang w:val="en-US" w:eastAsia="en-US"/>
          </w:rPr>
          <w:t>בסעיף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 xml:space="preserve"> </w:t>
        </w:r>
        <w:r>
          <w:rPr>
            <w:rStyle w:val="Hyperlink"/>
            <w:rFonts w:cs="Arial" w:ascii="Arial" w:hAnsi="Arial"/>
            <w:lang w:val="en-US" w:eastAsia="en-US"/>
          </w:rPr>
          <w:t>40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>יג</w:t>
        </w:r>
      </w:hyperlink>
      <w:r>
        <w:rPr>
          <w:rFonts w:ascii="Arial" w:hAnsi="Arial" w:cs="Arial"/>
          <w:rtl w:val="true"/>
          <w:lang w:val="en-US" w:eastAsia="en-US"/>
        </w:rPr>
        <w:t xml:space="preserve"> ל</w:t>
      </w:r>
      <w:hyperlink r:id="rId34">
        <w:r>
          <w:rPr>
            <w:rStyle w:val="Hyperlink"/>
            <w:rFonts w:ascii="Arial" w:hAnsi="Arial" w:cs="Arial"/>
            <w:color w:val="0000FF"/>
            <w:u w:val="single"/>
            <w:rtl w:val="true"/>
            <w:lang w:val="en-US" w:eastAsia="en-US"/>
          </w:rPr>
          <w:t>חוק העונשין</w:t>
        </w:r>
      </w:hyperlink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תשל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ז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cs="Arial" w:ascii="Arial" w:hAnsi="Arial"/>
          <w:lang w:val="en-US" w:eastAsia="en-US"/>
        </w:rPr>
        <w:t>1977</w:t>
      </w:r>
      <w:r>
        <w:rPr>
          <w:rFonts w:cs="Arial" w:ascii="Arial" w:hAnsi="Arial"/>
          <w:rtl w:val="true"/>
          <w:lang w:val="en-US" w:eastAsia="en-US"/>
        </w:rPr>
        <w:t xml:space="preserve"> (</w:t>
      </w:r>
      <w:r>
        <w:rPr>
          <w:rFonts w:ascii="Arial" w:hAnsi="Arial" w:cs="Arial"/>
          <w:rtl w:val="true"/>
          <w:lang w:val="en-US" w:eastAsia="en-US"/>
        </w:rPr>
        <w:t>להלן</w:t>
      </w:r>
      <w:r>
        <w:rPr>
          <w:rFonts w:cs="Arial" w:ascii="Arial" w:hAnsi="Arial"/>
          <w:rtl w:val="true"/>
          <w:lang w:val="en-US" w:eastAsia="en-US"/>
        </w:rPr>
        <w:t>: "</w:t>
      </w:r>
      <w:r>
        <w:rPr>
          <w:rFonts w:ascii="Arial" w:hAnsi="Arial" w:cs="Arial"/>
          <w:rtl w:val="true"/>
          <w:lang w:val="en-US" w:eastAsia="en-US"/>
        </w:rPr>
        <w:t>החוק</w:t>
      </w:r>
      <w:r>
        <w:rPr>
          <w:rFonts w:cs="Arial" w:ascii="Arial" w:hAnsi="Arial"/>
          <w:rtl w:val="true"/>
          <w:lang w:val="en-US" w:eastAsia="en-US"/>
        </w:rPr>
        <w:t xml:space="preserve">"), </w:t>
      </w:r>
      <w:r>
        <w:rPr>
          <w:rFonts w:ascii="Arial" w:hAnsi="Arial" w:cs="Arial"/>
          <w:rtl w:val="true"/>
          <w:lang w:val="en-US" w:eastAsia="en-US"/>
        </w:rPr>
        <w:t>העוסק בריבוי עבירות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המקרה שבפנינו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אינו אירוע אחד אלא אירועים נפרדים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 xml:space="preserve">על כן מורה </w:t>
      </w:r>
      <w:hyperlink r:id="rId35">
        <w:r>
          <w:rPr>
            <w:rStyle w:val="Hyperlink"/>
            <w:rFonts w:ascii="Arial" w:hAnsi="Arial" w:cs="Arial"/>
            <w:rtl w:val="true"/>
            <w:lang w:val="en-US" w:eastAsia="en-US"/>
          </w:rPr>
          <w:t>סעיף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 xml:space="preserve"> </w:t>
        </w:r>
        <w:r>
          <w:rPr>
            <w:rStyle w:val="Hyperlink"/>
            <w:rFonts w:cs="Arial" w:ascii="Arial" w:hAnsi="Arial"/>
            <w:lang w:val="en-US" w:eastAsia="en-US"/>
          </w:rPr>
          <w:t>40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>יג</w:t>
        </w:r>
        <w:r>
          <w:rPr>
            <w:rStyle w:val="Hyperlink"/>
            <w:rFonts w:cs="Arial" w:ascii="Arial" w:hAnsi="Arial"/>
            <w:rtl w:val="true"/>
            <w:lang w:val="en-US" w:eastAsia="en-US"/>
          </w:rPr>
          <w:t>(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>ב</w:t>
        </w:r>
        <w:r>
          <w:rPr>
            <w:rStyle w:val="Hyperlink"/>
            <w:rFonts w:cs="Arial" w:ascii="Arial" w:hAnsi="Arial"/>
            <w:rtl w:val="true"/>
            <w:lang w:val="en-US" w:eastAsia="en-US"/>
          </w:rPr>
          <w:t>)</w:t>
        </w:r>
      </w:hyperlink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רישא לחוק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כי על בית המשפט לקבוע מתחם עונש הולם לכל אירוע או לכל עבירה בנפרד</w:t>
      </w:r>
      <w:r>
        <w:rPr>
          <w:rFonts w:cs="Arial" w:ascii="Arial" w:hAnsi="Arial"/>
          <w:rtl w:val="true"/>
          <w:lang w:val="en-US" w:eastAsia="en-US"/>
        </w:rPr>
        <w:t>, "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ולאחר מכן רשאי הוא לגזור עונש נפרד לכל אירוע או עונש כולל לכל האירועים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;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גזר בית המשפט עונש נפרד לכל אירוע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ייקבע את מידת החפיפה בין העונשים או הצטברותם</w:t>
      </w:r>
      <w:r>
        <w:rPr>
          <w:rFonts w:cs="Arial" w:ascii="Arial" w:hAnsi="Arial"/>
          <w:rtl w:val="true"/>
          <w:lang w:val="en-US" w:eastAsia="en-US"/>
        </w:rPr>
        <w:t>" (</w:t>
      </w:r>
      <w:hyperlink r:id="rId36">
        <w:r>
          <w:rPr>
            <w:rStyle w:val="Hyperlink"/>
            <w:rFonts w:ascii="Arial" w:hAnsi="Arial" w:cs="Arial"/>
            <w:rtl w:val="true"/>
            <w:lang w:val="en-US" w:eastAsia="en-US"/>
          </w:rPr>
          <w:t>סעיף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 xml:space="preserve"> </w:t>
        </w:r>
        <w:r>
          <w:rPr>
            <w:rStyle w:val="Hyperlink"/>
            <w:rFonts w:cs="Arial" w:ascii="Arial" w:hAnsi="Arial"/>
            <w:lang w:val="en-US" w:eastAsia="en-US"/>
          </w:rPr>
          <w:t>40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>יג</w:t>
        </w:r>
        <w:r>
          <w:rPr>
            <w:rStyle w:val="Hyperlink"/>
            <w:rFonts w:cs="Arial" w:ascii="Arial" w:hAnsi="Arial"/>
            <w:rtl w:val="true"/>
            <w:lang w:val="en-US" w:eastAsia="en-US"/>
          </w:rPr>
          <w:t>(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>ב</w:t>
        </w:r>
        <w:r>
          <w:rPr>
            <w:rStyle w:val="Hyperlink"/>
            <w:rFonts w:cs="Arial" w:ascii="Arial" w:hAnsi="Arial"/>
            <w:rtl w:val="true"/>
            <w:lang w:val="en-US" w:eastAsia="en-US"/>
          </w:rPr>
          <w:t>)</w:t>
        </w:r>
      </w:hyperlink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סיפא</w:t>
      </w:r>
      <w:r>
        <w:rPr>
          <w:rFonts w:cs="Arial" w:ascii="Arial" w:hAnsi="Arial"/>
          <w:rtl w:val="true"/>
          <w:lang w:val="en-US" w:eastAsia="en-US"/>
        </w:rPr>
        <w:t xml:space="preserve">).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  <w:tab/>
      </w:r>
      <w:r>
        <w:rPr>
          <w:rFonts w:ascii="Arial" w:hAnsi="Arial" w:cs="Arial"/>
          <w:rtl w:val="true"/>
          <w:lang w:val="en-US" w:eastAsia="en-US"/>
        </w:rPr>
        <w:t>בהמשך הסעיף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מסביר המחוקק כיצד להפעיל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באופן מעשי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את הבניית שיקול הדעת השיפוטי בענישה במקרה זה של ריבוי עבירות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בקובעו את הדברים הבאים </w:t>
      </w:r>
      <w:r>
        <w:rPr>
          <w:rFonts w:cs="Arial" w:ascii="Arial" w:hAnsi="Arial"/>
          <w:rtl w:val="true"/>
          <w:lang w:val="en-US" w:eastAsia="en-US"/>
        </w:rPr>
        <w:t>(</w:t>
      </w:r>
      <w:hyperlink r:id="rId37">
        <w:r>
          <w:rPr>
            <w:rStyle w:val="Hyperlink"/>
            <w:rFonts w:ascii="Arial" w:hAnsi="Arial" w:cs="Arial"/>
            <w:rtl w:val="true"/>
            <w:lang w:val="en-US" w:eastAsia="en-US"/>
          </w:rPr>
          <w:t>סעיף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 xml:space="preserve"> </w:t>
        </w:r>
        <w:r>
          <w:rPr>
            <w:rStyle w:val="Hyperlink"/>
            <w:rFonts w:cs="Arial" w:ascii="Arial" w:hAnsi="Arial"/>
            <w:lang w:val="en-US" w:eastAsia="en-US"/>
          </w:rPr>
          <w:t>40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>יג</w:t>
        </w:r>
        <w:r>
          <w:rPr>
            <w:rStyle w:val="Hyperlink"/>
            <w:rFonts w:cs="Arial" w:ascii="Arial" w:hAnsi="Arial"/>
            <w:rtl w:val="true"/>
            <w:lang w:val="en-US" w:eastAsia="en-US"/>
          </w:rPr>
          <w:t>(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>ג</w:t>
        </w:r>
        <w:r>
          <w:rPr>
            <w:rStyle w:val="Hyperlink"/>
            <w:rFonts w:cs="Arial" w:ascii="Arial" w:hAnsi="Arial"/>
            <w:rtl w:val="true"/>
            <w:lang w:val="en-US" w:eastAsia="en-US"/>
          </w:rPr>
          <w:t>)</w:t>
        </w:r>
      </w:hyperlink>
      <w:r>
        <w:rPr>
          <w:rFonts w:cs="Arial" w:ascii="Arial" w:hAnsi="Arial"/>
          <w:rtl w:val="true"/>
          <w:lang w:val="en-US" w:eastAsia="en-US"/>
        </w:rPr>
        <w:t xml:space="preserve">): </w:t>
      </w:r>
    </w:p>
    <w:p>
      <w:pPr>
        <w:pStyle w:val="Normal"/>
        <w:spacing w:lineRule="auto" w:line="360"/>
        <w:ind w:start="144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בגזירת העונש לפי סעיף זה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יתחשב בית המשפט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בין השאר במספר העבירות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בתדירותן ובזיקה ביניהם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וישמור על יחס הולם בין חומרת מכלול המעשים ומידת אשמו של הנאשם ובין סוג העונש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ואם גזר עונש מאסר – לבין תקופת המאסר שעל הנאשם לשאת</w:t>
      </w:r>
      <w:r>
        <w:rPr>
          <w:rFonts w:cs="Arial" w:ascii="Arial" w:hAnsi="Arial"/>
          <w:rtl w:val="true"/>
          <w:lang w:val="en-US" w:eastAsia="en-US"/>
        </w:rPr>
        <w:t>".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40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בכך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שבים אנו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לכללים של גזירת עונש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שהיו לחם חוקו של בית המשפט גם לפני תיקון </w:t>
      </w:r>
      <w:r>
        <w:rPr>
          <w:rFonts w:cs="Arial" w:ascii="Arial" w:hAnsi="Arial"/>
          <w:lang w:val="en-US" w:eastAsia="en-US"/>
        </w:rPr>
        <w:t>113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41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אם נתבונן בהכרעת הדין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המבוססת על הודאת הנאשם בהסדר הטיעון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מדובר במצב דברים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שבו מכר הנאשם לשוטר סמוי </w:t>
      </w:r>
      <w:r>
        <w:rPr>
          <w:rFonts w:cs="Arial" w:ascii="Arial" w:hAnsi="Arial"/>
          <w:lang w:val="en-US" w:eastAsia="en-US"/>
        </w:rPr>
        <w:t>4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 xml:space="preserve">פעמים סם מסוג חשיש בסדר גודל של </w:t>
      </w:r>
      <w:r>
        <w:rPr>
          <w:rFonts w:cs="Arial" w:ascii="Arial" w:hAnsi="Arial"/>
          <w:lang w:val="en-US" w:eastAsia="en-US"/>
        </w:rPr>
        <w:t>100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 xml:space="preserve">גרם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ascii="Arial" w:hAnsi="Arial" w:cs="Arial"/>
          <w:rtl w:val="true"/>
          <w:lang w:val="en-US" w:eastAsia="en-US"/>
        </w:rPr>
        <w:t xml:space="preserve">השקילה המדויקת מוזכרת לעיל בפיסקה </w:t>
      </w:r>
      <w:r>
        <w:rPr>
          <w:rFonts w:cs="Arial" w:ascii="Arial" w:hAnsi="Arial"/>
          <w:lang w:val="en-US" w:eastAsia="en-US"/>
        </w:rPr>
        <w:t>5</w:t>
      </w:r>
      <w:r>
        <w:rPr>
          <w:rFonts w:cs="Arial" w:ascii="Arial" w:hAnsi="Arial"/>
          <w:rtl w:val="true"/>
          <w:lang w:val="en-US" w:eastAsia="en-US"/>
        </w:rPr>
        <w:t xml:space="preserve">), </w:t>
      </w:r>
      <w:r>
        <w:rPr>
          <w:rFonts w:ascii="Arial" w:hAnsi="Arial" w:cs="Arial"/>
          <w:rtl w:val="true"/>
          <w:lang w:val="en-US" w:eastAsia="en-US"/>
        </w:rPr>
        <w:t xml:space="preserve">תמורת סך </w:t>
      </w:r>
      <w:r>
        <w:rPr>
          <w:rFonts w:cs="Arial" w:ascii="Arial" w:hAnsi="Arial"/>
          <w:lang w:val="en-US" w:eastAsia="en-US"/>
        </w:rPr>
        <w:t>2,300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ש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ח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ובסך הכול תמורת החשיש קיבל המשיב סך של </w:t>
      </w:r>
      <w:r>
        <w:rPr>
          <w:rFonts w:cs="Arial" w:ascii="Arial" w:hAnsi="Arial"/>
          <w:lang w:val="en-US" w:eastAsia="en-US"/>
        </w:rPr>
        <w:t>9,200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ש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ח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בנוסף לכך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מכר הנאשם לאותו סוכן טבליות תמורת סך </w:t>
      </w:r>
      <w:r>
        <w:rPr>
          <w:rFonts w:cs="Arial" w:ascii="Arial" w:hAnsi="Arial"/>
          <w:lang w:val="en-US" w:eastAsia="en-US"/>
        </w:rPr>
        <w:t>1,000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ש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ח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מועדי המכירות היו במשך כחמישה חודשים</w:t>
      </w:r>
      <w:r>
        <w:rPr>
          <w:rFonts w:cs="Arial" w:ascii="Arial" w:hAnsi="Arial"/>
          <w:rtl w:val="true"/>
          <w:lang w:val="en-US" w:eastAsia="en-US"/>
        </w:rPr>
        <w:t xml:space="preserve">: </w:t>
      </w:r>
      <w:r>
        <w:rPr>
          <w:rFonts w:ascii="Arial" w:hAnsi="Arial" w:cs="Arial"/>
          <w:rtl w:val="true"/>
          <w:lang w:val="en-US" w:eastAsia="en-US"/>
        </w:rPr>
        <w:t xml:space="preserve">הראשון ביום </w:t>
      </w:r>
      <w:r>
        <w:rPr>
          <w:rFonts w:cs="Arial" w:ascii="Arial" w:hAnsi="Arial"/>
          <w:lang w:val="en-US" w:eastAsia="en-US"/>
        </w:rPr>
        <w:t>16.5.12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 xml:space="preserve">והאחרון ביום </w:t>
      </w:r>
      <w:r>
        <w:rPr>
          <w:rFonts w:cs="Arial" w:ascii="Arial" w:hAnsi="Arial"/>
          <w:lang w:val="en-US" w:eastAsia="en-US"/>
        </w:rPr>
        <w:t>17.10.12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42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אכן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מדובר במספר עבירות שבוצעו בתדירות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ויש זיקה ביניהן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בכך שהן עבירות זהות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דהיינו</w:t>
      </w:r>
      <w:r>
        <w:rPr>
          <w:rFonts w:cs="Arial" w:ascii="Arial" w:hAnsi="Arial"/>
          <w:rtl w:val="true"/>
          <w:lang w:val="en-US" w:eastAsia="en-US"/>
        </w:rPr>
        <w:t xml:space="preserve">: </w:t>
      </w:r>
      <w:r>
        <w:rPr>
          <w:rFonts w:ascii="Arial" w:hAnsi="Arial" w:cs="Arial"/>
          <w:rtl w:val="true"/>
          <w:lang w:val="en-US" w:eastAsia="en-US"/>
        </w:rPr>
        <w:t>פנייה של סוכן אל הנאשם</w:t>
      </w:r>
      <w:r>
        <w:rPr>
          <w:rFonts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cs="Arial"/>
          <w:rtl w:val="true"/>
          <w:lang w:val="en-US" w:eastAsia="en-US"/>
        </w:rPr>
        <w:t>ניהול משא ומתן לגבי המחיר</w:t>
      </w:r>
      <w:r>
        <w:rPr>
          <w:rFonts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cs="Arial"/>
          <w:rtl w:val="true"/>
          <w:lang w:val="en-US" w:eastAsia="en-US"/>
        </w:rPr>
        <w:t>הבטחת הנאשם לסוכן כי ימצא את הסם המבוקש</w:t>
      </w:r>
      <w:r>
        <w:rPr>
          <w:rFonts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cs="Arial"/>
          <w:rtl w:val="true"/>
          <w:lang w:val="en-US" w:eastAsia="en-US"/>
        </w:rPr>
        <w:t>קביעת מקום העסקה</w:t>
      </w:r>
      <w:r>
        <w:rPr>
          <w:rFonts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cs="Arial"/>
          <w:rtl w:val="true"/>
          <w:lang w:val="en-US" w:eastAsia="en-US"/>
        </w:rPr>
        <w:t>ביצוע העסקה במתכונת כזאת או אחרת שתוצאתה העברת הסם לסוכן וקבלת הכספים על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ידי הנאשם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כל אלה מהווים הוכחה ברורה כי אין לפנינו עסקת אקראי אלא דרך ניהול של עיסוק קבוע ומתמשך בענייני סחר בסמים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43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המחוקק מחייב את בית המשפט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לאחר קביעת העונש ההולם ותוך הפעלת </w:t>
      </w:r>
      <w:hyperlink r:id="rId38">
        <w:r>
          <w:rPr>
            <w:rStyle w:val="Hyperlink"/>
            <w:rFonts w:ascii="Arial" w:hAnsi="Arial" w:cs="Arial"/>
            <w:rtl w:val="true"/>
            <w:lang w:val="en-US" w:eastAsia="en-US"/>
          </w:rPr>
          <w:t>סעיף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 xml:space="preserve"> </w:t>
        </w:r>
        <w:r>
          <w:rPr>
            <w:rStyle w:val="Hyperlink"/>
            <w:rFonts w:cs="Arial" w:ascii="Arial" w:hAnsi="Arial"/>
            <w:lang w:val="en-US" w:eastAsia="en-US"/>
          </w:rPr>
          <w:t>40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>יג</w:t>
        </w:r>
      </w:hyperlink>
      <w:r>
        <w:rPr>
          <w:rFonts w:ascii="Arial" w:hAnsi="Arial" w:cs="Arial"/>
          <w:rtl w:val="true"/>
          <w:lang w:val="en-US" w:eastAsia="en-US"/>
        </w:rPr>
        <w:t xml:space="preserve"> שהוזכר לעיל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להביא בחשבון בעת גזירת העונש המתאים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את הנסיבות שאינן קשורות בביצוע העבירה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כאמור </w:t>
      </w:r>
      <w:hyperlink r:id="rId39">
        <w:r>
          <w:rPr>
            <w:rStyle w:val="Hyperlink"/>
            <w:rFonts w:ascii="Arial" w:hAnsi="Arial" w:cs="Arial"/>
            <w:rtl w:val="true"/>
            <w:lang w:val="en-US" w:eastAsia="en-US"/>
          </w:rPr>
          <w:t>בסעיף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 xml:space="preserve"> </w:t>
        </w:r>
        <w:r>
          <w:rPr>
            <w:rStyle w:val="Hyperlink"/>
            <w:rFonts w:cs="Arial" w:ascii="Arial" w:hAnsi="Arial"/>
            <w:lang w:val="en-US" w:eastAsia="en-US"/>
          </w:rPr>
          <w:t>40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>יא</w:t>
        </w:r>
      </w:hyperlink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אותם אזכיר בתמצית להלן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על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פי סדר הפיסקאות שבסעיף</w:t>
      </w:r>
      <w:r>
        <w:rPr>
          <w:rFonts w:cs="Arial" w:ascii="Arial" w:hAnsi="Arial"/>
          <w:rtl w:val="true"/>
          <w:lang w:val="en-US" w:eastAsia="en-US"/>
        </w:rPr>
        <w:t xml:space="preserve">: </w:t>
      </w:r>
    </w:p>
    <w:p>
      <w:pPr>
        <w:pStyle w:val="P00"/>
        <w:spacing w:lineRule="auto" w:line="360" w:before="72" w:after="0"/>
        <w:ind w:start="1440" w:end="0"/>
        <w:jc w:val="start"/>
        <w:rPr>
          <w:rFonts w:ascii="Arial" w:hAnsi="Arial" w:eastAsia="Times New Roman" w:cs="David"/>
          <w:b/>
          <w:bCs/>
          <w:sz w:val="24"/>
          <w:szCs w:val="24"/>
          <w:lang w:eastAsia="en-US"/>
        </w:rPr>
      </w:pPr>
      <w:r>
        <w:rPr>
          <w:rFonts w:eastAsia="Times New Roman" w:cs="David" w:ascii="Arial" w:hAnsi="Arial"/>
          <w:b/>
          <w:bCs/>
          <w:sz w:val="24"/>
          <w:szCs w:val="24"/>
          <w:rtl w:val="true"/>
          <w:lang w:eastAsia="en-US"/>
        </w:rPr>
        <w:t>(</w:t>
      </w:r>
      <w:r>
        <w:rPr>
          <w:rFonts w:eastAsia="Times New Roman" w:cs="David" w:ascii="Arial" w:hAnsi="Arial"/>
          <w:b/>
          <w:bCs/>
          <w:sz w:val="24"/>
          <w:szCs w:val="24"/>
          <w:lang w:eastAsia="en-US"/>
        </w:rPr>
        <w:t>1</w:t>
      </w:r>
      <w:r>
        <w:rPr>
          <w:rFonts w:eastAsia="Times New Roman" w:cs="David" w:ascii="Arial" w:hAnsi="Arial"/>
          <w:b/>
          <w:bCs/>
          <w:sz w:val="24"/>
          <w:szCs w:val="24"/>
          <w:rtl w:val="true"/>
          <w:lang w:eastAsia="en-US"/>
        </w:rPr>
        <w:t xml:space="preserve">) 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הפגיעה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של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העונש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בנאשם</w:t>
      </w:r>
      <w:r>
        <w:rPr>
          <w:rFonts w:eastAsia="Times New Roman" w:cs="David" w:ascii="Arial" w:hAnsi="Arial"/>
          <w:b/>
          <w:bCs/>
          <w:sz w:val="24"/>
          <w:szCs w:val="24"/>
          <w:rtl w:val="true"/>
          <w:lang w:eastAsia="en-US"/>
        </w:rPr>
        <w:t xml:space="preserve">,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לרבות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בשל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גילו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–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יש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פגיעה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כזו</w:t>
      </w:r>
      <w:r>
        <w:rPr>
          <w:rFonts w:eastAsia="Times New Roman" w:cs="David" w:ascii="Arial" w:hAnsi="Arial"/>
          <w:sz w:val="24"/>
          <w:szCs w:val="24"/>
          <w:rtl w:val="true"/>
          <w:lang w:eastAsia="en-US"/>
        </w:rPr>
        <w:t xml:space="preserve">,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אך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היא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חלק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מן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הענישה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ואינה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יוצאת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דופן</w:t>
      </w:r>
      <w:r>
        <w:rPr>
          <w:rFonts w:eastAsia="Times New Roman" w:cs="David" w:ascii="Arial" w:hAnsi="Arial"/>
          <w:b/>
          <w:bCs/>
          <w:sz w:val="24"/>
          <w:szCs w:val="24"/>
          <w:rtl w:val="true"/>
          <w:lang w:eastAsia="en-US"/>
        </w:rPr>
        <w:t>;</w:t>
      </w:r>
    </w:p>
    <w:p>
      <w:pPr>
        <w:pStyle w:val="P00"/>
        <w:spacing w:lineRule="auto" w:line="360" w:before="72" w:after="0"/>
        <w:ind w:start="1440" w:end="0"/>
        <w:jc w:val="both"/>
        <w:rPr>
          <w:rFonts w:ascii="Arial" w:hAnsi="Arial" w:eastAsia="Times New Roman" w:cs="David"/>
          <w:b/>
          <w:bCs/>
          <w:sz w:val="24"/>
          <w:szCs w:val="24"/>
          <w:lang w:eastAsia="en-US"/>
        </w:rPr>
      </w:pPr>
      <w:r>
        <w:rPr>
          <w:rFonts w:eastAsia="Times New Roman" w:cs="David" w:ascii="Arial" w:hAnsi="Arial"/>
          <w:b/>
          <w:bCs/>
          <w:sz w:val="24"/>
          <w:szCs w:val="24"/>
          <w:rtl w:val="true"/>
          <w:lang w:eastAsia="en-US"/>
        </w:rPr>
        <w:t>(</w:t>
      </w:r>
      <w:r>
        <w:rPr>
          <w:rFonts w:eastAsia="Times New Roman" w:cs="David" w:ascii="Arial" w:hAnsi="Arial"/>
          <w:b/>
          <w:bCs/>
          <w:sz w:val="24"/>
          <w:szCs w:val="24"/>
          <w:lang w:eastAsia="en-US"/>
        </w:rPr>
        <w:t>2</w:t>
      </w:r>
      <w:r>
        <w:rPr>
          <w:rFonts w:eastAsia="Times New Roman" w:cs="David" w:ascii="Arial" w:hAnsi="Arial"/>
          <w:b/>
          <w:bCs/>
          <w:sz w:val="24"/>
          <w:szCs w:val="24"/>
          <w:rtl w:val="true"/>
          <w:lang w:eastAsia="en-US"/>
        </w:rPr>
        <w:t xml:space="preserve">) 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הפגיעה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של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העונש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במשפחתו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של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הנאשם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–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אני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ער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לכך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שהנאשם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פרנס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את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אימו</w:t>
      </w:r>
      <w:r>
        <w:rPr>
          <w:rFonts w:eastAsia="Times New Roman" w:cs="David" w:ascii="Arial" w:hAnsi="Arial"/>
          <w:sz w:val="24"/>
          <w:szCs w:val="24"/>
          <w:rtl w:val="true"/>
          <w:lang w:eastAsia="en-US"/>
        </w:rPr>
        <w:t xml:space="preserve">;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אך</w:t>
      </w:r>
      <w:r>
        <w:rPr>
          <w:rFonts w:eastAsia="Times New Roman" w:cs="David" w:ascii="Arial" w:hAnsi="Arial"/>
          <w:sz w:val="24"/>
          <w:szCs w:val="24"/>
          <w:rtl w:val="true"/>
          <w:lang w:eastAsia="en-US"/>
        </w:rPr>
        <w:t xml:space="preserve">,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הצורך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בפרנסת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הורים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אינו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יכול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לשמש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כסות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לעיסוק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בעבירה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חמורה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של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סחר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בסמים</w:t>
      </w:r>
      <w:r>
        <w:rPr>
          <w:rFonts w:eastAsia="Times New Roman" w:cs="David" w:ascii="Arial" w:hAnsi="Arial"/>
          <w:b/>
          <w:bCs/>
          <w:sz w:val="24"/>
          <w:szCs w:val="24"/>
          <w:rtl w:val="true"/>
          <w:lang w:eastAsia="en-US"/>
        </w:rPr>
        <w:t>;</w:t>
      </w:r>
    </w:p>
    <w:p>
      <w:pPr>
        <w:pStyle w:val="P00"/>
        <w:spacing w:lineRule="auto" w:line="360" w:before="72" w:after="0"/>
        <w:ind w:start="1440" w:end="0"/>
        <w:jc w:val="both"/>
        <w:rPr>
          <w:rFonts w:ascii="Arial" w:hAnsi="Arial" w:eastAsia="Times New Roman" w:cs="David"/>
          <w:b/>
          <w:bCs/>
          <w:sz w:val="24"/>
          <w:szCs w:val="24"/>
          <w:lang w:eastAsia="en-US"/>
        </w:rPr>
      </w:pPr>
      <w:r>
        <w:rPr>
          <w:rFonts w:eastAsia="Times New Roman" w:cs="David" w:ascii="Arial" w:hAnsi="Arial"/>
          <w:b/>
          <w:bCs/>
          <w:sz w:val="24"/>
          <w:szCs w:val="24"/>
          <w:rtl w:val="true"/>
          <w:lang w:eastAsia="en-US"/>
        </w:rPr>
        <w:t>(</w:t>
      </w:r>
      <w:r>
        <w:rPr>
          <w:rFonts w:eastAsia="Times New Roman" w:cs="David" w:ascii="Arial" w:hAnsi="Arial"/>
          <w:b/>
          <w:bCs/>
          <w:sz w:val="24"/>
          <w:szCs w:val="24"/>
          <w:lang w:eastAsia="en-US"/>
        </w:rPr>
        <w:t>3</w:t>
      </w:r>
      <w:r>
        <w:rPr>
          <w:rFonts w:eastAsia="Times New Roman" w:cs="David" w:ascii="Arial" w:hAnsi="Arial"/>
          <w:b/>
          <w:bCs/>
          <w:sz w:val="24"/>
          <w:szCs w:val="24"/>
          <w:rtl w:val="true"/>
          <w:lang w:eastAsia="en-US"/>
        </w:rPr>
        <w:t xml:space="preserve">) 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הנזקים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שנגרמו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לנאשם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מביצוע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העבירה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ומהרשעתו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–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הנזקים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נובעים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מעצם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ההרשעה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ולא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נגרם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נזק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נוסף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eastAsia="Times New Roman" w:cs="David" w:ascii="Arial" w:hAnsi="Arial"/>
          <w:sz w:val="24"/>
          <w:szCs w:val="24"/>
          <w:rtl w:val="true"/>
          <w:lang w:eastAsia="en-US"/>
        </w:rPr>
        <w:t>(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כמו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פגיעה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פיסית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בעבירות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אלימות</w:t>
      </w:r>
      <w:r>
        <w:rPr>
          <w:rFonts w:eastAsia="Times New Roman" w:cs="David" w:ascii="Arial" w:hAnsi="Arial"/>
          <w:sz w:val="24"/>
          <w:szCs w:val="24"/>
          <w:rtl w:val="true"/>
          <w:lang w:eastAsia="en-US"/>
        </w:rPr>
        <w:t>)</w:t>
      </w:r>
      <w:r>
        <w:rPr>
          <w:rFonts w:eastAsia="Times New Roman" w:cs="David" w:ascii="Arial" w:hAnsi="Arial"/>
          <w:b/>
          <w:bCs/>
          <w:sz w:val="24"/>
          <w:szCs w:val="24"/>
          <w:rtl w:val="true"/>
          <w:lang w:eastAsia="en-US"/>
        </w:rPr>
        <w:t>;</w:t>
      </w:r>
    </w:p>
    <w:p>
      <w:pPr>
        <w:pStyle w:val="P00"/>
        <w:spacing w:lineRule="auto" w:line="360" w:before="72" w:after="0"/>
        <w:ind w:start="1440" w:end="0"/>
        <w:jc w:val="both"/>
        <w:rPr>
          <w:rFonts w:ascii="Arial" w:hAnsi="Arial" w:eastAsia="Times New Roman" w:cs="David"/>
          <w:b/>
          <w:bCs/>
          <w:sz w:val="24"/>
          <w:szCs w:val="24"/>
          <w:lang w:eastAsia="en-US"/>
        </w:rPr>
      </w:pPr>
      <w:r>
        <w:rPr>
          <w:rFonts w:eastAsia="Times New Roman" w:cs="David" w:ascii="Arial" w:hAnsi="Arial"/>
          <w:b/>
          <w:bCs/>
          <w:sz w:val="24"/>
          <w:szCs w:val="24"/>
          <w:rtl w:val="true"/>
          <w:lang w:eastAsia="en-US"/>
        </w:rPr>
        <w:t>(</w:t>
      </w:r>
      <w:r>
        <w:rPr>
          <w:rFonts w:eastAsia="Times New Roman" w:cs="David" w:ascii="Arial" w:hAnsi="Arial"/>
          <w:b/>
          <w:bCs/>
          <w:sz w:val="24"/>
          <w:szCs w:val="24"/>
          <w:lang w:eastAsia="en-US"/>
        </w:rPr>
        <w:t>4</w:t>
      </w:r>
      <w:r>
        <w:rPr>
          <w:rFonts w:eastAsia="Times New Roman" w:cs="David" w:ascii="Arial" w:hAnsi="Arial"/>
          <w:b/>
          <w:bCs/>
          <w:sz w:val="24"/>
          <w:szCs w:val="24"/>
          <w:rtl w:val="true"/>
          <w:lang w:eastAsia="en-US"/>
        </w:rPr>
        <w:t xml:space="preserve">) 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נטילת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האחריות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של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הנאשם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על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מעשיו</w:t>
      </w:r>
      <w:r>
        <w:rPr>
          <w:rFonts w:eastAsia="Times New Roman" w:cs="David" w:ascii="Arial" w:hAnsi="Arial"/>
          <w:b/>
          <w:bCs/>
          <w:sz w:val="24"/>
          <w:szCs w:val="24"/>
          <w:rtl w:val="true"/>
          <w:lang w:eastAsia="en-US"/>
        </w:rPr>
        <w:t xml:space="preserve">,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וחזרתו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למוטב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או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מאמציו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לחזור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למוטב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–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אכן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שיקול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קולא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מסוים</w:t>
      </w:r>
      <w:r>
        <w:rPr>
          <w:rFonts w:eastAsia="Times New Roman" w:cs="David" w:ascii="Arial" w:hAnsi="Arial"/>
          <w:b/>
          <w:bCs/>
          <w:sz w:val="24"/>
          <w:szCs w:val="24"/>
          <w:rtl w:val="true"/>
          <w:lang w:eastAsia="en-US"/>
        </w:rPr>
        <w:t>;</w:t>
      </w:r>
    </w:p>
    <w:p>
      <w:pPr>
        <w:pStyle w:val="P00"/>
        <w:spacing w:lineRule="auto" w:line="360" w:before="72" w:after="0"/>
        <w:ind w:start="1440" w:end="0"/>
        <w:jc w:val="both"/>
        <w:rPr>
          <w:rFonts w:ascii="Arial" w:hAnsi="Arial" w:eastAsia="Times New Roman" w:cs="David"/>
          <w:b/>
          <w:bCs/>
          <w:sz w:val="24"/>
          <w:szCs w:val="24"/>
          <w:lang w:eastAsia="en-US"/>
        </w:rPr>
      </w:pPr>
      <w:r>
        <w:rPr>
          <w:rFonts w:eastAsia="Times New Roman" w:cs="David" w:ascii="Arial" w:hAnsi="Arial"/>
          <w:b/>
          <w:bCs/>
          <w:sz w:val="24"/>
          <w:szCs w:val="24"/>
          <w:rtl w:val="true"/>
          <w:lang w:eastAsia="en-US"/>
        </w:rPr>
        <w:t>(</w:t>
      </w:r>
      <w:r>
        <w:rPr>
          <w:rFonts w:eastAsia="Times New Roman" w:cs="David" w:ascii="Arial" w:hAnsi="Arial"/>
          <w:b/>
          <w:bCs/>
          <w:sz w:val="24"/>
          <w:szCs w:val="24"/>
          <w:lang w:eastAsia="en-US"/>
        </w:rPr>
        <w:t>5</w:t>
      </w:r>
      <w:r>
        <w:rPr>
          <w:rFonts w:eastAsia="Times New Roman" w:cs="David" w:ascii="Arial" w:hAnsi="Arial"/>
          <w:b/>
          <w:bCs/>
          <w:sz w:val="24"/>
          <w:szCs w:val="24"/>
          <w:rtl w:val="true"/>
          <w:lang w:eastAsia="en-US"/>
        </w:rPr>
        <w:t xml:space="preserve">) 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מאמצי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הנאשם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לתיקון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תוצאות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העבירה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ולפיצוי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על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הנזק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שנגרם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בשלה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–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הנאשם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לא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עשה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דבר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בעניין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זה</w:t>
      </w:r>
      <w:r>
        <w:rPr>
          <w:rFonts w:eastAsia="Times New Roman" w:cs="David" w:ascii="Arial" w:hAnsi="Arial"/>
          <w:sz w:val="24"/>
          <w:szCs w:val="24"/>
          <w:rtl w:val="true"/>
          <w:lang w:eastAsia="en-US"/>
        </w:rPr>
        <w:t xml:space="preserve">,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ואף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לא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החזיר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את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סכום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הכספים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שקיבל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מאת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המדינה</w:t>
      </w:r>
      <w:r>
        <w:rPr>
          <w:rFonts w:eastAsia="Times New Roman" w:cs="David" w:ascii="Arial" w:hAnsi="Arial"/>
          <w:b/>
          <w:bCs/>
          <w:sz w:val="24"/>
          <w:szCs w:val="24"/>
          <w:rtl w:val="true"/>
          <w:lang w:eastAsia="en-US"/>
        </w:rPr>
        <w:t>;</w:t>
      </w:r>
    </w:p>
    <w:p>
      <w:pPr>
        <w:pStyle w:val="P00"/>
        <w:spacing w:lineRule="auto" w:line="360" w:before="72" w:after="0"/>
        <w:ind w:start="1440" w:end="0"/>
        <w:jc w:val="both"/>
        <w:rPr>
          <w:rFonts w:ascii="Arial" w:hAnsi="Arial" w:eastAsia="Times New Roman" w:cs="David"/>
          <w:b/>
          <w:bCs/>
          <w:sz w:val="24"/>
          <w:szCs w:val="24"/>
          <w:lang w:eastAsia="en-US"/>
        </w:rPr>
      </w:pPr>
      <w:r>
        <w:rPr>
          <w:rFonts w:eastAsia="Times New Roman" w:cs="David" w:ascii="Arial" w:hAnsi="Arial"/>
          <w:b/>
          <w:bCs/>
          <w:sz w:val="24"/>
          <w:szCs w:val="24"/>
          <w:rtl w:val="true"/>
          <w:lang w:eastAsia="en-US"/>
        </w:rPr>
        <w:t>(</w:t>
      </w:r>
      <w:r>
        <w:rPr>
          <w:rFonts w:eastAsia="Times New Roman" w:cs="David" w:ascii="Arial" w:hAnsi="Arial"/>
          <w:b/>
          <w:bCs/>
          <w:sz w:val="24"/>
          <w:szCs w:val="24"/>
          <w:lang w:eastAsia="en-US"/>
        </w:rPr>
        <w:t>6</w:t>
      </w:r>
      <w:r>
        <w:rPr>
          <w:rFonts w:eastAsia="Times New Roman" w:cs="David" w:ascii="Arial" w:hAnsi="Arial"/>
          <w:b/>
          <w:bCs/>
          <w:sz w:val="24"/>
          <w:szCs w:val="24"/>
          <w:rtl w:val="true"/>
          <w:lang w:eastAsia="en-US"/>
        </w:rPr>
        <w:t xml:space="preserve">) 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שיתוף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הפעולה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של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הנאשם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עם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רשויות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אכיפת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החוק</w:t>
      </w:r>
      <w:r>
        <w:rPr>
          <w:rFonts w:eastAsia="Times New Roman" w:cs="David" w:ascii="Arial" w:hAnsi="Arial"/>
          <w:b/>
          <w:bCs/>
          <w:sz w:val="24"/>
          <w:szCs w:val="24"/>
          <w:rtl w:val="true"/>
          <w:lang w:eastAsia="en-US"/>
        </w:rPr>
        <w:t xml:space="preserve">;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ואולם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כפירה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באשמה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וניהול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משפט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על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ידי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הנאשם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לא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ייזקפו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לחובתו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–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הנאשם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הודה</w:t>
      </w:r>
      <w:r>
        <w:rPr>
          <w:rFonts w:eastAsia="Times New Roman" w:cs="David" w:ascii="Arial" w:hAnsi="Arial"/>
          <w:sz w:val="24"/>
          <w:szCs w:val="24"/>
          <w:rtl w:val="true"/>
          <w:lang w:eastAsia="en-US"/>
        </w:rPr>
        <w:t xml:space="preserve">,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והדבר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נזקף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לזכותו</w:t>
      </w:r>
      <w:r>
        <w:rPr>
          <w:rFonts w:eastAsia="Times New Roman" w:cs="David" w:ascii="Arial" w:hAnsi="Arial"/>
          <w:b/>
          <w:bCs/>
          <w:sz w:val="24"/>
          <w:szCs w:val="24"/>
          <w:rtl w:val="true"/>
          <w:lang w:eastAsia="en-US"/>
        </w:rPr>
        <w:t>;</w:t>
      </w:r>
    </w:p>
    <w:p>
      <w:pPr>
        <w:pStyle w:val="P00"/>
        <w:spacing w:lineRule="auto" w:line="360" w:before="72" w:after="0"/>
        <w:ind w:start="1440" w:end="0"/>
        <w:jc w:val="both"/>
        <w:rPr>
          <w:rFonts w:ascii="Arial" w:hAnsi="Arial" w:eastAsia="Times New Roman" w:cs="David"/>
          <w:b/>
          <w:bCs/>
          <w:sz w:val="24"/>
          <w:szCs w:val="24"/>
          <w:lang w:eastAsia="en-US"/>
        </w:rPr>
      </w:pPr>
      <w:r>
        <w:rPr>
          <w:rFonts w:eastAsia="Times New Roman" w:cs="David" w:ascii="Arial" w:hAnsi="Arial"/>
          <w:b/>
          <w:bCs/>
          <w:sz w:val="24"/>
          <w:szCs w:val="24"/>
          <w:rtl w:val="true"/>
          <w:lang w:eastAsia="en-US"/>
        </w:rPr>
        <w:t>(</w:t>
      </w:r>
      <w:r>
        <w:rPr>
          <w:rFonts w:eastAsia="Times New Roman" w:cs="David" w:ascii="Arial" w:hAnsi="Arial"/>
          <w:b/>
          <w:bCs/>
          <w:sz w:val="24"/>
          <w:szCs w:val="24"/>
          <w:lang w:eastAsia="en-US"/>
        </w:rPr>
        <w:t>7</w:t>
      </w:r>
      <w:r>
        <w:rPr>
          <w:rFonts w:eastAsia="Times New Roman" w:cs="David" w:ascii="Arial" w:hAnsi="Arial"/>
          <w:b/>
          <w:bCs/>
          <w:sz w:val="24"/>
          <w:szCs w:val="24"/>
          <w:rtl w:val="true"/>
          <w:lang w:eastAsia="en-US"/>
        </w:rPr>
        <w:t xml:space="preserve">) 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התנהגותו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החיובית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של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הנאשם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ותרומתו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לחברה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–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אינו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רלוונטי</w:t>
      </w:r>
      <w:r>
        <w:rPr>
          <w:rFonts w:eastAsia="Times New Roman" w:cs="David" w:ascii="Arial" w:hAnsi="Arial"/>
          <w:b/>
          <w:bCs/>
          <w:sz w:val="24"/>
          <w:szCs w:val="24"/>
          <w:rtl w:val="true"/>
          <w:lang w:eastAsia="en-US"/>
        </w:rPr>
        <w:t>;</w:t>
      </w:r>
    </w:p>
    <w:p>
      <w:pPr>
        <w:pStyle w:val="P00"/>
        <w:spacing w:lineRule="auto" w:line="360" w:before="72" w:after="0"/>
        <w:ind w:start="1440" w:end="0"/>
        <w:jc w:val="both"/>
        <w:rPr>
          <w:rFonts w:ascii="Arial" w:hAnsi="Arial" w:eastAsia="Times New Roman" w:cs="David"/>
          <w:b/>
          <w:bCs/>
          <w:sz w:val="24"/>
          <w:szCs w:val="24"/>
          <w:lang w:eastAsia="en-US"/>
        </w:rPr>
      </w:pPr>
      <w:r>
        <w:rPr>
          <w:rFonts w:eastAsia="Times New Roman" w:cs="David" w:ascii="Arial" w:hAnsi="Arial"/>
          <w:b/>
          <w:bCs/>
          <w:sz w:val="24"/>
          <w:szCs w:val="24"/>
          <w:rtl w:val="true"/>
          <w:lang w:eastAsia="en-US"/>
        </w:rPr>
        <w:t>(</w:t>
      </w:r>
      <w:r>
        <w:rPr>
          <w:rFonts w:eastAsia="Times New Roman" w:cs="David" w:ascii="Arial" w:hAnsi="Arial"/>
          <w:b/>
          <w:bCs/>
          <w:sz w:val="24"/>
          <w:szCs w:val="24"/>
          <w:lang w:eastAsia="en-US"/>
        </w:rPr>
        <w:t>8</w:t>
      </w:r>
      <w:r>
        <w:rPr>
          <w:rFonts w:eastAsia="Times New Roman" w:cs="David" w:ascii="Arial" w:hAnsi="Arial"/>
          <w:b/>
          <w:bCs/>
          <w:sz w:val="24"/>
          <w:szCs w:val="24"/>
          <w:rtl w:val="true"/>
          <w:lang w:eastAsia="en-US"/>
        </w:rPr>
        <w:t xml:space="preserve">) 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נסיבות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חיים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קשות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של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הנאשם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שהייתה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להן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השפעה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על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ביצוע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מעשה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העבירה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–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אכן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לנאשם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היו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נסיבות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חיים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לא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קלות</w:t>
      </w:r>
      <w:r>
        <w:rPr>
          <w:rFonts w:eastAsia="Times New Roman" w:cs="David" w:ascii="Arial" w:hAnsi="Arial"/>
          <w:sz w:val="24"/>
          <w:szCs w:val="24"/>
          <w:rtl w:val="true"/>
          <w:lang w:eastAsia="en-US"/>
        </w:rPr>
        <w:t xml:space="preserve">,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אך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אין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מדובר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בנסיבות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כה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חמורות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המצדיקות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גישה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סלחנית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מיוחדת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לעבריין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סמים</w:t>
      </w:r>
      <w:r>
        <w:rPr>
          <w:rFonts w:eastAsia="Times New Roman" w:cs="David" w:ascii="Arial" w:hAnsi="Arial"/>
          <w:b/>
          <w:bCs/>
          <w:sz w:val="24"/>
          <w:szCs w:val="24"/>
          <w:rtl w:val="true"/>
          <w:lang w:eastAsia="en-US"/>
        </w:rPr>
        <w:t>;</w:t>
      </w:r>
    </w:p>
    <w:p>
      <w:pPr>
        <w:pStyle w:val="P00"/>
        <w:spacing w:lineRule="auto" w:line="360" w:before="72" w:after="0"/>
        <w:ind w:start="1440" w:end="0"/>
        <w:jc w:val="both"/>
        <w:rPr>
          <w:rFonts w:ascii="Arial" w:hAnsi="Arial" w:eastAsia="Times New Roman" w:cs="David"/>
          <w:b/>
          <w:bCs/>
          <w:sz w:val="24"/>
          <w:szCs w:val="24"/>
          <w:lang w:eastAsia="en-US"/>
        </w:rPr>
      </w:pPr>
      <w:r>
        <w:rPr>
          <w:rFonts w:eastAsia="Times New Roman" w:cs="David" w:ascii="Arial" w:hAnsi="Arial"/>
          <w:b/>
          <w:bCs/>
          <w:sz w:val="24"/>
          <w:szCs w:val="24"/>
          <w:rtl w:val="true"/>
          <w:lang w:eastAsia="en-US"/>
        </w:rPr>
        <w:t>(</w:t>
      </w:r>
      <w:r>
        <w:rPr>
          <w:rFonts w:eastAsia="Times New Roman" w:cs="David" w:ascii="Arial" w:hAnsi="Arial"/>
          <w:b/>
          <w:bCs/>
          <w:sz w:val="24"/>
          <w:szCs w:val="24"/>
          <w:lang w:eastAsia="en-US"/>
        </w:rPr>
        <w:t>9</w:t>
      </w:r>
      <w:r>
        <w:rPr>
          <w:rFonts w:eastAsia="Times New Roman" w:cs="David" w:ascii="Arial" w:hAnsi="Arial"/>
          <w:b/>
          <w:bCs/>
          <w:sz w:val="24"/>
          <w:szCs w:val="24"/>
          <w:rtl w:val="true"/>
          <w:lang w:eastAsia="en-US"/>
        </w:rPr>
        <w:t xml:space="preserve">) 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התנהגות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רשויות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אכיפת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החוק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–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אינו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רלוונטי</w:t>
      </w:r>
      <w:r>
        <w:rPr>
          <w:rFonts w:eastAsia="Times New Roman" w:cs="David" w:ascii="Arial" w:hAnsi="Arial"/>
          <w:b/>
          <w:bCs/>
          <w:sz w:val="24"/>
          <w:szCs w:val="24"/>
          <w:rtl w:val="true"/>
          <w:lang w:eastAsia="en-US"/>
        </w:rPr>
        <w:t>;</w:t>
      </w:r>
    </w:p>
    <w:p>
      <w:pPr>
        <w:pStyle w:val="P00"/>
        <w:spacing w:lineRule="auto" w:line="360" w:before="72" w:after="0"/>
        <w:ind w:start="1440" w:end="0"/>
        <w:jc w:val="both"/>
        <w:rPr>
          <w:rFonts w:ascii="Arial" w:hAnsi="Arial" w:eastAsia="Times New Roman" w:cs="David"/>
          <w:b/>
          <w:bCs/>
          <w:sz w:val="24"/>
          <w:szCs w:val="24"/>
          <w:lang w:eastAsia="en-US"/>
        </w:rPr>
      </w:pPr>
      <w:r>
        <w:rPr>
          <w:rFonts w:eastAsia="Times New Roman" w:cs="David" w:ascii="Arial" w:hAnsi="Arial"/>
          <w:b/>
          <w:bCs/>
          <w:sz w:val="24"/>
          <w:szCs w:val="24"/>
          <w:rtl w:val="true"/>
          <w:lang w:eastAsia="en-US"/>
        </w:rPr>
        <w:t>(</w:t>
      </w:r>
      <w:r>
        <w:rPr>
          <w:rFonts w:eastAsia="Times New Roman" w:cs="David" w:ascii="Arial" w:hAnsi="Arial"/>
          <w:b/>
          <w:bCs/>
          <w:sz w:val="24"/>
          <w:szCs w:val="24"/>
          <w:lang w:eastAsia="en-US"/>
        </w:rPr>
        <w:t>10</w:t>
      </w:r>
      <w:r>
        <w:rPr>
          <w:rFonts w:eastAsia="Times New Roman" w:cs="David" w:ascii="Arial" w:hAnsi="Arial"/>
          <w:b/>
          <w:bCs/>
          <w:sz w:val="24"/>
          <w:szCs w:val="24"/>
          <w:rtl w:val="true"/>
          <w:lang w:eastAsia="en-US"/>
        </w:rPr>
        <w:t xml:space="preserve">)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חלוף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הזמן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מעת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ביצוע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העבירה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–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מסתבר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כי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לאחר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שהסוכן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נחשף</w:t>
      </w:r>
      <w:r>
        <w:rPr>
          <w:rFonts w:eastAsia="Times New Roman" w:cs="David" w:ascii="Arial" w:hAnsi="Arial"/>
          <w:sz w:val="24"/>
          <w:szCs w:val="24"/>
          <w:rtl w:val="true"/>
          <w:lang w:eastAsia="en-US"/>
        </w:rPr>
        <w:t xml:space="preserve">,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הוגש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כתב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אישום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נגד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הנאשם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בחודש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מאי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eastAsia="Times New Roman" w:cs="David" w:ascii="Arial" w:hAnsi="Arial"/>
          <w:sz w:val="24"/>
          <w:szCs w:val="24"/>
          <w:lang w:eastAsia="en-US"/>
        </w:rPr>
        <w:t>2013</w:t>
      </w:r>
      <w:r>
        <w:rPr>
          <w:rFonts w:eastAsia="Times New Roman" w:cs="David" w:ascii="Arial" w:hAnsi="Arial"/>
          <w:sz w:val="24"/>
          <w:szCs w:val="24"/>
          <w:rtl w:val="true"/>
          <w:lang w:eastAsia="en-US"/>
        </w:rPr>
        <w:t xml:space="preserve">,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בגין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עבירות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שבוצעו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בחודשים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מאי</w:t>
      </w:r>
      <w:r>
        <w:rPr>
          <w:rFonts w:eastAsia="Times New Roman" w:cs="David" w:ascii="Arial" w:hAnsi="Arial"/>
          <w:sz w:val="24"/>
          <w:szCs w:val="24"/>
          <w:rtl w:val="true"/>
          <w:lang w:eastAsia="en-US"/>
        </w:rPr>
        <w:t>-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אוקטובר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eastAsia="Times New Roman" w:cs="David" w:ascii="Arial" w:hAnsi="Arial"/>
          <w:sz w:val="24"/>
          <w:szCs w:val="24"/>
          <w:lang w:eastAsia="en-US"/>
        </w:rPr>
        <w:t>2012</w:t>
      </w:r>
      <w:r>
        <w:rPr>
          <w:rFonts w:eastAsia="Times New Roman" w:cs="David" w:ascii="Arial" w:hAnsi="Arial"/>
          <w:sz w:val="24"/>
          <w:szCs w:val="24"/>
          <w:rtl w:val="true"/>
          <w:lang w:eastAsia="en-US"/>
        </w:rPr>
        <w:t xml:space="preserve">.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הדיון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בבית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משפט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קמא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היה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קצר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יחסית</w:t>
      </w:r>
      <w:r>
        <w:rPr>
          <w:rFonts w:eastAsia="Times New Roman" w:cs="David" w:ascii="Arial" w:hAnsi="Arial"/>
          <w:sz w:val="24"/>
          <w:szCs w:val="24"/>
          <w:rtl w:val="true"/>
          <w:lang w:eastAsia="en-US"/>
        </w:rPr>
        <w:t xml:space="preserve">,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והסתיים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בגזר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דין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ביום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eastAsia="Times New Roman" w:cs="David" w:ascii="Arial" w:hAnsi="Arial"/>
          <w:sz w:val="24"/>
          <w:szCs w:val="24"/>
          <w:lang w:eastAsia="en-US"/>
        </w:rPr>
        <w:t>12.2.14</w:t>
      </w:r>
      <w:r>
        <w:rPr>
          <w:rFonts w:eastAsia="Times New Roman" w:cs="David" w:ascii="Arial" w:hAnsi="Arial"/>
          <w:sz w:val="24"/>
          <w:szCs w:val="24"/>
          <w:rtl w:val="true"/>
          <w:lang w:eastAsia="en-US"/>
        </w:rPr>
        <w:t xml:space="preserve">.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גם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הדיון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בבית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משפט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זה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היה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קצר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במיוחד</w:t>
      </w:r>
      <w:r>
        <w:rPr>
          <w:rFonts w:eastAsia="Times New Roman" w:cs="David" w:ascii="Arial" w:hAnsi="Arial"/>
          <w:sz w:val="24"/>
          <w:szCs w:val="24"/>
          <w:rtl w:val="true"/>
          <w:lang w:eastAsia="en-US"/>
        </w:rPr>
        <w:t xml:space="preserve">,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כאשר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הערעור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הוגש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ביום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eastAsia="Times New Roman" w:cs="David" w:ascii="Arial" w:hAnsi="Arial"/>
          <w:sz w:val="24"/>
          <w:szCs w:val="24"/>
          <w:lang w:eastAsia="en-US"/>
        </w:rPr>
        <w:t>30.3.14</w:t>
      </w:r>
      <w:r>
        <w:rPr>
          <w:rFonts w:eastAsia="Times New Roman" w:cs="David" w:ascii="Arial" w:hAnsi="Arial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ופסק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דיננו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ניתן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בשבוע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הראשון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של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חודש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מאי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eastAsia="Times New Roman" w:cs="David" w:ascii="Arial" w:hAnsi="Arial"/>
          <w:sz w:val="24"/>
          <w:szCs w:val="24"/>
          <w:lang w:eastAsia="en-US"/>
        </w:rPr>
        <w:t>2014</w:t>
      </w:r>
      <w:r>
        <w:rPr>
          <w:rFonts w:eastAsia="Times New Roman" w:cs="David" w:ascii="Arial" w:hAnsi="Arial"/>
          <w:b/>
          <w:bCs/>
          <w:sz w:val="24"/>
          <w:szCs w:val="24"/>
          <w:rtl w:val="true"/>
          <w:lang w:eastAsia="en-US"/>
        </w:rPr>
        <w:t>;</w:t>
      </w:r>
    </w:p>
    <w:p>
      <w:pPr>
        <w:pStyle w:val="P00"/>
        <w:spacing w:lineRule="auto" w:line="360" w:before="72" w:after="0"/>
        <w:ind w:start="1440" w:end="0"/>
        <w:jc w:val="both"/>
        <w:rPr>
          <w:rFonts w:ascii="Arial" w:hAnsi="Arial" w:eastAsia="Times New Roman" w:cs="David"/>
          <w:sz w:val="24"/>
          <w:szCs w:val="24"/>
          <w:lang w:eastAsia="en-US"/>
        </w:rPr>
      </w:pPr>
      <w:r>
        <w:rPr>
          <w:rFonts w:eastAsia="Times New Roman" w:cs="David" w:ascii="Arial" w:hAnsi="Arial"/>
          <w:b/>
          <w:bCs/>
          <w:sz w:val="24"/>
          <w:szCs w:val="24"/>
          <w:rtl w:val="true"/>
          <w:lang w:eastAsia="en-US"/>
        </w:rPr>
        <w:t>(</w:t>
      </w:r>
      <w:r>
        <w:rPr>
          <w:rFonts w:eastAsia="Times New Roman" w:cs="David" w:ascii="Arial" w:hAnsi="Arial"/>
          <w:b/>
          <w:bCs/>
          <w:sz w:val="24"/>
          <w:szCs w:val="24"/>
          <w:lang w:eastAsia="en-US"/>
        </w:rPr>
        <w:t>11</w:t>
      </w:r>
      <w:r>
        <w:rPr>
          <w:rFonts w:eastAsia="Times New Roman" w:cs="David" w:ascii="Arial" w:hAnsi="Arial"/>
          <w:b/>
          <w:bCs/>
          <w:sz w:val="24"/>
          <w:szCs w:val="24"/>
          <w:rtl w:val="true"/>
          <w:lang w:eastAsia="en-US"/>
        </w:rPr>
        <w:t xml:space="preserve">)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עברו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הפלילי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של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הנאשם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או</w:t>
      </w:r>
      <w:r>
        <w:rPr>
          <w:rFonts w:ascii="Arial" w:hAnsi="Arial" w:eastAsia="Arial" w:cs="Arial"/>
          <w:b/>
          <w:b/>
          <w:bCs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b/>
          <w:b/>
          <w:bCs/>
          <w:sz w:val="24"/>
          <w:sz w:val="24"/>
          <w:szCs w:val="24"/>
          <w:rtl w:val="true"/>
          <w:lang w:eastAsia="en-US"/>
        </w:rPr>
        <w:t>העדרו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–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עברו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הפלילי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של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הנאשם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חמור</w:t>
      </w:r>
      <w:r>
        <w:rPr>
          <w:rFonts w:eastAsia="Times New Roman" w:cs="David" w:ascii="Arial" w:hAnsi="Arial"/>
          <w:sz w:val="24"/>
          <w:szCs w:val="24"/>
          <w:rtl w:val="true"/>
          <w:lang w:eastAsia="en-US"/>
        </w:rPr>
        <w:t xml:space="preserve">.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מדובר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בעבריין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שגילו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eastAsia="Times New Roman" w:cs="David" w:ascii="Arial" w:hAnsi="Arial"/>
          <w:sz w:val="24"/>
          <w:szCs w:val="24"/>
          <w:lang w:eastAsia="en-US"/>
        </w:rPr>
        <w:t>28</w:t>
      </w:r>
      <w:r>
        <w:rPr>
          <w:rFonts w:eastAsia="Times New Roman" w:cs="David" w:ascii="Arial" w:hAnsi="Arial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שנים</w:t>
      </w:r>
      <w:r>
        <w:rPr>
          <w:rFonts w:eastAsia="Times New Roman" w:cs="David" w:ascii="Arial" w:hAnsi="Arial"/>
          <w:sz w:val="24"/>
          <w:szCs w:val="24"/>
          <w:rtl w:val="true"/>
          <w:lang w:eastAsia="en-US"/>
        </w:rPr>
        <w:t xml:space="preserve">,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והעבירה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הראשונה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שביצע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הייתה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בבית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המשפט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הצבאי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בבית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אל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בשנת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eastAsia="Times New Roman" w:cs="David" w:ascii="Arial" w:hAnsi="Arial"/>
          <w:sz w:val="24"/>
          <w:szCs w:val="24"/>
          <w:lang w:eastAsia="en-US"/>
        </w:rPr>
        <w:t>2002</w:t>
      </w:r>
      <w:r>
        <w:rPr>
          <w:rFonts w:eastAsia="Times New Roman" w:cs="David" w:ascii="Arial" w:hAnsi="Arial"/>
          <w:sz w:val="24"/>
          <w:szCs w:val="24"/>
          <w:rtl w:val="true"/>
          <w:lang w:eastAsia="en-US"/>
        </w:rPr>
        <w:t xml:space="preserve">,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בהיותו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בן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eastAsia="Times New Roman" w:cs="David" w:ascii="Arial" w:hAnsi="Arial"/>
          <w:sz w:val="24"/>
          <w:szCs w:val="24"/>
          <w:lang w:eastAsia="en-US"/>
        </w:rPr>
        <w:t>16</w:t>
      </w:r>
      <w:r>
        <w:rPr>
          <w:rFonts w:eastAsia="Times New Roman" w:cs="David" w:ascii="Arial" w:hAnsi="Arial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ולאחר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מכן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נדון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בבית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משפט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השלום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בירושלים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בשנים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eastAsia="Times New Roman" w:cs="David" w:ascii="Arial" w:hAnsi="Arial"/>
          <w:sz w:val="24"/>
          <w:szCs w:val="24"/>
          <w:lang w:eastAsia="en-US"/>
        </w:rPr>
        <w:t>2010-2013</w:t>
      </w:r>
      <w:r>
        <w:rPr>
          <w:rFonts w:eastAsia="Times New Roman" w:cs="David" w:ascii="Arial" w:hAnsi="Arial"/>
          <w:b/>
          <w:bCs/>
          <w:sz w:val="24"/>
          <w:szCs w:val="24"/>
          <w:rtl w:val="true"/>
          <w:lang w:eastAsia="en-US"/>
        </w:rPr>
        <w:t xml:space="preserve">,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לעבירות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שונות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שפורטו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לעיל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eastAsia="Times New Roman" w:cs="David" w:ascii="Arial" w:hAnsi="Arial"/>
          <w:sz w:val="24"/>
          <w:szCs w:val="24"/>
          <w:rtl w:val="true"/>
          <w:lang w:eastAsia="en-US"/>
        </w:rPr>
        <w:t>(</w:t>
      </w:r>
      <w:r>
        <w:rPr>
          <w:rFonts w:ascii="Arial" w:hAnsi="Arial" w:eastAsia="Times New Roman" w:cs="David"/>
          <w:sz w:val="24"/>
          <w:sz w:val="24"/>
          <w:szCs w:val="24"/>
          <w:rtl w:val="true"/>
          <w:lang w:eastAsia="en-US"/>
        </w:rPr>
        <w:t>פיסקה</w:t>
      </w:r>
      <w:r>
        <w:rPr>
          <w:rFonts w:ascii="Arial" w:hAnsi="Arial" w:eastAsia="Arial" w:cs="Arial"/>
          <w:sz w:val="24"/>
          <w:sz w:val="24"/>
          <w:szCs w:val="24"/>
          <w:rtl w:val="true"/>
          <w:lang w:eastAsia="en-US"/>
        </w:rPr>
        <w:t xml:space="preserve"> </w:t>
      </w:r>
      <w:r>
        <w:rPr>
          <w:rFonts w:eastAsia="Times New Roman" w:cs="David" w:ascii="Arial" w:hAnsi="Arial"/>
          <w:sz w:val="24"/>
          <w:szCs w:val="24"/>
          <w:lang w:eastAsia="en-US"/>
        </w:rPr>
        <w:t>7</w:t>
      </w:r>
      <w:r>
        <w:rPr>
          <w:rFonts w:eastAsia="Times New Roman" w:cs="David" w:ascii="Arial" w:hAnsi="Arial"/>
          <w:sz w:val="24"/>
          <w:szCs w:val="24"/>
          <w:rtl w:val="true"/>
          <w:lang w:eastAsia="en-US"/>
        </w:rPr>
        <w:t xml:space="preserve">). </w:t>
      </w:r>
    </w:p>
    <w:p>
      <w:pPr>
        <w:pStyle w:val="Normal"/>
        <w:spacing w:lineRule="auto" w:line="360"/>
        <w:ind w:start="816" w:end="0"/>
        <w:jc w:val="both"/>
        <w:rPr>
          <w:rFonts w:ascii="Arial" w:hAnsi="Arial" w:eastAsia="Times New Roman" w:cs="Arial"/>
          <w:sz w:val="24"/>
          <w:szCs w:val="24"/>
          <w:lang w:val="en-US" w:eastAsia="en-US"/>
        </w:rPr>
      </w:pPr>
      <w:r>
        <w:rPr>
          <w:rFonts w:eastAsia="Times New Roman" w:cs="Arial" w:ascii="Arial" w:hAnsi="Arial"/>
          <w:sz w:val="24"/>
          <w:szCs w:val="24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44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שיקולים נוספים שעל בית המשפט להביא בחשבון במסגרת קביעת העונש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כאמור </w:t>
      </w:r>
      <w:hyperlink r:id="rId40">
        <w:r>
          <w:rPr>
            <w:rStyle w:val="Hyperlink"/>
            <w:rFonts w:ascii="Arial" w:hAnsi="Arial" w:cs="Arial"/>
            <w:rtl w:val="true"/>
            <w:lang w:val="en-US" w:eastAsia="en-US"/>
          </w:rPr>
          <w:t>בסעיף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 xml:space="preserve"> </w:t>
        </w:r>
        <w:r>
          <w:rPr>
            <w:rStyle w:val="Hyperlink"/>
            <w:rFonts w:cs="Arial" w:ascii="Arial" w:hAnsi="Arial"/>
            <w:lang w:val="en-US" w:eastAsia="en-US"/>
          </w:rPr>
          <w:t>40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>ג</w:t>
        </w:r>
        <w:r>
          <w:rPr>
            <w:rStyle w:val="Hyperlink"/>
            <w:rFonts w:cs="Arial" w:ascii="Arial" w:hAnsi="Arial"/>
            <w:rtl w:val="true"/>
            <w:lang w:val="en-US" w:eastAsia="en-US"/>
          </w:rPr>
          <w:t>(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>ב</w:t>
        </w:r>
        <w:r>
          <w:rPr>
            <w:rStyle w:val="Hyperlink"/>
            <w:rFonts w:cs="Arial" w:ascii="Arial" w:hAnsi="Arial"/>
            <w:rtl w:val="true"/>
            <w:lang w:val="en-US" w:eastAsia="en-US"/>
          </w:rPr>
          <w:t>)</w:t>
        </w:r>
      </w:hyperlink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לחוק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מחייבים אף הם החמרה</w:t>
      </w:r>
      <w:r>
        <w:rPr>
          <w:rFonts w:cs="Arial" w:ascii="Arial" w:hAnsi="Arial"/>
          <w:rtl w:val="true"/>
          <w:lang w:val="en-US" w:eastAsia="en-US"/>
        </w:rPr>
        <w:t xml:space="preserve">: </w:t>
      </w:r>
      <w:r>
        <w:rPr>
          <w:rFonts w:ascii="Arial" w:hAnsi="Arial" w:cs="Arial"/>
          <w:rtl w:val="true"/>
          <w:lang w:val="en-US" w:eastAsia="en-US"/>
        </w:rPr>
        <w:t>הגנת הציבור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כאמור </w:t>
      </w:r>
      <w:hyperlink r:id="rId41">
        <w:r>
          <w:rPr>
            <w:rStyle w:val="Hyperlink"/>
            <w:rFonts w:ascii="Arial" w:hAnsi="Arial" w:cs="Arial"/>
            <w:rtl w:val="true"/>
            <w:lang w:val="en-US" w:eastAsia="en-US"/>
          </w:rPr>
          <w:t>בסעיף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 xml:space="preserve"> </w:t>
        </w:r>
        <w:r>
          <w:rPr>
            <w:rStyle w:val="Hyperlink"/>
            <w:rFonts w:cs="Arial" w:ascii="Arial" w:hAnsi="Arial"/>
            <w:lang w:val="en-US" w:eastAsia="en-US"/>
          </w:rPr>
          <w:t>40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>ה</w:t>
        </w:r>
      </w:hyperlink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היא ברורה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שכן עבירות סחר בסמים גורמות להפצת הסם ולנזק לכל החברה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 xml:space="preserve">הרתעת הרבים וההרתעה האישית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ascii="Arial" w:hAnsi="Arial" w:cs="Arial"/>
          <w:rtl w:val="true"/>
          <w:lang w:val="en-US" w:eastAsia="en-US"/>
        </w:rPr>
        <w:t xml:space="preserve">כאמור </w:t>
      </w:r>
      <w:hyperlink r:id="rId42">
        <w:r>
          <w:rPr>
            <w:rStyle w:val="Hyperlink"/>
            <w:rFonts w:ascii="Arial" w:hAnsi="Arial" w:cs="Arial"/>
            <w:rtl w:val="true"/>
            <w:lang w:val="en-US" w:eastAsia="en-US"/>
          </w:rPr>
          <w:t>בסעיפים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 xml:space="preserve"> </w:t>
        </w:r>
        <w:r>
          <w:rPr>
            <w:rStyle w:val="Hyperlink"/>
            <w:rFonts w:cs="Arial" w:ascii="Arial" w:hAnsi="Arial"/>
            <w:lang w:val="en-US" w:eastAsia="en-US"/>
          </w:rPr>
          <w:t>40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>ו</w:t>
        </w:r>
      </w:hyperlink>
      <w:r>
        <w:rPr>
          <w:rFonts w:cs="Arial" w:ascii="Arial" w:hAnsi="Arial"/>
          <w:rtl w:val="true"/>
          <w:lang w:val="en-US" w:eastAsia="en-US"/>
        </w:rPr>
        <w:t xml:space="preserve">, </w:t>
      </w:r>
      <w:hyperlink r:id="rId43">
        <w:r>
          <w:rPr>
            <w:rStyle w:val="Hyperlink"/>
            <w:rFonts w:cs="Arial" w:ascii="Arial" w:hAnsi="Arial"/>
            <w:lang w:val="en-US" w:eastAsia="en-US"/>
          </w:rPr>
          <w:t>40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>ז</w:t>
        </w:r>
      </w:hyperlink>
      <w:r>
        <w:rPr>
          <w:rFonts w:ascii="Arial" w:hAnsi="Arial" w:cs="Arial"/>
          <w:rtl w:val="true"/>
          <w:lang w:val="en-US" w:eastAsia="en-US"/>
        </w:rPr>
        <w:t xml:space="preserve"> לחוק</w:t>
      </w:r>
      <w:r>
        <w:rPr>
          <w:rFonts w:cs="Arial" w:ascii="Arial" w:hAnsi="Arial"/>
          <w:rtl w:val="true"/>
          <w:lang w:val="en-US" w:eastAsia="en-US"/>
        </w:rPr>
        <w:t xml:space="preserve">), </w:t>
      </w:r>
      <w:r>
        <w:rPr>
          <w:rFonts w:ascii="Arial" w:hAnsi="Arial" w:cs="Arial"/>
          <w:rtl w:val="true"/>
          <w:lang w:val="en-US" w:eastAsia="en-US"/>
        </w:rPr>
        <w:t>הינם שיקולי חומרה נוספים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אף כי הם בתוך מתחם העונש ההולם ולא חורגים ממנו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45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שיקול קולא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המאפשר התחשבות במסגרת מתחם העונש ההולם ואולי אף חריגה ממנו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הוא שיקול השיקום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כאמור </w:t>
      </w:r>
      <w:hyperlink r:id="rId44">
        <w:r>
          <w:rPr>
            <w:rStyle w:val="Hyperlink"/>
            <w:rFonts w:ascii="Arial" w:hAnsi="Arial" w:cs="Arial"/>
            <w:rtl w:val="true"/>
            <w:lang w:val="en-US" w:eastAsia="en-US"/>
          </w:rPr>
          <w:t>בסעיף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 xml:space="preserve"> </w:t>
        </w:r>
        <w:r>
          <w:rPr>
            <w:rStyle w:val="Hyperlink"/>
            <w:rFonts w:cs="Arial" w:ascii="Arial" w:hAnsi="Arial"/>
            <w:lang w:val="en-US" w:eastAsia="en-US"/>
          </w:rPr>
          <w:t>40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>ו</w:t>
        </w:r>
      </w:hyperlink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אולם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לא מצאנו בתיק זה כוונת שיקום רצינית המצדיקה התחשבות בשיקול זה כשיקול משמעותי לקולא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שירות המבחן מזכיר שיקול זה באופן מינורי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במסגרת התייחסותו למוטיבציה של הנאשם לעבוד ולנהל אורח חיים תקין</w:t>
      </w:r>
      <w:r>
        <w:rPr>
          <w:rFonts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cs="Arial"/>
          <w:rtl w:val="true"/>
          <w:lang w:val="en-US" w:eastAsia="en-US"/>
        </w:rPr>
        <w:t>אך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מולו ניצב השיקול המרכזי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שמדגיש שירות המבחן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כי הנאשם זקוק לגבולות חיצוניים ברורים ונוקשים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ולכן המליץ שירות המבחן על מאסר בפועל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ascii="Arial" w:hAnsi="Arial" w:cs="Arial"/>
          <w:rtl w:val="true"/>
          <w:lang w:val="en-US" w:eastAsia="en-US"/>
        </w:rPr>
        <w:t xml:space="preserve">ראה פיסקה </w:t>
      </w:r>
      <w:r>
        <w:rPr>
          <w:rFonts w:cs="Arial" w:ascii="Arial" w:hAnsi="Arial"/>
          <w:lang w:val="en-US" w:eastAsia="en-US"/>
        </w:rPr>
        <w:t>7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סיפא לעיל</w:t>
      </w:r>
      <w:r>
        <w:rPr>
          <w:rFonts w:cs="Arial" w:ascii="Arial" w:hAnsi="Arial"/>
          <w:rtl w:val="true"/>
          <w:lang w:val="en-US" w:eastAsia="en-US"/>
        </w:rPr>
        <w:t xml:space="preserve">).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46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בית משפט קמא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בעת גזר הדין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קבע כי בתוך מתחם העונש ההולם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שהוא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כאמור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עד </w:t>
      </w:r>
      <w:r>
        <w:rPr>
          <w:rFonts w:cs="Arial" w:ascii="Arial" w:hAnsi="Arial"/>
          <w:lang w:val="en-US" w:eastAsia="en-US"/>
        </w:rPr>
        <w:t>12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חודשי מאסר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ראוי להעמיד את העונש על החלק המרכזי של המתחם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לטעמי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לאור הנסיבות שתוארו לעיל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ובמיוחד כאשר מדובר בעבריין סמים שעיסוקו הוא סחר בסמים במשך תקופה של מספר חודשים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יש מקום לקבוע את העונש בשליש העליון ואולי אפילו ברבע העליון של המתחם ולא באמצעו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כפי שעשה בית משפט קמא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47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אם היינו דנים בתיק מראשיתו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כערכאה ראשונה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היה עלינו לשקול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כאמור </w:t>
      </w:r>
      <w:hyperlink r:id="rId45">
        <w:r>
          <w:rPr>
            <w:rStyle w:val="Hyperlink"/>
            <w:rFonts w:ascii="Arial" w:hAnsi="Arial" w:cs="Arial"/>
            <w:rtl w:val="true"/>
            <w:lang w:val="en-US" w:eastAsia="en-US"/>
          </w:rPr>
          <w:t>בסעיף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 xml:space="preserve"> </w:t>
        </w:r>
        <w:r>
          <w:rPr>
            <w:rStyle w:val="Hyperlink"/>
            <w:rFonts w:cs="Arial" w:ascii="Arial" w:hAnsi="Arial"/>
            <w:lang w:val="en-US" w:eastAsia="en-US"/>
          </w:rPr>
          <w:t>40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>יג</w:t>
        </w:r>
        <w:r>
          <w:rPr>
            <w:rStyle w:val="Hyperlink"/>
            <w:rFonts w:cs="Arial" w:ascii="Arial" w:hAnsi="Arial"/>
            <w:rtl w:val="true"/>
            <w:lang w:val="en-US" w:eastAsia="en-US"/>
          </w:rPr>
          <w:t>(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>ג</w:t>
        </w:r>
        <w:r>
          <w:rPr>
            <w:rStyle w:val="Hyperlink"/>
            <w:rFonts w:cs="Arial" w:ascii="Arial" w:hAnsi="Arial"/>
            <w:rtl w:val="true"/>
            <w:lang w:val="en-US" w:eastAsia="en-US"/>
          </w:rPr>
          <w:t>)</w:t>
        </w:r>
      </w:hyperlink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האם לאור המתחם וקביעת עונש בחלקו העליון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דהיינו</w:t>
      </w:r>
      <w:r>
        <w:rPr>
          <w:rFonts w:cs="Arial" w:ascii="Arial" w:hAnsi="Arial"/>
          <w:rtl w:val="true"/>
          <w:lang w:val="en-US" w:eastAsia="en-US"/>
        </w:rPr>
        <w:t xml:space="preserve">: </w:t>
      </w:r>
      <w:r>
        <w:rPr>
          <w:rFonts w:ascii="Arial" w:hAnsi="Arial" w:cs="Arial"/>
          <w:rtl w:val="true"/>
          <w:lang w:val="en-US" w:eastAsia="en-US"/>
        </w:rPr>
        <w:t>כתשעה חודשי מאסר לכל עבירה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יש להכפיל באופן מתמטי את העונש במספר העבירות ולהגיע ל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cs="Arial" w:ascii="Arial" w:hAnsi="Arial"/>
          <w:lang w:val="en-US" w:eastAsia="en-US"/>
        </w:rPr>
        <w:t>45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חודשי מאסר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48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אולם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אנו יושבים בערכאת ערעור ואיננו ממצים את הדין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בכל מקרה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גם אם היינו יושבים כערכאה ראשונה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על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 xml:space="preserve">פי </w:t>
      </w:r>
      <w:hyperlink r:id="rId46">
        <w:r>
          <w:rPr>
            <w:rStyle w:val="Hyperlink"/>
            <w:rFonts w:ascii="Arial" w:hAnsi="Arial" w:cs="Arial"/>
            <w:rtl w:val="true"/>
            <w:lang w:val="en-US" w:eastAsia="en-US"/>
          </w:rPr>
          <w:t>סעיף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 xml:space="preserve"> </w:t>
        </w:r>
        <w:r>
          <w:rPr>
            <w:rStyle w:val="Hyperlink"/>
            <w:rFonts w:cs="Arial" w:ascii="Arial" w:hAnsi="Arial"/>
            <w:lang w:val="en-US" w:eastAsia="en-US"/>
          </w:rPr>
          <w:t>40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>יג</w:t>
        </w:r>
        <w:r>
          <w:rPr>
            <w:rStyle w:val="Hyperlink"/>
            <w:rFonts w:cs="Arial" w:ascii="Arial" w:hAnsi="Arial"/>
            <w:rtl w:val="true"/>
            <w:lang w:val="en-US" w:eastAsia="en-US"/>
          </w:rPr>
          <w:t>(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>ג</w:t>
        </w:r>
        <w:r>
          <w:rPr>
            <w:rStyle w:val="Hyperlink"/>
            <w:rFonts w:cs="Arial" w:ascii="Arial" w:hAnsi="Arial"/>
            <w:rtl w:val="true"/>
            <w:lang w:val="en-US" w:eastAsia="en-US"/>
          </w:rPr>
          <w:t>)</w:t>
        </w:r>
      </w:hyperlink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גזירת העונש באותו שלב אינה רק הכפלה מתמטית של מתחם העונש ההולם במספר העבירות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אלא יש להתחשב בתוצאה הסופית שהיא היחס ההולם בין חומרת מכלול המעשים לבין תקופת המאסר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ascii="Arial" w:hAnsi="Arial" w:cs="Arial"/>
          <w:rtl w:val="true"/>
          <w:lang w:val="en-US" w:eastAsia="en-US"/>
        </w:rPr>
        <w:t xml:space="preserve">ראה הציטוט של הסעיף בפיסקה </w:t>
      </w:r>
      <w:r>
        <w:rPr>
          <w:rFonts w:cs="Arial" w:ascii="Arial" w:hAnsi="Arial"/>
          <w:lang w:val="en-US" w:eastAsia="en-US"/>
        </w:rPr>
        <w:t>39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סיפא לעיל</w:t>
      </w:r>
      <w:r>
        <w:rPr>
          <w:rFonts w:cs="Arial" w:ascii="Arial" w:hAnsi="Arial"/>
          <w:rtl w:val="true"/>
          <w:lang w:val="en-US" w:eastAsia="en-US"/>
        </w:rPr>
        <w:t xml:space="preserve">).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49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אחד מן השיקולים המקובלים בתחום הענישה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כאשר מדובר במספר נאשמים השותפים לאותו מעשה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הוא – אחידות בענישה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ואכן הסנגור ביקש לדמות את הנאשם לאחיו התאום שנדון ל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cs="Arial" w:ascii="Arial" w:hAnsi="Arial"/>
          <w:lang w:val="en-US" w:eastAsia="en-US"/>
        </w:rPr>
        <w:t>8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 xml:space="preserve">חודשי מאסר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ascii="Arial" w:hAnsi="Arial" w:cs="Arial"/>
          <w:rtl w:val="true"/>
          <w:lang w:val="en-US" w:eastAsia="en-US"/>
        </w:rPr>
        <w:t>בגין עבירות הסמים</w:t>
      </w:r>
      <w:r>
        <w:rPr>
          <w:rFonts w:cs="Arial" w:ascii="Arial" w:hAnsi="Arial"/>
          <w:rtl w:val="true"/>
          <w:lang w:val="en-US" w:eastAsia="en-US"/>
        </w:rPr>
        <w:t xml:space="preserve">). 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ברם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במקרה שלפנינו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הנתונים להשוואה לא ניתנים ליישום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האח התאום הועמד לדין רק על שתי עבירות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שביצע יחד עם הנאשם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ועונשו של האח כולל גם ענישה בגין עבירה נוספת של נהיגה בפסילה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בכל מקרה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עונשו של האח תלוי ועומד בערעור של המדינה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בהרכב אחר של בית משפט זה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ועניינו טרם נדון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ולכן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אינו יכול לשמש בסיס להשוואה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  <w:tab/>
      </w:r>
      <w:r>
        <w:rPr>
          <w:rFonts w:ascii="Arial" w:hAnsi="Arial" w:cs="Arial"/>
          <w:rtl w:val="true"/>
          <w:lang w:val="en-US" w:eastAsia="en-US"/>
        </w:rPr>
        <w:t>אשר לנאשם השלישי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בידי ב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כ המדינה לא היה מידע על העונש שנגזר עליו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ולכן לא ניתן להפעיל ביחס אליו את יסוד ההשוואה</w:t>
      </w:r>
      <w:r>
        <w:rPr>
          <w:rFonts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cs="Arial"/>
          <w:rtl w:val="true"/>
          <w:lang w:val="en-US" w:eastAsia="en-US"/>
        </w:rPr>
        <w:t>זאת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בנוסף לכך כי אותו נאשם שלישי הורשע בעבירה אחת בלבד שאותה ביצע יחד עם המשיב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שהורשע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כאמור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בחמש עבירות של סחר בסמים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50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ב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כ הצדדים הביאו אסמכתאות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זה בכה וזה בכה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גזירת העונש בענייני סמים – רבה היא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ולא ראיתי צורך בערעור זה להתייחס במפורט לכל האסמכתאות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כאשר כל מקרה נדון לפי נסיבותיו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ולא הייתה מחלוקת בין הצדדים בדבר עצם חומרת מעשי הסחר בסמים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והצורך בעונש משמעותי ומרתיע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51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 xml:space="preserve">במהלך הדיון הועלו שתי נקודות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ascii="Arial" w:hAnsi="Arial" w:cs="Arial"/>
          <w:rtl w:val="true"/>
          <w:lang w:val="en-US" w:eastAsia="en-US"/>
        </w:rPr>
        <w:t>אי בקשה לאיחוד הערעור של שני האחים התאומים והעדר מידע על עונשו של הנאשם השלישי</w:t>
      </w:r>
      <w:r>
        <w:rPr>
          <w:rFonts w:cs="Arial" w:ascii="Arial" w:hAnsi="Arial"/>
          <w:rtl w:val="true"/>
          <w:lang w:val="en-US" w:eastAsia="en-US"/>
        </w:rPr>
        <w:t xml:space="preserve">). </w:t>
      </w:r>
      <w:r>
        <w:rPr>
          <w:rFonts w:ascii="Arial" w:hAnsi="Arial" w:cs="Arial"/>
          <w:rtl w:val="true"/>
          <w:lang w:val="en-US" w:eastAsia="en-US"/>
        </w:rPr>
        <w:t>חזקה על ב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כ המדינה שהופיעה בפנינו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כי תביא עניינים אלה בפני הממונים עליה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לצורך הפקת לקחים לעתיד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52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לאור השיקולים דלעיל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ובהזכירי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שוב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כי ערכאת הערעור אינה ממצה את מלוא העונש הראוי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ובהתחשב גם בפסיקה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ascii="Arial" w:hAnsi="Arial" w:cs="Arial"/>
          <w:rtl w:val="true"/>
          <w:lang w:val="en-US" w:eastAsia="en-US"/>
        </w:rPr>
        <w:t>הן זו שהוזכרה בהודעת הערעור והן זו שהוגשה בפנינו</w:t>
      </w:r>
      <w:r>
        <w:rPr>
          <w:rFonts w:cs="Arial" w:ascii="Arial" w:hAnsi="Arial"/>
          <w:rtl w:val="true"/>
          <w:lang w:val="en-US" w:eastAsia="en-US"/>
        </w:rPr>
        <w:t xml:space="preserve">), </w:t>
      </w:r>
      <w:r>
        <w:rPr>
          <w:rFonts w:ascii="Arial" w:hAnsi="Arial" w:cs="Arial"/>
          <w:rtl w:val="true"/>
          <w:lang w:val="en-US" w:eastAsia="en-US"/>
        </w:rPr>
        <w:t>אני מציע לחבריי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כדלקמן</w:t>
      </w:r>
      <w:r>
        <w:rPr>
          <w:rFonts w:cs="Arial" w:ascii="Arial" w:hAnsi="Arial"/>
          <w:rtl w:val="true"/>
          <w:lang w:val="en-US" w:eastAsia="en-US"/>
        </w:rPr>
        <w:t xml:space="preserve">: </w:t>
      </w:r>
    </w:p>
    <w:p>
      <w:pPr>
        <w:pStyle w:val="Normal"/>
        <w:spacing w:lineRule="auto" w:line="360"/>
        <w:ind w:hanging="720" w:start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144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א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הערעור יתקבל במובן זה שעונש המאסר בפועל שנקבע על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 xml:space="preserve">ידי בית המשפט קמא יוחמר ויועמד על </w:t>
      </w:r>
      <w:r>
        <w:rPr>
          <w:rFonts w:cs="Arial" w:ascii="Arial" w:hAnsi="Arial"/>
          <w:lang w:val="en-US" w:eastAsia="en-US"/>
        </w:rPr>
        <w:t>24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חודשי מאסר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מיום מעצרו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cs="Arial" w:ascii="Arial" w:hAnsi="Arial"/>
          <w:lang w:val="en-US" w:eastAsia="en-US"/>
        </w:rPr>
        <w:t>26.5.13</w:t>
      </w:r>
      <w:r>
        <w:rPr>
          <w:rFonts w:cs="Arial" w:ascii="Arial" w:hAnsi="Arial"/>
          <w:rtl w:val="true"/>
          <w:lang w:val="en-US" w:eastAsia="en-US"/>
        </w:rPr>
        <w:t xml:space="preserve">). </w:t>
      </w:r>
    </w:p>
    <w:p>
      <w:pPr>
        <w:pStyle w:val="Normal"/>
        <w:spacing w:lineRule="auto" w:line="360"/>
        <w:ind w:hanging="720" w:start="144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144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ב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 xml:space="preserve">יתר חלקי גזר הדין יעמדו בעינם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ascii="Arial" w:hAnsi="Arial" w:cs="Arial"/>
          <w:rtl w:val="true"/>
          <w:lang w:val="en-US" w:eastAsia="en-US"/>
        </w:rPr>
        <w:t>פרט לכך שהמועד לתשלום הקנס יידחה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כתוצאה מהארכת תקופת המאסר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והקנס ישולם עד ליום </w:t>
      </w:r>
      <w:r>
        <w:rPr>
          <w:rFonts w:cs="Arial" w:ascii="Arial" w:hAnsi="Arial"/>
          <w:lang w:val="en-US" w:eastAsia="en-US"/>
        </w:rPr>
        <w:t>1.6.15</w:t>
      </w:r>
      <w:r>
        <w:rPr>
          <w:rFonts w:cs="Arial" w:ascii="Arial" w:hAnsi="Arial"/>
          <w:rtl w:val="true"/>
          <w:lang w:val="en-US" w:eastAsia="en-US"/>
        </w:rPr>
        <w:t xml:space="preserve">). </w:t>
      </w:r>
    </w:p>
    <w:p>
      <w:pPr>
        <w:pStyle w:val="Normal"/>
        <w:ind w:end="0"/>
        <w:jc w:val="center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tbl>
      <w:tblPr>
        <w:bidiVisual w:val="true"/>
        <w:tblW w:w="269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91"/>
      </w:tblGrid>
      <w:tr>
        <w:trPr/>
        <w:tc>
          <w:tcPr>
            <w:tcW w:w="2691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</w:tc>
      </w:tr>
      <w:tr>
        <w:trPr/>
        <w:tc>
          <w:tcPr>
            <w:tcW w:w="2691" w:type="dxa"/>
            <w:tcBorders>
              <w:top w:val="single" w:sz="4" w:space="0" w:color="000000"/>
            </w:tcBorders>
          </w:tcPr>
          <w:p>
            <w:pPr>
              <w:pStyle w:val="Heading3"/>
              <w:ind w:hanging="0" w:start="0" w:end="0"/>
              <w:jc w:val="center"/>
              <w:rPr>
                <w:sz w:val="28"/>
              </w:rPr>
            </w:pPr>
            <w:r>
              <w:rPr>
                <w:sz w:val="28"/>
                <w:sz w:val="28"/>
                <w:rtl w:val="true"/>
              </w:rPr>
              <w:t>משה</w:t>
            </w:r>
            <w:r>
              <w:rPr>
                <w:rFonts w:cs="Times New Roman"/>
                <w:sz w:val="28"/>
                <w:sz w:val="28"/>
                <w:rtl w:val="true"/>
              </w:rPr>
              <w:t xml:space="preserve"> </w:t>
            </w:r>
            <w:r>
              <w:rPr>
                <w:sz w:val="28"/>
                <w:sz w:val="28"/>
                <w:rtl w:val="true"/>
              </w:rPr>
              <w:t>דרורי</w:t>
            </w:r>
            <w:r>
              <w:rPr>
                <w:sz w:val="28"/>
                <w:rtl w:val="true"/>
              </w:rPr>
              <w:t xml:space="preserve">, </w:t>
            </w:r>
            <w:r>
              <w:rPr>
                <w:sz w:val="28"/>
                <w:sz w:val="28"/>
                <w:rtl w:val="true"/>
              </w:rPr>
              <w:t>שופט</w:t>
            </w:r>
          </w:p>
          <w:p>
            <w:pPr>
              <w:pStyle w:val="Normal"/>
              <w:ind w:end="0"/>
              <w:jc w:val="center"/>
              <w:rPr>
                <w:b/>
                <w:bCs/>
                <w:sz w:val="28"/>
              </w:rPr>
            </w:pPr>
            <w:r>
              <w:rPr>
                <w:b/>
                <w:b/>
                <w:bCs/>
                <w:sz w:val="28"/>
                <w:sz w:val="28"/>
                <w:rtl w:val="true"/>
              </w:rPr>
              <w:t>סגן</w:t>
            </w:r>
            <w:r>
              <w:rPr>
                <w:rFonts w:cs="Times New Roman"/>
                <w:b/>
                <w:b/>
                <w:bCs/>
                <w:sz w:val="28"/>
                <w:sz w:val="28"/>
                <w:rtl w:val="true"/>
              </w:rPr>
              <w:t xml:space="preserve"> </w:t>
            </w:r>
            <w:r>
              <w:rPr>
                <w:b/>
                <w:b/>
                <w:bCs/>
                <w:sz w:val="28"/>
                <w:sz w:val="28"/>
                <w:rtl w:val="true"/>
              </w:rPr>
              <w:t>נשיא</w:t>
            </w:r>
          </w:p>
        </w:tc>
      </w:tr>
    </w:tbl>
    <w:p>
      <w:pPr>
        <w:pStyle w:val="Normal"/>
        <w:ind w:end="0"/>
        <w:jc w:val="center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sz w:val="28"/>
          <w:szCs w:val="28"/>
          <w:lang w:val="en-US" w:eastAsia="en-US"/>
        </w:rPr>
      </w:pPr>
      <w:r>
        <w:rPr>
          <w:rFonts w:ascii="Arial" w:hAnsi="Arial" w:cs="Arial"/>
          <w:b/>
          <w:b/>
          <w:bCs/>
          <w:sz w:val="28"/>
          <w:sz w:val="28"/>
          <w:szCs w:val="28"/>
          <w:u w:val="single"/>
          <w:rtl w:val="true"/>
          <w:lang w:val="en-US" w:eastAsia="en-US"/>
        </w:rPr>
        <w:t>הנשיא דוד חשין</w:t>
      </w:r>
      <w:r>
        <w:rPr>
          <w:rFonts w:cs="Arial" w:ascii="Arial" w:hAnsi="Arial"/>
          <w:sz w:val="28"/>
          <w:szCs w:val="28"/>
          <w:rtl w:val="true"/>
          <w:lang w:val="en-US" w:eastAsia="en-US"/>
        </w:rPr>
        <w:t xml:space="preserve">: 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אני מסכים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tbl>
      <w:tblPr>
        <w:bidiVisual w:val="true"/>
        <w:tblW w:w="239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92"/>
      </w:tblGrid>
      <w:tr>
        <w:trPr/>
        <w:tc>
          <w:tcPr>
            <w:tcW w:w="2392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</w:tc>
      </w:tr>
      <w:tr>
        <w:trPr/>
        <w:tc>
          <w:tcPr>
            <w:tcW w:w="2392" w:type="dxa"/>
            <w:tcBorders>
              <w:top w:val="single" w:sz="4" w:space="0" w:color="000000"/>
            </w:tcBorders>
          </w:tcPr>
          <w:p>
            <w:pPr>
              <w:pStyle w:val="Heading3"/>
              <w:spacing w:lineRule="auto" w:line="240" w:before="40" w:after="40"/>
              <w:ind w:hanging="0" w:start="0" w:end="0"/>
              <w:jc w:val="center"/>
              <w:rPr>
                <w:sz w:val="28"/>
              </w:rPr>
            </w:pPr>
            <w:r>
              <w:rPr>
                <w:sz w:val="28"/>
                <w:sz w:val="28"/>
                <w:rtl w:val="true"/>
              </w:rPr>
              <w:t>דוד</w:t>
            </w:r>
            <w:r>
              <w:rPr>
                <w:rFonts w:cs="Times New Roman"/>
                <w:sz w:val="28"/>
                <w:sz w:val="28"/>
                <w:rtl w:val="true"/>
              </w:rPr>
              <w:t xml:space="preserve"> </w:t>
            </w:r>
            <w:r>
              <w:rPr>
                <w:sz w:val="28"/>
                <w:sz w:val="28"/>
                <w:rtl w:val="true"/>
              </w:rPr>
              <w:t>חשין</w:t>
            </w:r>
            <w:r>
              <w:rPr>
                <w:sz w:val="28"/>
                <w:rtl w:val="true"/>
              </w:rPr>
              <w:t xml:space="preserve">, </w:t>
            </w:r>
            <w:r>
              <w:rPr>
                <w:sz w:val="28"/>
                <w:sz w:val="28"/>
                <w:rtl w:val="true"/>
              </w:rPr>
              <w:t>נשיא</w:t>
            </w:r>
          </w:p>
        </w:tc>
      </w:tr>
    </w:tbl>
    <w:p>
      <w:pPr>
        <w:pStyle w:val="Normal"/>
        <w:ind w:end="0"/>
        <w:jc w:val="center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sz w:val="28"/>
          <w:szCs w:val="28"/>
          <w:lang w:val="en-US" w:eastAsia="en-US"/>
        </w:rPr>
      </w:pPr>
      <w:r>
        <w:rPr>
          <w:rFonts w:cs="Arial" w:ascii="Arial" w:hAnsi="Arial"/>
          <w:sz w:val="28"/>
          <w:szCs w:val="28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sz w:val="28"/>
          <w:szCs w:val="28"/>
          <w:lang w:val="en-US" w:eastAsia="en-US"/>
        </w:rPr>
      </w:pPr>
      <w:r>
        <w:rPr>
          <w:rFonts w:ascii="Arial" w:hAnsi="Arial" w:cs="Arial"/>
          <w:b/>
          <w:b/>
          <w:bCs/>
          <w:sz w:val="28"/>
          <w:sz w:val="28"/>
          <w:szCs w:val="28"/>
          <w:u w:val="single"/>
          <w:rtl w:val="true"/>
          <w:lang w:val="en-US" w:eastAsia="en-US"/>
        </w:rPr>
        <w:t>השופט עודד שחם</w:t>
      </w:r>
      <w:r>
        <w:rPr>
          <w:rFonts w:cs="Arial" w:ascii="Arial" w:hAnsi="Arial"/>
          <w:sz w:val="28"/>
          <w:szCs w:val="28"/>
          <w:rtl w:val="true"/>
          <w:lang w:val="en-US" w:eastAsia="en-US"/>
        </w:rPr>
        <w:t xml:space="preserve">: 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אני מסכים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tbl>
      <w:tblPr>
        <w:bidiVisual w:val="true"/>
        <w:tblW w:w="24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00"/>
      </w:tblGrid>
      <w:tr>
        <w:trPr>
          <w:trHeight w:val="926" w:hRule="atLeast"/>
        </w:trPr>
        <w:tc>
          <w:tcPr>
            <w:tcW w:w="2400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/>
            </w:pPr>
            <w:r>
              <w:rPr>
                <w:rtl w:val="true"/>
              </w:rPr>
            </w:r>
          </w:p>
        </w:tc>
      </w:tr>
      <w:tr>
        <w:trPr>
          <w:trHeight w:val="592" w:hRule="atLeast"/>
        </w:trPr>
        <w:tc>
          <w:tcPr>
            <w:tcW w:w="2400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center" w:pos="1039" w:leader="none"/>
              </w:tabs>
              <w:spacing w:before="120" w:after="120"/>
              <w:ind w:end="0"/>
              <w:jc w:val="start"/>
              <w:rPr>
                <w:b/>
                <w:bCs/>
              </w:rPr>
            </w:pPr>
            <w:r>
              <w:rPr>
                <w:b/>
                <w:bCs/>
                <w:rtl w:val="true"/>
              </w:rPr>
              <w:tab/>
            </w:r>
            <w:r>
              <w:rPr>
                <w:b/>
                <w:b/>
                <w:bCs/>
                <w:rtl w:val="true"/>
              </w:rPr>
              <w:t>עודד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שחם</w:t>
            </w:r>
            <w:r>
              <w:rPr>
                <w:b/>
                <w:bCs/>
                <w:rtl w:val="true"/>
              </w:rPr>
              <w:t xml:space="preserve">, </w:t>
            </w:r>
            <w:r>
              <w:rPr>
                <w:b/>
                <w:b/>
                <w:bCs/>
                <w:rtl w:val="true"/>
              </w:rPr>
              <w:t>שופט</w:t>
            </w:r>
          </w:p>
        </w:tc>
      </w:tr>
    </w:tbl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sz w:val="28"/>
          <w:szCs w:val="28"/>
          <w:lang w:val="en-US" w:eastAsia="en-US"/>
        </w:rPr>
      </w:pPr>
      <w:r>
        <w:rPr>
          <w:rFonts w:cs="Arial" w:ascii="Arial" w:hAnsi="Arial"/>
          <w:sz w:val="28"/>
          <w:szCs w:val="28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b/>
          <w:bCs/>
          <w:lang w:val="en-US" w:eastAsia="en-US"/>
        </w:rPr>
      </w:pPr>
      <w:r>
        <w:rPr>
          <w:rFonts w:ascii="Arial" w:hAnsi="Arial" w:cs="Arial"/>
          <w:b/>
          <w:b/>
          <w:bCs/>
          <w:rtl w:val="true"/>
          <w:lang w:val="en-US" w:eastAsia="en-US"/>
        </w:rPr>
        <w:t>הוחלט כאמור בפסק דינו של השופט דרורי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b/>
          <w:bCs/>
          <w:color w:val="FFFFFF"/>
          <w:sz w:val="2"/>
          <w:szCs w:val="2"/>
          <w:lang w:val="en-US" w:eastAsia="en-US"/>
        </w:rPr>
      </w:pPr>
      <w:r>
        <w:rPr>
          <w:rFonts w:cs="Arial" w:ascii="Arial" w:hAnsi="Arial"/>
          <w:b/>
          <w:bCs/>
          <w:color w:val="FFFFFF"/>
          <w:sz w:val="2"/>
          <w:szCs w:val="2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b/>
          <w:bCs/>
          <w:lang w:val="en-US" w:eastAsia="en-US"/>
        </w:rPr>
      </w:pPr>
      <w:r>
        <w:rPr>
          <w:rFonts w:cs="Arial" w:ascii="Arial" w:hAnsi="Arial"/>
          <w:b/>
          <w:bCs/>
          <w:color w:val="FFFFFF"/>
          <w:sz w:val="2"/>
          <w:szCs w:val="2"/>
          <w:lang w:val="en-US" w:eastAsia="en-US"/>
        </w:rPr>
        <w:t>54678313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ניתן היום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ח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'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אייר תשע</w:t>
      </w:r>
      <w:r>
        <w:rPr>
          <w:rFonts w:cs="Arial" w:ascii="Arial" w:hAnsi="Arial"/>
          <w:b/>
          <w:bCs/>
          <w:rtl w:val="true"/>
          <w:lang w:val="en-US" w:eastAsia="en-US"/>
        </w:rPr>
        <w:t>"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ד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, </w:t>
      </w:r>
      <w:r>
        <w:rPr>
          <w:rFonts w:cs="Arial" w:ascii="Arial" w:hAnsi="Arial"/>
          <w:b/>
          <w:bCs/>
          <w:lang w:val="en-US" w:eastAsia="en-US"/>
        </w:rPr>
        <w:t>08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 xml:space="preserve">מאי </w:t>
      </w:r>
      <w:r>
        <w:rPr>
          <w:rFonts w:cs="Arial" w:ascii="Arial" w:hAnsi="Arial"/>
          <w:b/>
          <w:bCs/>
          <w:lang w:val="en-US" w:eastAsia="en-US"/>
        </w:rPr>
        <w:t>2014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בהיעדר הצדדים</w:t>
      </w:r>
      <w:r>
        <w:rPr>
          <w:rFonts w:cs="Arial" w:ascii="Arial" w:hAnsi="Arial"/>
          <w:b/>
          <w:bCs/>
          <w:rtl w:val="true"/>
          <w:lang w:val="en-US" w:eastAsia="en-US"/>
        </w:rPr>
        <w:t>.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color w:val="FFFFFF"/>
          <w:sz w:val="2"/>
          <w:szCs w:val="2"/>
          <w:lang w:val="en-US" w:eastAsia="en-US"/>
        </w:rPr>
      </w:pPr>
      <w:r>
        <w:rPr>
          <w:rFonts w:cs="Arial" w:ascii="Arial" w:hAnsi="Arial"/>
          <w:color w:val="FFFFFF"/>
          <w:sz w:val="2"/>
          <w:szCs w:val="2"/>
          <w:lang w:val="en-US" w:eastAsia="en-US"/>
        </w:rPr>
        <w:t>5129371</w:t>
      </w:r>
    </w:p>
    <w:tbl>
      <w:tblPr>
        <w:bidiVisual w:val="true"/>
        <w:tblW w:w="891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21"/>
        <w:gridCol w:w="280"/>
        <w:gridCol w:w="2709"/>
        <w:gridCol w:w="280"/>
        <w:gridCol w:w="2922"/>
      </w:tblGrid>
      <w:tr>
        <w:trPr>
          <w:trHeight w:val="461" w:hRule="atLeast"/>
        </w:trPr>
        <w:tc>
          <w:tcPr>
            <w:tcW w:w="2721" w:type="dxa"/>
            <w:tcBorders>
              <w:top w:val="single" w:sz="4" w:space="0" w:color="000000"/>
            </w:tcBorders>
          </w:tcPr>
          <w:p>
            <w:pPr>
              <w:pStyle w:val="Heading3"/>
              <w:spacing w:lineRule="auto" w:line="240" w:before="40" w:after="40"/>
              <w:ind w:hanging="0" w:start="0" w:end="0"/>
              <w:jc w:val="center"/>
              <w:rPr>
                <w:sz w:val="28"/>
              </w:rPr>
            </w:pPr>
            <w:r>
              <w:rPr>
                <w:sz w:val="28"/>
                <w:sz w:val="28"/>
                <w:rtl w:val="true"/>
              </w:rPr>
              <w:t>דוד</w:t>
            </w:r>
            <w:r>
              <w:rPr>
                <w:rFonts w:cs="Times New Roman"/>
                <w:sz w:val="28"/>
                <w:sz w:val="28"/>
                <w:rtl w:val="true"/>
              </w:rPr>
              <w:t xml:space="preserve"> </w:t>
            </w:r>
            <w:r>
              <w:rPr>
                <w:sz w:val="28"/>
                <w:sz w:val="28"/>
                <w:rtl w:val="true"/>
              </w:rPr>
              <w:t>חשין</w:t>
            </w:r>
            <w:r>
              <w:rPr>
                <w:sz w:val="28"/>
                <w:rtl w:val="true"/>
              </w:rPr>
              <w:t xml:space="preserve">, </w:t>
            </w:r>
            <w:r>
              <w:rPr>
                <w:sz w:val="28"/>
                <w:sz w:val="28"/>
                <w:rtl w:val="true"/>
              </w:rPr>
              <w:t>נשיא</w:t>
            </w:r>
          </w:p>
        </w:tc>
        <w:tc>
          <w:tcPr>
            <w:tcW w:w="280" w:type="dxa"/>
            <w:tcBorders/>
          </w:tcPr>
          <w:p>
            <w:pPr>
              <w:pStyle w:val="Normal"/>
              <w:snapToGrid w:val="false"/>
              <w:spacing w:before="40" w:after="40"/>
              <w:ind w:end="0"/>
              <w:jc w:val="center"/>
              <w:rPr>
                <w:b/>
                <w:bCs/>
                <w:color w:val="FF0000"/>
                <w:sz w:val="28"/>
              </w:rPr>
            </w:pPr>
            <w:r>
              <w:rPr>
                <w:b/>
                <w:bCs/>
                <w:color w:val="FF0000"/>
                <w:sz w:val="28"/>
                <w:rtl w:val="true"/>
              </w:rPr>
            </w:r>
          </w:p>
        </w:tc>
        <w:tc>
          <w:tcPr>
            <w:tcW w:w="2709" w:type="dxa"/>
            <w:tcBorders>
              <w:top w:val="single" w:sz="4" w:space="0" w:color="000000"/>
            </w:tcBorders>
          </w:tcPr>
          <w:p>
            <w:pPr>
              <w:pStyle w:val="Heading3"/>
              <w:spacing w:before="40" w:after="40"/>
              <w:ind w:hanging="0" w:start="0" w:end="0"/>
              <w:jc w:val="center"/>
              <w:rPr>
                <w:sz w:val="28"/>
              </w:rPr>
            </w:pPr>
            <w:r>
              <w:rPr>
                <w:sz w:val="28"/>
                <w:sz w:val="28"/>
                <w:rtl w:val="true"/>
              </w:rPr>
              <w:t>משה</w:t>
            </w:r>
            <w:r>
              <w:rPr>
                <w:rFonts w:cs="Times New Roman"/>
                <w:sz w:val="28"/>
                <w:sz w:val="28"/>
                <w:rtl w:val="true"/>
              </w:rPr>
              <w:t xml:space="preserve"> </w:t>
            </w:r>
            <w:r>
              <w:rPr>
                <w:sz w:val="28"/>
                <w:sz w:val="28"/>
                <w:rtl w:val="true"/>
              </w:rPr>
              <w:t>דרורי</w:t>
            </w:r>
            <w:r>
              <w:rPr>
                <w:sz w:val="28"/>
                <w:rtl w:val="true"/>
              </w:rPr>
              <w:t xml:space="preserve">, </w:t>
            </w:r>
            <w:r>
              <w:rPr>
                <w:sz w:val="28"/>
                <w:sz w:val="28"/>
                <w:rtl w:val="true"/>
              </w:rPr>
              <w:t>סגן</w:t>
            </w:r>
            <w:r>
              <w:rPr>
                <w:rFonts w:cs="Times New Roman"/>
                <w:sz w:val="28"/>
                <w:sz w:val="28"/>
                <w:rtl w:val="true"/>
              </w:rPr>
              <w:t xml:space="preserve"> </w:t>
            </w:r>
            <w:r>
              <w:rPr>
                <w:sz w:val="28"/>
                <w:sz w:val="28"/>
                <w:rtl w:val="true"/>
              </w:rPr>
              <w:t>נשיא</w:t>
            </w:r>
          </w:p>
        </w:tc>
        <w:tc>
          <w:tcPr>
            <w:tcW w:w="280" w:type="dxa"/>
            <w:tcBorders/>
          </w:tcPr>
          <w:p>
            <w:pPr>
              <w:pStyle w:val="Normal"/>
              <w:snapToGrid w:val="false"/>
              <w:spacing w:before="40" w:after="40"/>
              <w:ind w:end="0"/>
              <w:jc w:val="center"/>
              <w:rPr>
                <w:b/>
                <w:bCs/>
                <w:color w:val="FF0000"/>
                <w:sz w:val="28"/>
              </w:rPr>
            </w:pPr>
            <w:r>
              <w:rPr>
                <w:b/>
                <w:bCs/>
                <w:color w:val="FF0000"/>
                <w:sz w:val="28"/>
                <w:rtl w:val="true"/>
              </w:rPr>
            </w:r>
          </w:p>
        </w:tc>
        <w:tc>
          <w:tcPr>
            <w:tcW w:w="2922" w:type="dxa"/>
            <w:tcBorders>
              <w:top w:val="single" w:sz="4" w:space="0" w:color="000000"/>
            </w:tcBorders>
          </w:tcPr>
          <w:p>
            <w:pPr>
              <w:pStyle w:val="Normal"/>
              <w:spacing w:before="40" w:after="40"/>
              <w:ind w:end="0"/>
              <w:jc w:val="center"/>
              <w:rPr>
                <w:b/>
                <w:bCs/>
                <w:sz w:val="28"/>
              </w:rPr>
            </w:pPr>
            <w:r>
              <w:rPr>
                <w:b/>
                <w:b/>
                <w:bCs/>
                <w:rtl w:val="true"/>
              </w:rPr>
              <w:t>עודד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שחם</w:t>
            </w:r>
            <w:r>
              <w:rPr>
                <w:b/>
                <w:bCs/>
                <w:rtl w:val="true"/>
              </w:rPr>
              <w:t xml:space="preserve">, </w:t>
            </w:r>
            <w:r>
              <w:rPr>
                <w:b/>
                <w:b/>
                <w:bCs/>
                <w:rtl w:val="true"/>
              </w:rPr>
              <w:t>שופט</w:t>
            </w:r>
          </w:p>
        </w:tc>
      </w:tr>
    </w:tbl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Normal"/>
        <w:keepNext w:val="true"/>
        <w:ind w:end="0"/>
        <w:jc w:val="start"/>
        <w:rPr>
          <w:rFonts w:ascii="David" w:hAnsi="David" w:cs="David"/>
          <w:color w:val="000000"/>
          <w:sz w:val="22"/>
          <w:szCs w:val="22"/>
        </w:rPr>
      </w:pPr>
      <w:r>
        <w:rPr>
          <w:rFonts w:cs="David" w:ascii="David" w:hAnsi="David"/>
          <w:color w:val="000000"/>
          <w:sz w:val="22"/>
          <w:szCs w:val="22"/>
          <w:rtl w:val="true"/>
        </w:rPr>
      </w:r>
    </w:p>
    <w:p>
      <w:pPr>
        <w:pStyle w:val="Normal"/>
        <w:keepNext w:val="true"/>
        <w:ind w:end="0"/>
        <w:jc w:val="start"/>
        <w:rPr>
          <w:rFonts w:ascii="David" w:hAnsi="David" w:cs="David"/>
          <w:color w:val="000000"/>
          <w:sz w:val="22"/>
          <w:szCs w:val="22"/>
        </w:rPr>
      </w:pPr>
      <w:r>
        <w:rPr>
          <w:rFonts w:ascii="David" w:hAnsi="David"/>
          <w:color w:val="000000"/>
          <w:sz w:val="22"/>
          <w:sz w:val="22"/>
          <w:szCs w:val="22"/>
          <w:rtl w:val="true"/>
        </w:rPr>
        <w:t xml:space="preserve">דוד חשין </w:t>
      </w:r>
      <w:r>
        <w:rPr>
          <w:rFonts w:cs="David" w:ascii="David" w:hAnsi="David"/>
          <w:color w:val="000000"/>
          <w:sz w:val="22"/>
          <w:szCs w:val="22"/>
        </w:rPr>
        <w:t>54678313</w:t>
      </w:r>
    </w:p>
    <w:p>
      <w:pPr>
        <w:pStyle w:val="Normal"/>
        <w:ind w:end="0"/>
        <w:jc w:val="start"/>
        <w:rPr>
          <w:color w:val="000000"/>
        </w:rPr>
      </w:pPr>
      <w:r>
        <w:rPr>
          <w:color w:val="000000"/>
          <w:rtl w:val="true"/>
        </w:rPr>
        <w:t>נוסח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מסמך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זה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כפוף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לשינויי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ניסוח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ועריכה</w:t>
      </w:r>
    </w:p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Normal"/>
        <w:ind w:end="0"/>
        <w:jc w:val="center"/>
        <w:rPr>
          <w:color w:val="0000FF"/>
          <w:u w:val="single"/>
        </w:rPr>
      </w:pPr>
      <w:hyperlink r:id="rId47">
        <w:r>
          <w:rPr>
            <w:rStyle w:val="Hyperlink"/>
            <w:color w:val="0000FF"/>
            <w:u w:val="single"/>
            <w:rtl w:val="true"/>
          </w:rPr>
          <w:t>בעניין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עריכה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ושינויים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במסמכי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פסיקה</w:t>
        </w:r>
        <w:r>
          <w:rPr>
            <w:rStyle w:val="Hyperlink"/>
            <w:color w:val="0000FF"/>
            <w:u w:val="single"/>
            <w:rtl w:val="true"/>
          </w:rPr>
          <w:t xml:space="preserve">, </w:t>
        </w:r>
        <w:r>
          <w:rPr>
            <w:rStyle w:val="Hyperlink"/>
            <w:color w:val="0000FF"/>
            <w:u w:val="single"/>
            <w:rtl w:val="true"/>
          </w:rPr>
          <w:t>חקיקה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ועוד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באתר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נבו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–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הקש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כאן</w:t>
        </w:r>
      </w:hyperlink>
    </w:p>
    <w:p>
      <w:pPr>
        <w:pStyle w:val="Normal"/>
        <w:ind w:end="0"/>
        <w:jc w:val="center"/>
        <w:rPr>
          <w:color w:val="0000FF"/>
          <w:u w:val="single"/>
        </w:rPr>
      </w:pPr>
      <w:r>
        <w:rPr>
          <w:color w:val="0000FF"/>
          <w:u w:val="single"/>
          <w:rtl w:val="true"/>
        </w:rPr>
      </w:r>
    </w:p>
    <w:sectPr>
      <w:headerReference w:type="default" r:id="rId48"/>
      <w:footerReference w:type="default" r:id="rId49"/>
      <w:type w:val="nextPage"/>
      <w:pgSz w:w="11906" w:h="16838"/>
      <w:pgMar w:left="1701" w:right="1701" w:gutter="0" w:header="720" w:top="1701" w:footer="737" w:bottom="1134"/>
      <w:pgNumType w:start="1" w:fmt="decimal"/>
      <w:formProt w:val="false"/>
      <w:textDirection w:val="lrTb"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FrankRuehl">
    <w:charset w:val="b1" w:characterSet="windows-1255"/>
    <w:family w:val="swiss"/>
    <w:pitch w:val="variable"/>
  </w:font>
  <w:font w:name="David">
    <w:charset w:val="b1" w:characterSet="windows-1255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Style w:val="PageNumber"/>
        <w:rFonts w:ascii="FrankRuehl" w:hAnsi="FrankRuehl" w:cs="FrankRuehl"/>
      </w:rPr>
    </w:pPr>
    <w:r>
      <w:rPr>
        <w:rStyle w:val="PageNumber"/>
        <w:rFonts w:cs="FrankRuehl" w:ascii="FrankRuehl" w:hAnsi="FrankRuehl"/>
        <w:rtl w:val="true"/>
      </w:rPr>
      <w:fldChar w:fldCharType="begin"/>
    </w:r>
    <w:r>
      <w:rPr>
        <w:rtl w:val="true"/>
        <w:rStyle w:val="PageNumber"/>
        <w:rFonts w:cs="FrankRuehl" w:ascii="FrankRuehl" w:hAnsi="FrankRuehl"/>
      </w:rPr>
      <w:instrText xml:space="preserve"> PAGE </w:instrText>
    </w:r>
    <w:r>
      <w:rPr>
        <w:rtl w:val="true"/>
        <w:rStyle w:val="PageNumber"/>
        <w:rFonts w:cs="FrankRuehl" w:ascii="FrankRuehl" w:hAnsi="FrankRuehl"/>
      </w:rPr>
      <w:fldChar w:fldCharType="separate"/>
    </w:r>
    <w:r>
      <w:rPr>
        <w:rtl w:val="true"/>
        <w:rStyle w:val="PageNumber"/>
        <w:rFonts w:cs="FrankRuehl" w:ascii="FrankRuehl" w:hAnsi="FrankRuehl"/>
      </w:rPr>
      <w:t>14</w:t>
    </w:r>
    <w:r>
      <w:rPr>
        <w:rtl w:val="true"/>
        <w:rStyle w:val="PageNumber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/>
    </w:pPr>
    <w:r>
      <w:rPr>
        <w:rStyle w:val="PageNumber"/>
        <w:rFonts w:cs="FrankRuehl" w:ascii="FrankRuehl" w:hAnsi="FrankRuehl"/>
        <w:color w:val="000000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720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/>
        <w:color w:val="000000"/>
        <w:sz w:val="22"/>
        <w:sz w:val="22"/>
        <w:szCs w:val="22"/>
        <w:rtl w:val="true"/>
      </w:rPr>
      <w:t xml:space="preserve">עפג </w:t>
    </w:r>
    <w:r>
      <w:rPr>
        <w:rFonts w:cs="David" w:ascii="David" w:hAnsi="David"/>
        <w:color w:val="000000"/>
        <w:sz w:val="22"/>
        <w:szCs w:val="22"/>
        <w:rtl w:val="true"/>
      </w:rPr>
      <w:t>(</w:t>
    </w:r>
    <w:r>
      <w:rPr>
        <w:rFonts w:ascii="David" w:hAnsi="David"/>
        <w:color w:val="000000"/>
        <w:sz w:val="22"/>
        <w:sz w:val="22"/>
        <w:szCs w:val="22"/>
        <w:rtl w:val="true"/>
      </w:rPr>
      <w:t>י</w:t>
    </w:r>
    <w:r>
      <w:rPr>
        <w:rFonts w:cs="David" w:ascii="David" w:hAnsi="David"/>
        <w:color w:val="000000"/>
        <w:sz w:val="22"/>
        <w:szCs w:val="22"/>
        <w:rtl w:val="true"/>
      </w:rPr>
      <w:t>-</w:t>
    </w:r>
    <w:r>
      <w:rPr>
        <w:rFonts w:ascii="David" w:hAnsi="David"/>
        <w:color w:val="000000"/>
        <w:sz w:val="22"/>
        <w:sz w:val="22"/>
        <w:szCs w:val="22"/>
        <w:rtl w:val="true"/>
      </w:rPr>
      <w:t>ם</w:t>
    </w:r>
    <w:r>
      <w:rPr>
        <w:rFonts w:cs="David" w:ascii="David" w:hAnsi="David"/>
        <w:color w:val="000000"/>
        <w:sz w:val="22"/>
        <w:szCs w:val="22"/>
        <w:rtl w:val="true"/>
      </w:rPr>
      <w:t xml:space="preserve">) </w:t>
    </w:r>
    <w:r>
      <w:rPr>
        <w:rFonts w:cs="David" w:ascii="David" w:hAnsi="David"/>
        <w:color w:val="000000"/>
        <w:sz w:val="22"/>
        <w:szCs w:val="22"/>
      </w:rPr>
      <w:t>59106-03-14</w:t>
    </w:r>
    <w:r>
      <w:rPr>
        <w:rFonts w:cs="David" w:ascii="David" w:hAnsi="David"/>
        <w:color w:val="000000"/>
        <w:sz w:val="22"/>
        <w:szCs w:val="22"/>
        <w:rtl w:val="true"/>
      </w:rPr>
      <w:tab/>
      <w:t xml:space="preserve"> </w:t>
    </w:r>
    <w:r>
      <w:rPr>
        <w:rFonts w:ascii="David" w:hAnsi="David"/>
        <w:color w:val="000000"/>
        <w:sz w:val="22"/>
        <w:sz w:val="22"/>
        <w:szCs w:val="22"/>
        <w:rtl w:val="true"/>
      </w:rPr>
      <w:t>מדינת ישראל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/>
        <w:color w:val="000000"/>
        <w:sz w:val="22"/>
        <w:sz w:val="22"/>
        <w:szCs w:val="22"/>
        <w:rtl w:val="true"/>
      </w:rPr>
      <w:t>מחמוד סליימה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</w:pPr>
    <w:rPr>
      <w:rFonts w:ascii="Times New Roman" w:hAnsi="Times New Roman" w:eastAsia="Times New Roman" w:cs="David"/>
      <w:color w:val="auto"/>
      <w:sz w:val="24"/>
      <w:szCs w:val="24"/>
      <w:lang w:val="en-US" w:eastAsia="en-IL" w:bidi="he-IL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lineRule="auto" w:line="360"/>
      <w:jc w:val="both"/>
      <w:outlineLvl w:val="2"/>
    </w:pPr>
    <w:rPr>
      <w:b/>
      <w:bCs/>
      <w:sz w:val="20"/>
    </w:rPr>
  </w:style>
  <w:style w:type="character" w:styleId="WW8Num1z0">
    <w:name w:val="WW8Num1z0"/>
    <w:qFormat/>
    <w:rPr>
      <w:rFonts w:ascii="Times New Roman" w:hAnsi="Times New Roman" w:eastAsia="Times New Roman" w:cs="David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3">
    <w:name w:val="כותרת 3 תו"/>
    <w:basedOn w:val="DefaultParagraphFont"/>
    <w:qFormat/>
    <w:rPr>
      <w:rFonts w:cs="David"/>
      <w:b/>
      <w:bCs/>
      <w:szCs w:val="24"/>
      <w:lang w:val="en-US" w:eastAsia="en-IL" w:bidi="he-IL"/>
    </w:rPr>
  </w:style>
  <w:style w:type="character" w:styleId="LineNumber">
    <w:name w:val="line number"/>
    <w:basedOn w:val="DefaultParagraphFont"/>
    <w:rPr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P00">
    <w:name w:val="P00"/>
    <w:basedOn w:val="Normal"/>
    <w:qFormat/>
    <w:pPr>
      <w:autoSpaceDE w:val="false"/>
      <w:spacing w:before="60" w:after="0"/>
      <w:ind w:hanging="0" w:start="2835" w:end="0"/>
      <w:jc w:val="both"/>
    </w:pPr>
    <w:rPr>
      <w:rFonts w:eastAsia="Calibri" w:cs="Times New Roman"/>
      <w:sz w:val="20"/>
      <w:szCs w:val="20"/>
    </w:rPr>
  </w:style>
  <w:style w:type="paragraph" w:styleId="Style13">
    <w:name w:val="פיסקת רשימה"/>
    <w:basedOn w:val="Normal"/>
    <w:qFormat/>
    <w:pPr>
      <w:spacing w:before="0" w:after="0"/>
      <w:ind w:hanging="0" w:start="720" w:end="0"/>
      <w:contextualSpacing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law/4216" TargetMode="External"/><Relationship Id="rId3" Type="http://schemas.openxmlformats.org/officeDocument/2006/relationships/hyperlink" Target="http://www.nevo.co.il/law/4216/13" TargetMode="External"/><Relationship Id="rId4" Type="http://schemas.openxmlformats.org/officeDocument/2006/relationships/hyperlink" Target="http://www.nevo.co.il/law/4216/19a" TargetMode="External"/><Relationship Id="rId5" Type="http://schemas.openxmlformats.org/officeDocument/2006/relationships/hyperlink" Target="http://www.nevo.co.il/law/70301" TargetMode="External"/><Relationship Id="rId6" Type="http://schemas.openxmlformats.org/officeDocument/2006/relationships/hyperlink" Target="http://www.nevo.co.il/law/70301/40c" TargetMode="External"/><Relationship Id="rId7" Type="http://schemas.openxmlformats.org/officeDocument/2006/relationships/hyperlink" Target="http://www.nevo.co.il/law/70301/40c.a" TargetMode="External"/><Relationship Id="rId8" Type="http://schemas.openxmlformats.org/officeDocument/2006/relationships/hyperlink" Target="http://www.nevo.co.il/law/70301/40c.b" TargetMode="External"/><Relationship Id="rId9" Type="http://schemas.openxmlformats.org/officeDocument/2006/relationships/hyperlink" Target="http://www.nevo.co.il/law/70301/40e" TargetMode="External"/><Relationship Id="rId10" Type="http://schemas.openxmlformats.org/officeDocument/2006/relationships/hyperlink" Target="http://www.nevo.co.il/law/70301/40f" TargetMode="External"/><Relationship Id="rId11" Type="http://schemas.openxmlformats.org/officeDocument/2006/relationships/hyperlink" Target="http://www.nevo.co.il/law/70301/40g" TargetMode="External"/><Relationship Id="rId12" Type="http://schemas.openxmlformats.org/officeDocument/2006/relationships/hyperlink" Target="http://www.nevo.co.il/law/70301/40i" TargetMode="External"/><Relationship Id="rId13" Type="http://schemas.openxmlformats.org/officeDocument/2006/relationships/hyperlink" Target="http://www.nevo.co.il/law/70301/40i.a.1" TargetMode="External"/><Relationship Id="rId14" Type="http://schemas.openxmlformats.org/officeDocument/2006/relationships/hyperlink" Target="http://www.nevo.co.il/law/70301/40i.a.2" TargetMode="External"/><Relationship Id="rId15" Type="http://schemas.openxmlformats.org/officeDocument/2006/relationships/hyperlink" Target="http://www.nevo.co.il/law/70301/40ja" TargetMode="External"/><Relationship Id="rId16" Type="http://schemas.openxmlformats.org/officeDocument/2006/relationships/hyperlink" Target="http://www.nevo.co.il/law/70301/40jc" TargetMode="External"/><Relationship Id="rId17" Type="http://schemas.openxmlformats.org/officeDocument/2006/relationships/hyperlink" Target="http://www.nevo.co.il/law/70301/40jc.b" TargetMode="External"/><Relationship Id="rId18" Type="http://schemas.openxmlformats.org/officeDocument/2006/relationships/hyperlink" Target="http://www.nevo.co.il/law/70301/40jc.c" TargetMode="External"/><Relationship Id="rId19" Type="http://schemas.openxmlformats.org/officeDocument/2006/relationships/hyperlink" Target="http://www.nevo.co.il/case/7028418" TargetMode="External"/><Relationship Id="rId20" Type="http://schemas.openxmlformats.org/officeDocument/2006/relationships/hyperlink" Target="http://www.nevo.co.il/case/7028449" TargetMode="External"/><Relationship Id="rId21" Type="http://schemas.openxmlformats.org/officeDocument/2006/relationships/hyperlink" Target="http://www.nevo.co.il/law/4216/13" TargetMode="External"/><Relationship Id="rId22" Type="http://schemas.openxmlformats.org/officeDocument/2006/relationships/hyperlink" Target="http://www.nevo.co.il/law/4216/19a" TargetMode="External"/><Relationship Id="rId23" Type="http://schemas.openxmlformats.org/officeDocument/2006/relationships/hyperlink" Target="http://www.nevo.co.il/law/4216" TargetMode="External"/><Relationship Id="rId24" Type="http://schemas.openxmlformats.org/officeDocument/2006/relationships/hyperlink" Target="http://www.nevo.co.il/law/70301/40c.a" TargetMode="External"/><Relationship Id="rId25" Type="http://schemas.openxmlformats.org/officeDocument/2006/relationships/hyperlink" Target="http://www.nevo.co.il/law/70301" TargetMode="External"/><Relationship Id="rId26" Type="http://schemas.openxmlformats.org/officeDocument/2006/relationships/hyperlink" Target="http://www.nevo.co.il/law/70301/40i" TargetMode="External"/><Relationship Id="rId27" Type="http://schemas.openxmlformats.org/officeDocument/2006/relationships/hyperlink" Target="http://www.nevo.co.il/law/70301/40c" TargetMode="External"/><Relationship Id="rId28" Type="http://schemas.openxmlformats.org/officeDocument/2006/relationships/hyperlink" Target="http://www.nevo.co.il/law/70301/40i" TargetMode="External"/><Relationship Id="rId29" Type="http://schemas.openxmlformats.org/officeDocument/2006/relationships/hyperlink" Target="http://www.nevo.co.il/law/70301/40i.a.1" TargetMode="External"/><Relationship Id="rId30" Type="http://schemas.openxmlformats.org/officeDocument/2006/relationships/hyperlink" Target="http://www.nevo.co.il/law/70301/40i.a.2" TargetMode="External"/><Relationship Id="rId31" Type="http://schemas.openxmlformats.org/officeDocument/2006/relationships/hyperlink" Target="http://www.nevo.co.il/law/4216/19a" TargetMode="External"/><Relationship Id="rId32" Type="http://schemas.openxmlformats.org/officeDocument/2006/relationships/hyperlink" Target="http://www.nevo.co.il/law/4216" TargetMode="External"/><Relationship Id="rId33" Type="http://schemas.openxmlformats.org/officeDocument/2006/relationships/hyperlink" Target="http://www.nevo.co.il/law/70301/40jc" TargetMode="External"/><Relationship Id="rId34" Type="http://schemas.openxmlformats.org/officeDocument/2006/relationships/hyperlink" Target="http://www.nevo.co.il/law/70301" TargetMode="External"/><Relationship Id="rId35" Type="http://schemas.openxmlformats.org/officeDocument/2006/relationships/hyperlink" Target="http://www.nevo.co.il/law/70301/40jc.b" TargetMode="External"/><Relationship Id="rId36" Type="http://schemas.openxmlformats.org/officeDocument/2006/relationships/hyperlink" Target="http://www.nevo.co.il/law/70301/40jc.b" TargetMode="External"/><Relationship Id="rId37" Type="http://schemas.openxmlformats.org/officeDocument/2006/relationships/hyperlink" Target="http://www.nevo.co.il/law/70301/40jc.c" TargetMode="External"/><Relationship Id="rId38" Type="http://schemas.openxmlformats.org/officeDocument/2006/relationships/hyperlink" Target="http://www.nevo.co.il/law/70301/40jc" TargetMode="External"/><Relationship Id="rId39" Type="http://schemas.openxmlformats.org/officeDocument/2006/relationships/hyperlink" Target="http://www.nevo.co.il/law/70301/40ja" TargetMode="External"/><Relationship Id="rId40" Type="http://schemas.openxmlformats.org/officeDocument/2006/relationships/hyperlink" Target="http://www.nevo.co.il/law/70301/40c.b" TargetMode="External"/><Relationship Id="rId41" Type="http://schemas.openxmlformats.org/officeDocument/2006/relationships/hyperlink" Target="http://www.nevo.co.il/law/70301/40e" TargetMode="External"/><Relationship Id="rId42" Type="http://schemas.openxmlformats.org/officeDocument/2006/relationships/hyperlink" Target="http://www.nevo.co.il/law/70301/40f" TargetMode="External"/><Relationship Id="rId43" Type="http://schemas.openxmlformats.org/officeDocument/2006/relationships/hyperlink" Target="http://www.nevo.co.il/law/70301/40g" TargetMode="External"/><Relationship Id="rId44" Type="http://schemas.openxmlformats.org/officeDocument/2006/relationships/hyperlink" Target="http://www.nevo.co.il/law/70301/40f" TargetMode="External"/><Relationship Id="rId45" Type="http://schemas.openxmlformats.org/officeDocument/2006/relationships/hyperlink" Target="http://www.nevo.co.il/law/70301/40jc.c" TargetMode="External"/><Relationship Id="rId46" Type="http://schemas.openxmlformats.org/officeDocument/2006/relationships/hyperlink" Target="http://www.nevo.co.il/law/70301/40jc.c" TargetMode="External"/><Relationship Id="rId47" Type="http://schemas.openxmlformats.org/officeDocument/2006/relationships/hyperlink" Target="http://www.nevo.co.il/advertisements/nevo-100.doc" TargetMode="External"/><Relationship Id="rId48" Type="http://schemas.openxmlformats.org/officeDocument/2006/relationships/header" Target="header1.xml"/><Relationship Id="rId49" Type="http://schemas.openxmlformats.org/officeDocument/2006/relationships/footer" Target="footer1.xml"/><Relationship Id="rId50" Type="http://schemas.openxmlformats.org/officeDocument/2006/relationships/numbering" Target="numbering.xml"/><Relationship Id="rId51" Type="http://schemas.openxmlformats.org/officeDocument/2006/relationships/fontTable" Target="fontTable.xml"/><Relationship Id="rId52" Type="http://schemas.openxmlformats.org/officeDocument/2006/relationships/settings" Target="settings.xml"/><Relationship Id="rId53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3</TotalTime>
  <Application>LibreOffice/25.2.2.2$MacOSX_AARCH64 LibreOffice_project/7370d4be9e3cf6031a51beef54ff3bda878e3fac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2014-05-12T11:17:00Z</dcterms:created>
  <dc:creator> </dc:creator>
  <dc:description/>
  <cp:keywords/>
  <dc:language>en-IL</dc:language>
  <cp:lastModifiedBy>orly</cp:lastModifiedBy>
  <dcterms:modified xsi:type="dcterms:W3CDTF">2014-05-18T15:13:00Z</dcterms:modified>
  <cp:revision>4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מדינת ישראל</vt:lpwstr>
  </property>
  <property fmtid="{D5CDD505-2E9C-101B-9397-08002B2CF9AE}" pid="3" name="APPELLANT1">
    <vt:lpwstr/>
  </property>
  <property fmtid="{D5CDD505-2E9C-101B-9397-08002B2CF9AE}" pid="4" name="APPELLANT2">
    <vt:lpwstr/>
  </property>
  <property fmtid="{D5CDD505-2E9C-101B-9397-08002B2CF9AE}" pid="5" name="APPELLEE">
    <vt:lpwstr>מחמוד סליימה</vt:lpwstr>
  </property>
  <property fmtid="{D5CDD505-2E9C-101B-9397-08002B2CF9AE}" pid="6" name="APPELLEE1">
    <vt:lpwstr/>
  </property>
  <property fmtid="{D5CDD505-2E9C-101B-9397-08002B2CF9AE}" pid="7" name="APPELLEE2">
    <vt:lpwstr/>
  </property>
  <property fmtid="{D5CDD505-2E9C-101B-9397-08002B2CF9AE}" pid="8" name="CASENOTES1">
    <vt:lpwstr>ProcID=213&amp;PartA=12&amp;PartC=13</vt:lpwstr>
  </property>
  <property fmtid="{D5CDD505-2E9C-101B-9397-08002B2CF9AE}" pid="9" name="CASENOTES2">
    <vt:lpwstr>ProcID=213&amp;PartA=17&amp;PartC=18</vt:lpwstr>
  </property>
  <property fmtid="{D5CDD505-2E9C-101B-9397-08002B2CF9AE}" pid="10" name="CASENOTES3">
    <vt:lpwstr>ProcID=213&amp;PartA=20&amp;PartC=22</vt:lpwstr>
  </property>
  <property fmtid="{D5CDD505-2E9C-101B-9397-08002B2CF9AE}" pid="11" name="CASENOTES4">
    <vt:lpwstr>ProcID=213&amp;PartA=19&amp;PartC=20</vt:lpwstr>
  </property>
  <property fmtid="{D5CDD505-2E9C-101B-9397-08002B2CF9AE}" pid="12" name="CASENOTES5">
    <vt:lpwstr>ProcID=213&amp;PartA=22&amp;PartC=25</vt:lpwstr>
  </property>
  <property fmtid="{D5CDD505-2E9C-101B-9397-08002B2CF9AE}" pid="13" name="CASENOTES6">
    <vt:lpwstr>ProcID=213&amp;PartA=27&amp;PartC=28</vt:lpwstr>
  </property>
  <property fmtid="{D5CDD505-2E9C-101B-9397-08002B2CF9AE}" pid="14" name="CASENOTES7">
    <vt:lpwstr>ProcID=213&amp;PartA=17&amp;PartC=19</vt:lpwstr>
  </property>
  <property fmtid="{D5CDD505-2E9C-101B-9397-08002B2CF9AE}" pid="15" name="CASENOTES8">
    <vt:lpwstr>ProcID=213&amp;PartA=21&amp;PartC=23</vt:lpwstr>
  </property>
  <property fmtid="{D5CDD505-2E9C-101B-9397-08002B2CF9AE}" pid="16" name="CASESLISTTMP1">
    <vt:lpwstr>7028418;7028449</vt:lpwstr>
  </property>
  <property fmtid="{D5CDD505-2E9C-101B-9397-08002B2CF9AE}" pid="17" name="CITY">
    <vt:lpwstr>י-ם</vt:lpwstr>
  </property>
  <property fmtid="{D5CDD505-2E9C-101B-9397-08002B2CF9AE}" pid="18" name="DATE">
    <vt:lpwstr>20140508</vt:lpwstr>
  </property>
  <property fmtid="{D5CDD505-2E9C-101B-9397-08002B2CF9AE}" pid="19" name="DELEMATA">
    <vt:lpwstr/>
  </property>
  <property fmtid="{D5CDD505-2E9C-101B-9397-08002B2CF9AE}" pid="20" name="ISABSTRACT">
    <vt:lpwstr>Y</vt:lpwstr>
  </property>
  <property fmtid="{D5CDD505-2E9C-101B-9397-08002B2CF9AE}" pid="21" name="JUDGE">
    <vt:lpwstr>דוד חשין;משה דרורי;עודד שחם</vt:lpwstr>
  </property>
  <property fmtid="{D5CDD505-2E9C-101B-9397-08002B2CF9AE}" pid="22" name="LAWLISTTMP1">
    <vt:lpwstr>4216/013;019a:2</vt:lpwstr>
  </property>
  <property fmtid="{D5CDD505-2E9C-101B-9397-08002B2CF9AE}" pid="23" name="LAWLISTTMP2">
    <vt:lpwstr>70301/040c.a;040i:2;040c;040i.a.1;040i.a.2;40jc:2;40jc.b:2;40jc.c:3;40ja;040c.b;040e;040f:2;040g</vt:lpwstr>
  </property>
  <property fmtid="{D5CDD505-2E9C-101B-9397-08002B2CF9AE}" pid="24" name="LAWYER">
    <vt:lpwstr>ענת גרינבאום;מוסטפא יחיא</vt:lpwstr>
  </property>
  <property fmtid="{D5CDD505-2E9C-101B-9397-08002B2CF9AE}" pid="25" name="LINKK1">
    <vt:lpwstr/>
  </property>
  <property fmtid="{D5CDD505-2E9C-101B-9397-08002B2CF9AE}" pid="26" name="LINKK2">
    <vt:lpwstr/>
  </property>
  <property fmtid="{D5CDD505-2E9C-101B-9397-08002B2CF9AE}" pid="27" name="LINKK3">
    <vt:lpwstr/>
  </property>
  <property fmtid="{D5CDD505-2E9C-101B-9397-08002B2CF9AE}" pid="28" name="LINKK4">
    <vt:lpwstr/>
  </property>
  <property fmtid="{D5CDD505-2E9C-101B-9397-08002B2CF9AE}" pid="29" name="LINKK5">
    <vt:lpwstr/>
  </property>
  <property fmtid="{D5CDD505-2E9C-101B-9397-08002B2CF9AE}" pid="30" name="METAKZER">
    <vt:lpwstr>מיכל</vt:lpwstr>
  </property>
  <property fmtid="{D5CDD505-2E9C-101B-9397-08002B2CF9AE}" pid="31" name="NEWPARTA">
    <vt:lpwstr>59106</vt:lpwstr>
  </property>
  <property fmtid="{D5CDD505-2E9C-101B-9397-08002B2CF9AE}" pid="32" name="NEWPARTB">
    <vt:lpwstr>03</vt:lpwstr>
  </property>
  <property fmtid="{D5CDD505-2E9C-101B-9397-08002B2CF9AE}" pid="33" name="NEWPARTC">
    <vt:lpwstr>14</vt:lpwstr>
  </property>
  <property fmtid="{D5CDD505-2E9C-101B-9397-08002B2CF9AE}" pid="34" name="NEWPROC">
    <vt:lpwstr>עפג</vt:lpwstr>
  </property>
  <property fmtid="{D5CDD505-2E9C-101B-9397-08002B2CF9AE}" pid="35" name="NOSE11">
    <vt:lpwstr>עונשין</vt:lpwstr>
  </property>
  <property fmtid="{D5CDD505-2E9C-101B-9397-08002B2CF9AE}" pid="36" name="NOSE110">
    <vt:lpwstr/>
  </property>
  <property fmtid="{D5CDD505-2E9C-101B-9397-08002B2CF9AE}" pid="37" name="NOSE12">
    <vt:lpwstr>עונשין</vt:lpwstr>
  </property>
  <property fmtid="{D5CDD505-2E9C-101B-9397-08002B2CF9AE}" pid="38" name="NOSE13">
    <vt:lpwstr/>
  </property>
  <property fmtid="{D5CDD505-2E9C-101B-9397-08002B2CF9AE}" pid="39" name="NOSE14">
    <vt:lpwstr/>
  </property>
  <property fmtid="{D5CDD505-2E9C-101B-9397-08002B2CF9AE}" pid="40" name="NOSE15">
    <vt:lpwstr/>
  </property>
  <property fmtid="{D5CDD505-2E9C-101B-9397-08002B2CF9AE}" pid="41" name="NOSE16">
    <vt:lpwstr/>
  </property>
  <property fmtid="{D5CDD505-2E9C-101B-9397-08002B2CF9AE}" pid="42" name="NOSE17">
    <vt:lpwstr/>
  </property>
  <property fmtid="{D5CDD505-2E9C-101B-9397-08002B2CF9AE}" pid="43" name="NOSE18">
    <vt:lpwstr/>
  </property>
  <property fmtid="{D5CDD505-2E9C-101B-9397-08002B2CF9AE}" pid="44" name="NOSE19">
    <vt:lpwstr/>
  </property>
  <property fmtid="{D5CDD505-2E9C-101B-9397-08002B2CF9AE}" pid="45" name="NOSE1ID">
    <vt:lpwstr>77;77</vt:lpwstr>
  </property>
  <property fmtid="{D5CDD505-2E9C-101B-9397-08002B2CF9AE}" pid="46" name="NOSE21">
    <vt:lpwstr>ענישה</vt:lpwstr>
  </property>
  <property fmtid="{D5CDD505-2E9C-101B-9397-08002B2CF9AE}" pid="47" name="NOSE210">
    <vt:lpwstr/>
  </property>
  <property fmtid="{D5CDD505-2E9C-101B-9397-08002B2CF9AE}" pid="48" name="NOSE22">
    <vt:lpwstr>ענישה</vt:lpwstr>
  </property>
  <property fmtid="{D5CDD505-2E9C-101B-9397-08002B2CF9AE}" pid="49" name="NOSE23">
    <vt:lpwstr/>
  </property>
  <property fmtid="{D5CDD505-2E9C-101B-9397-08002B2CF9AE}" pid="50" name="NOSE24">
    <vt:lpwstr/>
  </property>
  <property fmtid="{D5CDD505-2E9C-101B-9397-08002B2CF9AE}" pid="51" name="NOSE25">
    <vt:lpwstr/>
  </property>
  <property fmtid="{D5CDD505-2E9C-101B-9397-08002B2CF9AE}" pid="52" name="NOSE26">
    <vt:lpwstr/>
  </property>
  <property fmtid="{D5CDD505-2E9C-101B-9397-08002B2CF9AE}" pid="53" name="NOSE27">
    <vt:lpwstr/>
  </property>
  <property fmtid="{D5CDD505-2E9C-101B-9397-08002B2CF9AE}" pid="54" name="NOSE28">
    <vt:lpwstr/>
  </property>
  <property fmtid="{D5CDD505-2E9C-101B-9397-08002B2CF9AE}" pid="55" name="NOSE29">
    <vt:lpwstr/>
  </property>
  <property fmtid="{D5CDD505-2E9C-101B-9397-08002B2CF9AE}" pid="56" name="NOSE2ID">
    <vt:lpwstr>1446;1446</vt:lpwstr>
  </property>
  <property fmtid="{D5CDD505-2E9C-101B-9397-08002B2CF9AE}" pid="57" name="NOSE31">
    <vt:lpwstr>מתחם הענישה</vt:lpwstr>
  </property>
  <property fmtid="{D5CDD505-2E9C-101B-9397-08002B2CF9AE}" pid="58" name="NOSE310">
    <vt:lpwstr/>
  </property>
  <property fmtid="{D5CDD505-2E9C-101B-9397-08002B2CF9AE}" pid="59" name="NOSE32">
    <vt:lpwstr>מדיניות ענישה: עבירות סמים</vt:lpwstr>
  </property>
  <property fmtid="{D5CDD505-2E9C-101B-9397-08002B2CF9AE}" pid="60" name="NOSE33">
    <vt:lpwstr/>
  </property>
  <property fmtid="{D5CDD505-2E9C-101B-9397-08002B2CF9AE}" pid="61" name="NOSE34">
    <vt:lpwstr/>
  </property>
  <property fmtid="{D5CDD505-2E9C-101B-9397-08002B2CF9AE}" pid="62" name="NOSE35">
    <vt:lpwstr/>
  </property>
  <property fmtid="{D5CDD505-2E9C-101B-9397-08002B2CF9AE}" pid="63" name="NOSE36">
    <vt:lpwstr/>
  </property>
  <property fmtid="{D5CDD505-2E9C-101B-9397-08002B2CF9AE}" pid="64" name="NOSE37">
    <vt:lpwstr/>
  </property>
  <property fmtid="{D5CDD505-2E9C-101B-9397-08002B2CF9AE}" pid="65" name="NOSE38">
    <vt:lpwstr/>
  </property>
  <property fmtid="{D5CDD505-2E9C-101B-9397-08002B2CF9AE}" pid="66" name="NOSE39">
    <vt:lpwstr/>
  </property>
  <property fmtid="{D5CDD505-2E9C-101B-9397-08002B2CF9AE}" pid="67" name="NOSE3ID">
    <vt:lpwstr>14985;8991</vt:lpwstr>
  </property>
  <property fmtid="{D5CDD505-2E9C-101B-9397-08002B2CF9AE}" pid="68" name="PADIDATE">
    <vt:lpwstr>20140519</vt:lpwstr>
  </property>
  <property fmtid="{D5CDD505-2E9C-101B-9397-08002B2CF9AE}" pid="69" name="PADIMAIL">
    <vt:lpwstr>YES</vt:lpwstr>
  </property>
  <property fmtid="{D5CDD505-2E9C-101B-9397-08002B2CF9AE}" pid="70" name="PAGE">
    <vt:lpwstr/>
  </property>
  <property fmtid="{D5CDD505-2E9C-101B-9397-08002B2CF9AE}" pid="71" name="PART">
    <vt:lpwstr/>
  </property>
  <property fmtid="{D5CDD505-2E9C-101B-9397-08002B2CF9AE}" pid="72" name="PROCESS">
    <vt:lpwstr/>
  </property>
  <property fmtid="{D5CDD505-2E9C-101B-9397-08002B2CF9AE}" pid="73" name="PROCNUM">
    <vt:lpwstr/>
  </property>
  <property fmtid="{D5CDD505-2E9C-101B-9397-08002B2CF9AE}" pid="74" name="PROCYEAR">
    <vt:lpwstr/>
  </property>
  <property fmtid="{D5CDD505-2E9C-101B-9397-08002B2CF9AE}" pid="75" name="PSAKDIN">
    <vt:lpwstr>פסק-דין</vt:lpwstr>
  </property>
  <property fmtid="{D5CDD505-2E9C-101B-9397-08002B2CF9AE}" pid="76" name="TYPE">
    <vt:lpwstr>2</vt:lpwstr>
  </property>
  <property fmtid="{D5CDD505-2E9C-101B-9397-08002B2CF9AE}" pid="77" name="TYPE_ABS_DATE">
    <vt:lpwstr>390120140508</vt:lpwstr>
  </property>
  <property fmtid="{D5CDD505-2E9C-101B-9397-08002B2CF9AE}" pid="78" name="TYPE_N_DATE">
    <vt:lpwstr>39020140508</vt:lpwstr>
  </property>
  <property fmtid="{D5CDD505-2E9C-101B-9397-08002B2CF9AE}" pid="79" name="VOLUME">
    <vt:lpwstr/>
  </property>
  <property fmtid="{D5CDD505-2E9C-101B-9397-08002B2CF9AE}" pid="80" name="WORDNUMPAGES">
    <vt:lpwstr>12</vt:lpwstr>
  </property>
</Properties>
</file>