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670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יפו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62780-11-15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פרץ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sz w:val="20"/>
                <w:sz w:val="20"/>
                <w:szCs w:val="20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חיצוני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Cs w:val="20"/>
              </w:rPr>
              <w:t>275956/13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ת</w:t>
            </w:r>
            <w:r>
              <w:rPr>
                <w:sz w:val="20"/>
                <w:szCs w:val="20"/>
                <w:rtl w:val="true"/>
              </w:rPr>
              <w:t xml:space="preserve">" </w:t>
            </w:r>
            <w:r>
              <w:rPr>
                <w:sz w:val="20"/>
                <w:sz w:val="20"/>
                <w:szCs w:val="20"/>
                <w:rtl w:val="true"/>
              </w:rPr>
              <w:t>צפון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5571"/>
      </w:tblGrid>
      <w:tr>
        <w:trPr/>
        <w:tc>
          <w:tcPr>
            <w:tcW w:w="743" w:type="dxa"/>
            <w:tcBorders/>
          </w:tcPr>
          <w:p>
            <w:pPr>
              <w:pStyle w:val="Normal"/>
              <w:ind w:end="0"/>
              <w:jc w:val="both"/>
              <w:rPr>
                <w:rFonts w:ascii="Arial (W1);Arial" w:hAnsi="Arial (W1);Arial" w:cs="Arial (W1);Arial"/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בפני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</w:p>
        </w:tc>
        <w:tc>
          <w:tcPr>
            <w:tcW w:w="8077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הנשיאה דבורה ברלינר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אב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>'</w:t>
            </w:r>
            <w:r>
              <w:rPr>
                <w:b/>
                <w:b/>
                <w:bCs/>
                <w:rtl w:val="true"/>
              </w:rPr>
              <w:t>ורג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קרא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ס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שלומית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יעקובוביץ</w:t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bidi w:val="0"/>
              <w:snapToGrid w:val="false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lang w:val="en-US" w:eastAsia="en-US"/>
              </w:rPr>
            </w:r>
            <w:bookmarkStart w:id="0" w:name="LastJudge"/>
            <w:bookmarkStart w:id="1" w:name="FirstAppellant"/>
            <w:bookmarkStart w:id="2" w:name="LastJudge"/>
            <w:bookmarkStart w:id="3" w:name="FirstAppellant"/>
            <w:bookmarkEnd w:id="2"/>
            <w:bookmarkEnd w:id="3"/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tl w:val="true"/>
              </w:rPr>
              <w:t>שלום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פרץ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center"/>
              <w:rPr>
                <w:b/>
                <w:bCs/>
                <w:sz w:val="28"/>
                <w:lang w:val="en-US" w:eastAsia="en-US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rFonts w:ascii="Arial (W1);Arial" w:hAnsi="Arial (W1);Arial" w:cs="Arial (W1);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Normal"/>
        <w:suppressLineNumbers/>
        <w:ind w:end="0"/>
        <w:jc w:val="start"/>
        <w:rPr>
          <w:rFonts w:ascii="Arial (W1);Arial" w:hAnsi="Arial (W1);Arial" w:cs="Arial (W1);Arial"/>
          <w:sz w:val="28"/>
          <w:szCs w:val="28"/>
        </w:rPr>
      </w:pPr>
      <w:r>
        <w:rPr>
          <w:rFonts w:cs="Arial (W1);Arial" w:ascii="Arial (W1);Arial" w:hAnsi="Arial (W1);Arial"/>
          <w:sz w:val="28"/>
          <w:szCs w:val="28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4" w:name="PsakDin"/>
            <w:bookmarkEnd w:id="4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</w:t>
      </w:r>
      <w:r>
        <w:rPr>
          <w:rtl w:val="true"/>
        </w:rPr>
        <w:t>.</w:t>
        <w:tab/>
      </w:r>
      <w:bookmarkStart w:id="5" w:name="ABSTRACT_START"/>
      <w:bookmarkEnd w:id="5"/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.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/>
        <w:t>31.05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דרויאן</w:t>
      </w:r>
      <w:r>
        <w:rPr>
          <w:rtl w:val="true"/>
        </w:rPr>
        <w:t xml:space="preserve">)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חייו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ממעסיקו</w:t>
      </w:r>
      <w:r>
        <w:rPr>
          <w:rtl w:val="true"/>
        </w:rPr>
        <w:t xml:space="preserve">, </w:t>
      </w:r>
      <w:r>
        <w:rPr>
          <w:rtl w:val="true"/>
        </w:rPr>
        <w:t>מכתב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מרופא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המטפל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מעיריית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המסמכים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לשיטתנו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ועדכנית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נזכיר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15.10.15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עדכני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ופורש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bookmarkStart w:id="6" w:name="ABSTRACT_END"/>
      <w:bookmarkEnd w:id="6"/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ascii="Calibri" w:hAnsi="Calibri" w:cs="Calibri"/>
          <w:rtl w:val="true"/>
        </w:rPr>
        <w:t xml:space="preserve"> כעונש עיקרי לצד רכיבי ענישה נוספים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באשר למיקומו של המערער בתוך מתחם הענישה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סבר בית המשפט כי אין מקום להחריג אותו מתוך המתחם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 המשפט נתן דעתו לכל העולה מתסקיר שירות המבחן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למצבו המשפחתי של המערער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היותו אב לשני ילדים קטנים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למקום עבודתו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לעובדה שהמערער טופל ביחידה העירונית לנפגעי סמים ולאחר שנתן דעתו לאלה סבר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כאמור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 העונש צריך להיקבע בתוך המתחם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ובהתבסס על קביעה זו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נתן בית משפט קמא משקל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מפליג אפילו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לנסיבותיו האישיות של המערער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לאותו תהליך טיפולי שעבר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 xml:space="preserve">שעל כן מיקם אותו בתחתית המתחם שנקבע על ידו והטיל עליו </w:t>
      </w:r>
      <w:r>
        <w:rPr>
          <w:rFonts w:cs="Calibri" w:ascii="Calibri" w:hAnsi="Calibri"/>
        </w:rPr>
        <w:t>15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 מאסר בפועל בניכוי ימי מעצרו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אנו רואים לציין כי המעצר הוא בן חודשיים וגם בניכויו הלך בית המשפט לקראת המערער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לצד המאסר בפועל הוטלו על המערער עונשי מאסר על תנאי לתקופות משתנות בהתאם לעבירות שמדובר בהן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 xml:space="preserve">וכן חויב לחתום על התחייבות בסך </w:t>
      </w:r>
      <w:r>
        <w:rPr>
          <w:rFonts w:cs="Calibri" w:ascii="Calibri" w:hAnsi="Calibri"/>
        </w:rPr>
        <w:t>2,000</w:t>
      </w:r>
      <w:r>
        <w:rPr>
          <w:rFonts w:cs="Calibri" w:ascii="Calibri" w:hAnsi="Calibri"/>
          <w:rtl w:val="true"/>
        </w:rPr>
        <w:t xml:space="preserve"> ₪ </w:t>
      </w:r>
      <w:r>
        <w:rPr>
          <w:rFonts w:ascii="Calibri" w:hAnsi="Calibri" w:cs="Calibri"/>
          <w:rtl w:val="true"/>
        </w:rPr>
        <w:t>ופסילה על תנאי בת שנה למשך שנתיים מיום שחרורו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על גזר הדין הערעור בפנינו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בהודעת ערעור מפורטת שאליה נלווה טיעון שניכר בו כי יצא מהלב של שני הסנגורים המייצגים היום את המערער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עותרים באי כוחו להתערב בענישה ולשים את כל כובד המשקל על תהליך השיקום שעבר המערער באופן שניתן יהיה לסטות מהמתחם שנקבע על ידי בית משפט קמא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על אלה הושם הדגש</w:t>
      </w:r>
      <w:r>
        <w:rPr>
          <w:rFonts w:cs="Calibri" w:ascii="Calibri" w:hAnsi="Calibri"/>
          <w:rtl w:val="true"/>
        </w:rPr>
        <w:t xml:space="preserve">: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המערער הוא אדם נורמטיבי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כפי שעולה מתסקיר שירות המבחן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 xml:space="preserve">יש לו הרשעה אחת בלבד משנת </w:t>
      </w:r>
      <w:r>
        <w:rPr>
          <w:rFonts w:cs="Calibri" w:ascii="Calibri" w:hAnsi="Calibri"/>
        </w:rPr>
        <w:t>2002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דהיינו הרשעה ישנה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 עובד בעיריית פ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ת בפינוי אשפה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משפחתו תלויה בו לפרנסתה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 היה באיזוק אלקטרוני לאורך תקופה ארוכה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הסנגורים מפנים לפרק הזמן הארוך שחלף מאז ביצוע העבירה ועד היום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שנתיים וחצי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וגם זהו נתון שיש להתחשב בו לענין הענישה הקונקרטית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את הדגש שמים הסנגורים על תהליך השיקום שעבר המערער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 xml:space="preserve">המערער היה בטיפול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בנושא הסמים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שנה וחצי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 המשיך גם בטיפול לאחר מכן במסגרות שונות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 גם היה בטיפול רפואי משום שהוא סובל מחרדות רבות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בשל החרדות המאסר יקשה עליו במיוחד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גם היום הוא מצוי במתח רב בשל החשש כי יאלץ לרצות עונש מאסר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עוד מפנים הסנגורים לכך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שהמערער הוא זה שהביא את השוטר לביתו וחשף בפניו את הסם שנתפס ושימש בסיס להגשת כתב האישום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יש בכך משום הבעת חרטה מצידו וגם נתון זה צריך להילקח במניין השיקולים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באשר למתחם הענישה – לטענת הסנגורים ניתן היה גם להגיע למתחם אחר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הסנגורים מפנים ל</w:t>
      </w:r>
      <w:hyperlink r:id="rId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7196/11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מדינת ישראל נ</w:t>
      </w:r>
      <w:r>
        <w:rPr>
          <w:rFonts w:cs="Calibri" w:ascii="Calibri" w:hAnsi="Calibri"/>
          <w:rtl w:val="true"/>
        </w:rPr>
        <w:t xml:space="preserve">' </w:t>
      </w:r>
      <w:r>
        <w:rPr>
          <w:rFonts w:ascii="Calibri" w:hAnsi="Calibri" w:cs="Calibri"/>
          <w:rtl w:val="true"/>
        </w:rPr>
        <w:t>ביזאוי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שם כאשר מדובר היה בכמות העולה לאין שיעור על הכמות בתיק הנוכחי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119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גרם קוקאין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 xml:space="preserve">לא התערב בית המשפט העליון בעונש מאסר בן </w:t>
      </w: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חודשים בעבודות שירות שהוטל על הנאשם דשם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ללמדך שגם תקופת מאסר זו יכולה להוות רף תחתון במתחם ענישה רלוונטי והולם לעבירה שבפנינו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הסנגורים מפנים גם לפסיקה נוספת שהוגשה לנו ואיננו רואים למנות אותה אחת לאחת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התביעה מפנה לכמות שמדובר בה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למספר המנות שניתן להכין ממנה ולכך שהמערער למעשה מיצה את ההליך הטיפולי עד תומו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שקלנו את טיעוני הצדדים ודעתנו היא כי אין מקום להתערב בענישה שהוטלה בבית משפט קמא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שתי שאלות עומדות בפנינו – השאלות הקלאסיות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קרי</w:t>
      </w:r>
      <w:r>
        <w:rPr>
          <w:rFonts w:cs="Calibri" w:ascii="Calibri" w:hAnsi="Calibri"/>
          <w:rtl w:val="true"/>
        </w:rPr>
        <w:t xml:space="preserve">: </w:t>
      </w:r>
      <w:r>
        <w:rPr>
          <w:rFonts w:ascii="Calibri" w:hAnsi="Calibri" w:cs="Calibri"/>
          <w:rtl w:val="true"/>
        </w:rPr>
        <w:t>קביעת המתחם וסטיה ממנו בשל שיקולי שיקום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לענין המתחם – נראה לנו כי המתחם שקבע בית משפט קמא משקף נכונה את רמת הענישה הנוהגת והראויה כאחד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מדובר ב</w:t>
      </w:r>
      <w:r>
        <w:rPr>
          <w:rFonts w:cs="Calibri" w:ascii="Calibri" w:hAnsi="Calibri"/>
          <w:rtl w:val="true"/>
        </w:rPr>
        <w:t xml:space="preserve">- </w:t>
      </w:r>
      <w:r>
        <w:rPr>
          <w:rFonts w:cs="Calibri" w:ascii="Calibri" w:hAnsi="Calibri"/>
        </w:rPr>
        <w:t>31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גרם קוקאין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קוקאין הוא סם קשה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 xml:space="preserve">מהכמות שמדובר בה ניתן להכין </w:t>
      </w:r>
      <w:r>
        <w:rPr>
          <w:rFonts w:cs="Calibri" w:ascii="Calibri" w:hAnsi="Calibri"/>
        </w:rPr>
        <w:t>300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מנות ויותר מכך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כמות כזו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 היא מוזרמת לשוק הסמים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יכולה לגרום להתדרדרות של אנשים שרגלם טרם דרכה במדרון הפתלתל של השימוש בסם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או להביא להתדרדרות נוספת של מי שכבר טעם טעמו של סם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לא נעלמה מעיננו העובדה כי המערער הוא שהוביל את השוטר לביתו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עדיין הכמות מדברת בעד עצמה וכזכור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מדובר בכמות שלא לשימוש עצמי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לפיכך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המתחם הוא מתחם ראוי ואין מקום להתערב בו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כיוון שהסנגורים הרחיבו את הדיבור על פסק הדין בענין ביזאוי נתייחס אליו בקליפת אגוז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 xml:space="preserve">נתחיל מכך כי פסק הדין באותו תיק ניתן לפני תיקון </w:t>
      </w:r>
      <w:r>
        <w:rPr>
          <w:rFonts w:cs="Calibri" w:ascii="Calibri" w:hAnsi="Calibri"/>
        </w:rPr>
        <w:t>113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ואיננו מתמודד עם הקריטריונים שהטיל המחוקק בתיקון זה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נוסיף לכך שמדובר בפסק דין שניתן בערכאת ערעור ששיקוליה להתערב ולהחמיר את הענישה הם שונים מאלה של גזירת הדין בערכאה ראשונה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איננו סבורים כי בנסיבות אלה פסק הדין בענין ביזאוי יכול לשנות את התמונה לענין המתחם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השאלה הנוספת היא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האם יש לסטות מהמתחם בשל תהליך שיקום</w:t>
      </w:r>
      <w:r>
        <w:rPr>
          <w:rFonts w:cs="Calibri" w:ascii="Calibri" w:hAnsi="Calibri"/>
          <w:rtl w:val="true"/>
        </w:rPr>
        <w:t xml:space="preserve">? 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למעשה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כפי שציינו לעיל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 זה השליכו הסנגורים את מרבית יהבם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חרף הטיעונים הנרגשים איננו סבורים כי זה המקרה לסטות מטעמי שיקום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 עבר תהליך טיפול ארוך ואיננו מקלים בו ראש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תקוותנו היא כי תהליך השיקום שעבר והטיפול ייתן את אותותיו גם לאורך התקופה שבה ישהה המערער בכלא וכי אכן רכש לעצמו כלים שיאפשרו לו שלא להתדרדר פעם נוספת לשימוש בסם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יחד עם זאת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כאמור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המערער מיצה את התהליך הטיפולי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שירות המבחן התרשם כי ספק אם יש לו כוחות לשיקום נוסף ולטיפול נוסף או אם ירוויח מהם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שעל כן הטיפול בפני עצמו איננו יכול להוות סיבה לסטיה מהמתחם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באשר לחרדות שסובל מהן המערער – הדעת נותנת כי גם בהיותו בכלא יוכל להיעזר במרשמי התרופות שהוא משתמש בהם עתה ואלה יפחיתו מן החרדות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טענה נוספת שעלתה בשולי הדברים היא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 היום לאור פסק הדין ב</w:t>
      </w:r>
      <w:hyperlink r:id="rId3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4456/14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קלנר נ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 xml:space="preserve">מדינת ישראל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 xml:space="preserve">פורסם בנבו – </w:t>
      </w:r>
      <w:r>
        <w:rPr>
          <w:rFonts w:cs="Calibri" w:ascii="Calibri" w:hAnsi="Calibri"/>
        </w:rPr>
        <w:t>29.12.15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נפתחה הדרך לסטייה מהמתחם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גם אם כך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ואיננו רואים להתעכב על כך בהקשר הנוכחי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 זה המקרה לסטייה גורפת מהמתחם ללא שום שיקול של ממש ומשקבענו כי השיקום אינו יכול לשאת על גבו את משקל הסטייה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בכך למעשה מתמצה הדיון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rtl w:val="true"/>
        </w:rPr>
        <w:t>אנו דוחים את הערעור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#3#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ניתן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והודע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שבט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18/01/2016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הנוכחים</w:t>
      </w:r>
      <w:r>
        <w:rPr>
          <w:b/>
          <w:bCs/>
          <w:rtl w:val="true"/>
        </w:rPr>
        <w:t xml:space="preserve">.  </w:t>
      </w:r>
    </w:p>
    <w:p>
      <w:pPr>
        <w:pStyle w:val="Normal"/>
        <w:spacing w:lineRule="auto" w:line="360"/>
        <w:ind w:end="0"/>
        <w:jc w:val="start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</w:t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8"/>
        <w:gridCol w:w="237"/>
        <w:gridCol w:w="2218"/>
        <w:gridCol w:w="298"/>
        <w:gridCol w:w="2946"/>
      </w:tblGrid>
      <w:tr>
        <w:trPr>
          <w:trHeight w:val="1400" w:hRule="atLeast"/>
        </w:trPr>
        <w:tc>
          <w:tcPr>
            <w:tcW w:w="289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lang w:val="en-IL" w:eastAsia="en-IL"/>
              </w:rPr>
              <w:t>54678313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  <w:lang w:val="en-IL" w:eastAsia="en-IL"/>
              </w:rPr>
            </w:r>
          </w:p>
        </w:tc>
        <w:tc>
          <w:tcPr>
            <w:tcW w:w="221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  <w:lang w:val="en-IL" w:eastAsia="en-IL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Times New Roman"/>
                <w:b/>
                <w:bCs/>
                <w:sz w:val="20"/>
                <w:szCs w:val="20"/>
                <w:lang w:val="en-IL" w:eastAsia="en-IL"/>
              </w:rPr>
            </w:pPr>
            <w:r>
              <w:rPr>
                <w:rFonts w:cs="Times New Roman" w:ascii="Courier New" w:hAnsi="Courier New"/>
                <w:b/>
                <w:bCs/>
                <w:sz w:val="20"/>
                <w:szCs w:val="20"/>
                <w:rtl w:val="true"/>
                <w:lang w:val="en-IL" w:eastAsia="en-IL"/>
              </w:rPr>
            </w:r>
          </w:p>
        </w:tc>
        <w:tc>
          <w:tcPr>
            <w:tcW w:w="298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  <w:lang w:val="en-IL" w:eastAsia="en-IL"/>
              </w:rPr>
            </w:r>
          </w:p>
        </w:tc>
        <w:tc>
          <w:tcPr>
            <w:tcW w:w="2946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  <w:lang w:val="en-IL" w:eastAsia="en-IL"/>
              </w:rPr>
            </w:r>
          </w:p>
        </w:tc>
      </w:tr>
      <w:tr>
        <w:trPr>
          <w:trHeight w:val="580" w:hRule="atLeast"/>
        </w:trPr>
        <w:tc>
          <w:tcPr>
            <w:tcW w:w="2898" w:type="dxa"/>
            <w:tcBorders/>
          </w:tcPr>
          <w:p>
            <w:pPr>
              <w:pStyle w:val="Normal"/>
              <w:ind w:end="0"/>
              <w:jc w:val="center"/>
              <w:rPr>
                <w:rFonts w:ascii="Calibri" w:hAnsi="Calibri" w:cs="Calibri"/>
                <w:b/>
                <w:bCs/>
                <w:lang w:val="en-IL" w:eastAsia="en-IL"/>
              </w:rPr>
            </w:pP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דבורה ברלינר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 xml:space="preserve">, 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alibri" w:hAnsi="Calibri" w:cs="Calibri"/>
                <w:b/>
                <w:bCs/>
                <w:lang w:val="en-IL" w:eastAsia="en-IL"/>
              </w:rPr>
            </w:pP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אב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>"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ד</w:t>
            </w:r>
          </w:p>
        </w:tc>
        <w:tc>
          <w:tcPr>
            <w:tcW w:w="237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rtl w:val="true"/>
                <w:lang w:val="en-IL" w:eastAsia="en-IL"/>
              </w:rPr>
            </w:r>
          </w:p>
        </w:tc>
        <w:tc>
          <w:tcPr>
            <w:tcW w:w="2218" w:type="dxa"/>
            <w:tcBorders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  <w:lang w:val="en-IL" w:eastAsia="en-IL"/>
              </w:rPr>
            </w:pP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ג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>'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ורג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 xml:space="preserve">' 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קרא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 xml:space="preserve">, 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ס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>"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נ</w:t>
            </w:r>
          </w:p>
        </w:tc>
        <w:tc>
          <w:tcPr>
            <w:tcW w:w="298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lang w:val="en-IL" w:eastAsia="en-IL"/>
              </w:rPr>
            </w:pPr>
            <w:r>
              <w:rPr>
                <w:rFonts w:cs="Courier New" w:ascii="Courier New" w:hAnsi="Courier New"/>
                <w:b/>
                <w:bCs/>
                <w:rtl w:val="true"/>
                <w:lang w:val="en-IL" w:eastAsia="en-IL"/>
              </w:rPr>
            </w:r>
          </w:p>
        </w:tc>
        <w:tc>
          <w:tcPr>
            <w:tcW w:w="2946" w:type="dxa"/>
            <w:tcBorders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  <w:lang w:val="en-IL" w:eastAsia="en-IL"/>
              </w:rPr>
            </w:pP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שלומית יעקובוביץ</w:t>
            </w:r>
            <w:r>
              <w:rPr>
                <w:rFonts w:cs="Calibri" w:ascii="Calibri" w:hAnsi="Calibri"/>
                <w:b/>
                <w:bCs/>
                <w:rtl w:val="true"/>
                <w:lang w:val="en-IL" w:eastAsia="en-IL"/>
              </w:rPr>
              <w:t xml:space="preserve">', </w:t>
            </w:r>
            <w:r>
              <w:rPr>
                <w:rFonts w:ascii="Calibri" w:hAnsi="Calibri" w:cs="Calibri"/>
                <w:b/>
                <w:b/>
                <w:bCs/>
                <w:rtl w:val="true"/>
                <w:lang w:val="en-IL" w:eastAsia="en-IL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David" w:hAnsi="David" w:eastAsia="David" w:cs="David"/>
        </w:rPr>
      </w:pPr>
      <w:r>
        <w:rPr>
          <w:rFonts w:cs="Times New Roman"/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rFonts w:ascii="David" w:hAnsi="David" w:eastAsia="David" w:cs="David"/>
          <w:color w:val="000000"/>
          <w:sz w:val="22"/>
          <w:szCs w:val="22"/>
        </w:rPr>
      </w:pPr>
      <w:r>
        <w:rPr>
          <w:rFonts w:eastAsia="David"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ה דבורה ברלינר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4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(W1)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5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ת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א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62780-11-15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שלום פרץ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5599403" TargetMode="External"/><Relationship Id="rId3" Type="http://schemas.openxmlformats.org/officeDocument/2006/relationships/hyperlink" Target="http://www.nevo.co.il/case/17015235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2016-02-21T12:00:00Z</dcterms:created>
  <dc:creator> </dc:creator>
  <dc:description/>
  <cp:keywords/>
  <dc:language>en-IL</dc:language>
  <cp:lastModifiedBy>hofit</cp:lastModifiedBy>
  <dcterms:modified xsi:type="dcterms:W3CDTF">2016-02-21T12:00:00Z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שלום פרץ</vt:lpwstr>
  </property>
  <property fmtid="{D5CDD505-2E9C-101B-9397-08002B2CF9AE}" pid="3" name="APPELLEE">
    <vt:lpwstr>מדינת ישראל</vt:lpwstr>
  </property>
  <property fmtid="{D5CDD505-2E9C-101B-9397-08002B2CF9AE}" pid="4" name="CASESLISTTMP1">
    <vt:lpwstr>5599403</vt:lpwstr>
  </property>
  <property fmtid="{D5CDD505-2E9C-101B-9397-08002B2CF9AE}" pid="5" name="CITY">
    <vt:lpwstr>ת"א</vt:lpwstr>
  </property>
  <property fmtid="{D5CDD505-2E9C-101B-9397-08002B2CF9AE}" pid="6" name="DATE">
    <vt:lpwstr>20160118</vt:lpwstr>
  </property>
  <property fmtid="{D5CDD505-2E9C-101B-9397-08002B2CF9AE}" pid="7" name="ISABSTRACT">
    <vt:lpwstr>Y</vt:lpwstr>
  </property>
  <property fmtid="{D5CDD505-2E9C-101B-9397-08002B2CF9AE}" pid="8" name="JUDGE">
    <vt:lpwstr>ה דבורה ברלינר;ג'ורג' קרא;ס"נ;שלומית יעקובוביץ</vt:lpwstr>
  </property>
  <property fmtid="{D5CDD505-2E9C-101B-9397-08002B2CF9AE}" pid="9" name="NEWPARTA">
    <vt:lpwstr>62780</vt:lpwstr>
  </property>
  <property fmtid="{D5CDD505-2E9C-101B-9397-08002B2CF9AE}" pid="10" name="NEWPARTB">
    <vt:lpwstr>11</vt:lpwstr>
  </property>
  <property fmtid="{D5CDD505-2E9C-101B-9397-08002B2CF9AE}" pid="11" name="NEWPARTC">
    <vt:lpwstr>15</vt:lpwstr>
  </property>
  <property fmtid="{D5CDD505-2E9C-101B-9397-08002B2CF9AE}" pid="12" name="NEWPROC">
    <vt:lpwstr>עפג</vt:lpwstr>
  </property>
  <property fmtid="{D5CDD505-2E9C-101B-9397-08002B2CF9AE}" pid="13" name="PSAKDIN">
    <vt:lpwstr>פסק-דין</vt:lpwstr>
  </property>
  <property fmtid="{D5CDD505-2E9C-101B-9397-08002B2CF9AE}" pid="14" name="TYPE">
    <vt:lpwstr>2</vt:lpwstr>
  </property>
  <property fmtid="{D5CDD505-2E9C-101B-9397-08002B2CF9AE}" pid="15" name="TYPE_ABS_DATE">
    <vt:lpwstr>390020160118</vt:lpwstr>
  </property>
  <property fmtid="{D5CDD505-2E9C-101B-9397-08002B2CF9AE}" pid="16" name="TYPE_N_DATE">
    <vt:lpwstr>39020160118</vt:lpwstr>
  </property>
  <property fmtid="{D5CDD505-2E9C-101B-9397-08002B2CF9AE}" pid="17" name="WORDNUMPAGES">
    <vt:lpwstr>4</vt:lpwstr>
  </property>
</Properties>
</file>