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720"/>
        </w:tabs>
        <w:ind w:end="0"/>
        <w:jc w:val="center"/>
        <w:rPr/>
      </w:pPr>
      <w:r>
        <w:rPr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603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יפו </w:t>
            </w:r>
          </w:p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בשבתו כבית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730-05-10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אלוני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יוני </w:t>
            </w:r>
            <w:r>
              <w:rPr>
                <w:b/>
                <w:bCs/>
                <w:sz w:val="26"/>
                <w:szCs w:val="26"/>
              </w:rPr>
              <w:t>2011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8"/>
        <w:gridCol w:w="2796"/>
        <w:gridCol w:w="5918"/>
      </w:tblGrid>
      <w:tr>
        <w:trPr/>
        <w:tc>
          <w:tcPr>
            <w:tcW w:w="88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CourierHP;Lucida Console" w:hAnsi="CourierHP;Lucida Console" w:cs="CourierHP;Lucida Console"/>
                <w:b/>
                <w:bCs/>
                <w:sz w:val="26"/>
                <w:szCs w:val="26"/>
              </w:rPr>
            </w:pP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בפני כב</w:t>
            </w:r>
            <w:r>
              <w:rPr>
                <w:rFonts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הנשיאה דבורה ברלינר – אב</w:t>
            </w:r>
            <w:r>
              <w:rPr>
                <w:rFonts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ind w:end="0"/>
              <w:jc w:val="both"/>
              <w:rPr>
                <w:rFonts w:ascii="CourierHP;Lucida Console" w:hAnsi="CourierHP;Lucida Console" w:cs="CourierHP;Lucida Console"/>
                <w:b/>
                <w:bCs/>
                <w:sz w:val="26"/>
                <w:szCs w:val="26"/>
              </w:rPr>
            </w:pPr>
            <w:r>
              <w:rPr>
                <w:rFonts w:eastAsia="CourierHP;Lucida Console"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 xml:space="preserve">        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השופט יצחק ענבר </w:t>
            </w:r>
          </w:p>
          <w:p>
            <w:pPr>
              <w:pStyle w:val="Normal"/>
              <w:ind w:end="0"/>
              <w:jc w:val="both"/>
              <w:rPr>
                <w:rStyle w:val="TimesNewRomanTimesNewRoman"/>
                <w:rFonts w:ascii="CourierHP;Lucida Console" w:hAnsi="CourierHP;Lucida Console" w:cs="CourierHP;Lucida Console"/>
              </w:rPr>
            </w:pPr>
            <w:r>
              <w:rPr>
                <w:rFonts w:eastAsia="CourierHP;Lucida Console"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 xml:space="preserve">        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השופטת חדוה וינבאום</w:t>
            </w:r>
            <w:r>
              <w:rPr>
                <w:rFonts w:cs="CourierHP;Lucida Console" w:ascii="CourierHP;Lucida Console" w:hAnsi="CourierHP;Lucida Console"/>
                <w:b/>
                <w:bCs/>
                <w:sz w:val="26"/>
                <w:szCs w:val="26"/>
                <w:rtl w:val="true"/>
              </w:rPr>
              <w:t>-</w:t>
            </w:r>
            <w:r>
              <w:rPr>
                <w:rFonts w:ascii="CourierHP;Lucida Console" w:hAnsi="CourierHP;Lucida Console" w:cs="CourierHP;Lucida Console"/>
                <w:b/>
                <w:b/>
                <w:bCs/>
                <w:sz w:val="26"/>
                <w:sz w:val="26"/>
                <w:szCs w:val="26"/>
                <w:rtl w:val="true"/>
              </w:rPr>
              <w:t>וולצקי</w:t>
            </w:r>
            <w:r>
              <w:rPr>
                <w:rStyle w:val="TimesNewRomanTimesNewRoman"/>
                <w:rFonts w:ascii="CourierHP;Lucida Console" w:hAnsi="CourierHP;Lucida Console" w:cs="CourierHP;Lucida Console"/>
                <w:rtl w:val="true"/>
              </w:rPr>
              <w:t xml:space="preserve"> 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rStyle w:val="TimesNewRomanTimesNewRoman"/>
                <w:rFonts w:ascii="CourierHP;Lucida Console" w:hAnsi="CourierHP;Lucida Console" w:cs="CourierHP;Lucida Console"/>
                <w:b/>
                <w:bCs/>
                <w:sz w:val="26"/>
                <w:szCs w:val="26"/>
              </w:rPr>
            </w:pPr>
            <w:r>
              <w:rPr>
                <w:rtl w:val="true"/>
              </w:rPr>
            </w:r>
          </w:p>
        </w:tc>
      </w:tr>
      <w:tr>
        <w:trPr/>
        <w:tc>
          <w:tcPr>
            <w:tcW w:w="288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מערער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18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אמיר אלוני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18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ו</w:t>
      </w: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</w:t>
      </w:r>
      <w:r>
        <w:rPr>
          <w:b w:val="false"/>
          <w:b w:val="false"/>
          <w:bCs w:val="false"/>
          <w:u w:val="none"/>
          <w:rtl w:val="true"/>
        </w:rPr>
        <w:t>אהוד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אלוני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מיכל גל מפרקליטות מחוז ת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א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פלילי</w:t>
      </w:r>
      <w:r>
        <w:rPr>
          <w:b w:val="false"/>
          <w:bCs w:val="false"/>
          <w:u w:val="none"/>
          <w:rtl w:val="true"/>
        </w:rPr>
        <w:t>)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  <w:bookmarkStart w:id="3" w:name="LawTable"/>
      <w:bookmarkStart w:id="4" w:name="LawTable"/>
      <w:bookmarkEnd w:id="4"/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r>
        <w:rPr>
          <w:rFonts w:cs="FrankRuehl" w:ascii="FrankRuehl" w:hAnsi="FrankRuehl"/>
          <w:b w:val="false"/>
          <w:bCs w:val="false"/>
          <w:u w:val="none"/>
          <w:rtl w:val="true"/>
        </w:rPr>
      </w:r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u w:val="none"/>
        </w:rPr>
      </w:pPr>
      <w:r>
        <w:rPr>
          <w:rFonts w:ascii="FrankRuehl" w:hAnsi="FrankRuehl" w:cs="FrankRuehl"/>
          <w:b w:val="false"/>
          <w:b w:val="false"/>
          <w:bCs w:val="false"/>
          <w:u w:val="none"/>
          <w:rtl w:val="true"/>
        </w:rPr>
        <w:t>חקיקה שאוזכרה</w:t>
      </w:r>
      <w:r>
        <w:rPr>
          <w:rFonts w:cs="FrankRuehl" w:ascii="FrankRuehl" w:hAnsi="FrankRuehl"/>
          <w:b w:val="false"/>
          <w:bCs w:val="false"/>
          <w:u w:val="none"/>
          <w:rtl w:val="true"/>
        </w:rPr>
        <w:t xml:space="preserve">: </w:t>
      </w:r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color w:val="0000FF"/>
        </w:rPr>
      </w:pPr>
      <w:hyperlink r:id="rId2">
        <w:r>
          <w:rPr>
            <w:rStyle w:val="Hyperlink"/>
            <w:rFonts w:ascii="FrankRuehl" w:hAnsi="FrankRuehl" w:eastAsia="David" w:cs="FrankRuehl"/>
            <w:b/>
            <w:b/>
            <w:bCs/>
            <w:rtl w:val="true"/>
          </w:rPr>
          <w:t xml:space="preserve">פקודת הסמים המסוכנים 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[</w:t>
        </w:r>
        <w:r>
          <w:rPr>
            <w:rStyle w:val="Hyperlink"/>
            <w:rFonts w:ascii="FrankRuehl" w:hAnsi="FrankRuehl" w:eastAsia="David" w:cs="FrankRuehl"/>
            <w:b/>
            <w:b/>
            <w:bCs/>
            <w:rtl w:val="true"/>
          </w:rPr>
          <w:t>נוסח חדש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 xml:space="preserve">], </w:t>
        </w:r>
        <w:r>
          <w:rPr>
            <w:rStyle w:val="Hyperlink"/>
            <w:rFonts w:ascii="FrankRuehl" w:hAnsi="FrankRuehl" w:eastAsia="David" w:cs="FrankRuehl"/>
            <w:b/>
            <w:b/>
            <w:bCs/>
            <w:rtl w:val="true"/>
          </w:rPr>
          <w:t>תשל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"</w:t>
        </w:r>
        <w:r>
          <w:rPr>
            <w:rStyle w:val="Hyperlink"/>
            <w:rFonts w:ascii="FrankRuehl" w:hAnsi="FrankRuehl" w:eastAsia="David" w:cs="FrankRuehl"/>
            <w:b/>
            <w:b/>
            <w:bCs/>
            <w:rtl w:val="true"/>
          </w:rPr>
          <w:t>ג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-</w:t>
        </w:r>
        <w:r>
          <w:rPr>
            <w:rStyle w:val="Hyperlink"/>
            <w:rFonts w:eastAsia="David" w:cs="FrankRuehl" w:ascii="FrankRuehl" w:hAnsi="FrankRuehl"/>
            <w:b/>
            <w:bCs/>
          </w:rPr>
          <w:t>1973</w:t>
        </w:r>
      </w:hyperlink>
      <w:r>
        <w:rPr>
          <w:rFonts w:cs="FrankRuehl" w:ascii="FrankRuehl" w:hAnsi="FrankRuehl"/>
          <w:b w:val="false"/>
          <w:bCs w:val="false"/>
          <w:color w:val="0000FF"/>
          <w:rtl w:val="true"/>
        </w:rPr>
        <w:t xml:space="preserve">: </w:t>
      </w:r>
      <w:r>
        <w:rPr>
          <w:rFonts w:ascii="FrankRuehl" w:hAnsi="FrankRuehl" w:cs="FrankRuehl"/>
          <w:b w:val="false"/>
          <w:b w:val="false"/>
          <w:bCs w:val="false"/>
          <w:color w:val="0000FF"/>
          <w:rtl w:val="true"/>
        </w:rPr>
        <w:t>סע</w:t>
      </w:r>
      <w:r>
        <w:rPr>
          <w:rFonts w:cs="FrankRuehl" w:ascii="FrankRuehl" w:hAnsi="FrankRuehl"/>
          <w:b w:val="false"/>
          <w:bCs w:val="false"/>
          <w:color w:val="0000FF"/>
          <w:rtl w:val="true"/>
        </w:rPr>
        <w:t xml:space="preserve">'  </w:t>
      </w:r>
      <w:hyperlink r:id="rId3">
        <w:r>
          <w:rPr>
            <w:rStyle w:val="Hyperlink"/>
            <w:rFonts w:eastAsia="David" w:cs="FrankRuehl" w:ascii="FrankRuehl" w:hAnsi="FrankRuehl"/>
            <w:b/>
            <w:bCs/>
          </w:rPr>
          <w:t>7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(</w:t>
        </w:r>
        <w:r>
          <w:rPr>
            <w:rStyle w:val="Hyperlink"/>
            <w:rFonts w:eastAsia="David" w:cs="FrankRuehl" w:ascii="FrankRuehl" w:hAnsi="FrankRuehl"/>
            <w:b/>
            <w:bCs/>
          </w:rPr>
          <w:t>1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)(</w:t>
        </w:r>
        <w:r>
          <w:rPr>
            <w:rStyle w:val="Hyperlink"/>
            <w:rFonts w:ascii="FrankRuehl" w:hAnsi="FrankRuehl" w:eastAsia="David" w:cs="FrankRuehl"/>
            <w:b/>
            <w:b/>
            <w:bCs/>
            <w:rtl w:val="true"/>
          </w:rPr>
          <w:t>א</w:t>
        </w:r>
        <w:r>
          <w:rPr>
            <w:rStyle w:val="Hyperlink"/>
            <w:rFonts w:eastAsia="David" w:cs="FrankRuehl" w:ascii="FrankRuehl" w:hAnsi="FrankRuehl"/>
            <w:b/>
            <w:bCs/>
            <w:rtl w:val="true"/>
          </w:rPr>
          <w:t>)</w:t>
        </w:r>
      </w:hyperlink>
    </w:p>
    <w:p>
      <w:pPr>
        <w:pStyle w:val="12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 w:val="false"/>
          <w:bCs w:val="false"/>
          <w:color w:val="0000FF"/>
          <w:u w:val="none"/>
        </w:rPr>
      </w:pPr>
      <w:r>
        <w:rPr>
          <w:rFonts w:cs="FrankRuehl" w:ascii="FrankRuehl" w:hAnsi="FrankRuehl"/>
          <w:b w:val="false"/>
          <w:bCs w:val="false"/>
          <w:color w:val="0000FF"/>
          <w:u w:val="none"/>
          <w:rtl w:val="true"/>
        </w:rPr>
      </w:r>
    </w:p>
    <w:p>
      <w:pPr>
        <w:pStyle w:val="12"/>
        <w:ind w:end="0"/>
        <w:jc w:val="start"/>
        <w:rPr>
          <w:rFonts w:ascii="FrankRuehl" w:hAnsi="FrankRuehl" w:cs="FrankRuehl"/>
          <w:b w:val="false"/>
          <w:bCs w:val="false"/>
          <w:u w:val="none"/>
        </w:rPr>
      </w:pPr>
      <w:r>
        <w:rPr>
          <w:rFonts w:cs="FrankRuehl" w:ascii="FrankRuehl" w:hAnsi="FrankRuehl"/>
          <w:b w:val="false"/>
          <w:bCs w:val="false"/>
          <w:u w:val="none"/>
          <w:rtl w:val="true"/>
        </w:rPr>
      </w:r>
      <w:bookmarkStart w:id="5" w:name="LawTable_End"/>
      <w:bookmarkStart w:id="6" w:name="LawTable_End"/>
      <w:bookmarkEnd w:id="6"/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none"/>
        </w:rPr>
      </w:pPr>
      <w:r>
        <w:rPr>
          <w:rFonts w:cs="Arial" w:ascii="Arial" w:hAnsi="Arial"/>
          <w:b/>
          <w:bCs/>
          <w:sz w:val="28"/>
          <w:szCs w:val="28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7" w:name="PsakDin"/>
      <w:bookmarkEnd w:id="7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</w:t>
      </w: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  <w:t>-</w:t>
      </w: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8" w:name="PsakDin"/>
      <w:bookmarkStart w:id="9" w:name="PsakDin"/>
      <w:bookmarkEnd w:id="9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 הורשע על</w:t>
      </w:r>
      <w:r>
        <w:rPr>
          <w:rtl w:val="true"/>
        </w:rPr>
        <w:t>-</w:t>
      </w:r>
      <w:r>
        <w:rPr>
          <w:rtl w:val="true"/>
        </w:rPr>
        <w:t>סמך הודייתו בבית</w:t>
      </w:r>
      <w:r>
        <w:rPr>
          <w:rtl w:val="true"/>
        </w:rPr>
        <w:t>-</w:t>
      </w:r>
      <w:r>
        <w:rPr>
          <w:rtl w:val="true"/>
        </w:rPr>
        <w:t>משפט השלום בתל</w:t>
      </w:r>
      <w:r>
        <w:rPr>
          <w:rtl w:val="true"/>
        </w:rPr>
        <w:t>-</w:t>
      </w:r>
      <w:r>
        <w:rPr>
          <w:rtl w:val="true"/>
        </w:rPr>
        <w:t>אביב בעבירה על החזקת סמים מסוכנים שלא לצריכה עצמית</w:t>
      </w:r>
      <w:r>
        <w:rPr>
          <w:rtl w:val="true"/>
        </w:rPr>
        <w:t xml:space="preserve">, </w:t>
      </w:r>
      <w:r>
        <w:rPr>
          <w:rtl w:val="true"/>
        </w:rPr>
        <w:t xml:space="preserve">עבירה על </w:t>
      </w:r>
      <w:hyperlink r:id="rId4">
        <w:r>
          <w:rPr>
            <w:rStyle w:val="Hyperlink"/>
            <w:rtl w:val="true"/>
          </w:rPr>
          <w:t>סעיף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</w:rPr>
          <w:t>7</w:t>
        </w:r>
        <w:r>
          <w:rPr>
            <w:rStyle w:val="Hyperlink"/>
            <w:rtl w:val="true"/>
          </w:rPr>
          <w:t>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5">
        <w:r>
          <w:rPr>
            <w:rStyle w:val="Hyperlink"/>
            <w:rtl w:val="true"/>
          </w:rPr>
          <w:t>פקודת הסמים המסוכנים</w:t>
        </w:r>
      </w:hyperlink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 חדש</w:t>
      </w:r>
      <w:r>
        <w:rPr>
          <w:rtl w:val="true"/>
        </w:rPr>
        <w:t>]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 העובדות שבכתב האישום המתוקן</w:t>
      </w:r>
      <w:r>
        <w:rPr>
          <w:rtl w:val="true"/>
        </w:rPr>
        <w:t xml:space="preserve">, </w:t>
      </w:r>
      <w:r>
        <w:rPr>
          <w:rtl w:val="true"/>
        </w:rPr>
        <w:t>שבו כאמור הודה המערער</w:t>
      </w:r>
      <w:r>
        <w:rPr>
          <w:rtl w:val="true"/>
        </w:rPr>
        <w:t xml:space="preserve">, </w:t>
      </w:r>
      <w:r>
        <w:rPr>
          <w:rtl w:val="true"/>
        </w:rPr>
        <w:t xml:space="preserve">בתאריך </w:t>
      </w:r>
      <w:r>
        <w:rPr/>
        <w:t>27.1.09</w:t>
      </w:r>
      <w:r>
        <w:rPr>
          <w:rtl w:val="true"/>
        </w:rPr>
        <w:t xml:space="preserve"> </w:t>
      </w:r>
      <w:r>
        <w:rPr>
          <w:rtl w:val="true"/>
        </w:rPr>
        <w:t xml:space="preserve">החזיק במונית שבחזקתו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סוליות חשיש במשקל נטו של </w:t>
      </w:r>
      <w:r>
        <w:rPr/>
        <w:t>1885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>שלא לצריכה עצמית וללא היתר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בית</w:t>
      </w:r>
      <w:r>
        <w:rPr>
          <w:rtl w:val="true"/>
        </w:rPr>
        <w:t>-</w:t>
      </w:r>
      <w:r>
        <w:rPr>
          <w:rtl w:val="true"/>
        </w:rPr>
        <w:t>משפט קמא קיבל באשר למערער תסקיר של שירות מבחן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tl w:val="true"/>
        </w:rPr>
        <w:t>-</w:t>
      </w:r>
      <w:r>
        <w:rPr>
          <w:rtl w:val="true"/>
        </w:rPr>
        <w:t>כן קיבל לגביו חוות</w:t>
      </w:r>
      <w:r>
        <w:rPr>
          <w:rtl w:val="true"/>
        </w:rPr>
        <w:t>-</w:t>
      </w:r>
      <w:r>
        <w:rPr>
          <w:rtl w:val="true"/>
        </w:rPr>
        <w:t>דעת של הממונה על עבודות שירות</w:t>
      </w:r>
      <w:r>
        <w:rPr>
          <w:rtl w:val="true"/>
        </w:rPr>
        <w:t xml:space="preserve">, </w:t>
      </w:r>
      <w:r>
        <w:rPr>
          <w:rtl w:val="true"/>
        </w:rPr>
        <w:t>שמצא כי המערער יכול לבצע עבודות שירות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בסופו של יום</w:t>
      </w:r>
      <w:r>
        <w:rPr>
          <w:rtl w:val="true"/>
        </w:rPr>
        <w:t xml:space="preserve">, </w:t>
      </w:r>
      <w:r>
        <w:rPr>
          <w:rtl w:val="true"/>
        </w:rPr>
        <w:t xml:space="preserve">הטיל עליו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בניכוי ימי מעצרו וכן מאסר על תנאי למשך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חודשים וקנס בסך כ</w:t>
      </w:r>
      <w:r>
        <w:rPr>
          <w:rtl w:val="true"/>
        </w:rPr>
        <w:t xml:space="preserve">- </w:t>
      </w:r>
      <w:r>
        <w:rPr/>
        <w:t>15,000</w:t>
      </w:r>
      <w:r>
        <w:rPr>
          <w:rtl w:val="true"/>
        </w:rPr>
        <w:t xml:space="preserve"> </w:t>
      </w:r>
      <w:r>
        <w:rPr>
          <w:rtl w:val="true"/>
        </w:rPr>
        <w:t xml:space="preserve">דולר אמריקאיים </w:t>
      </w:r>
      <w:r>
        <w:rPr>
          <w:rtl w:val="true"/>
        </w:rPr>
        <w:t>(</w:t>
      </w:r>
      <w:r>
        <w:rPr>
          <w:rtl w:val="true"/>
        </w:rPr>
        <w:t>כשוויים בשקלים</w:t>
      </w:r>
      <w:r>
        <w:rPr>
          <w:rtl w:val="true"/>
        </w:rPr>
        <w:t>).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על גזר הדין ובמיוחד על רכיב המאסר בפועל שבו</w:t>
      </w:r>
      <w:r>
        <w:rPr>
          <w:rtl w:val="true"/>
        </w:rPr>
        <w:t xml:space="preserve">, </w:t>
      </w:r>
      <w:r>
        <w:rPr>
          <w:rtl w:val="true"/>
        </w:rPr>
        <w:t>הערעור בפנינו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בהודעת הערעור</w:t>
      </w:r>
      <w:r>
        <w:rPr>
          <w:rtl w:val="true"/>
        </w:rPr>
        <w:t xml:space="preserve">, </w:t>
      </w:r>
      <w:r>
        <w:rPr>
          <w:rtl w:val="true"/>
        </w:rPr>
        <w:t>כמו גם בטיעונו בפנינו</w:t>
      </w:r>
      <w:r>
        <w:rPr>
          <w:rtl w:val="true"/>
        </w:rPr>
        <w:t xml:space="preserve">, </w:t>
      </w:r>
      <w:r>
        <w:rPr>
          <w:rtl w:val="true"/>
        </w:rPr>
        <w:t>טען בא</w:t>
      </w:r>
      <w:r>
        <w:rPr>
          <w:rtl w:val="true"/>
        </w:rPr>
        <w:t>-</w:t>
      </w:r>
      <w:r>
        <w:rPr>
          <w:rtl w:val="true"/>
        </w:rPr>
        <w:t>כוח המערער כי היה מקום במקרה זה להסתפק בענישה אותה ניתן לרצות בדרך של עבודות שירות ולא להטיל על המערער מאסר בפועל</w:t>
      </w:r>
      <w:r>
        <w:rPr>
          <w:rtl w:val="true"/>
        </w:rPr>
        <w:t xml:space="preserve">. </w:t>
      </w:r>
      <w:r>
        <w:rPr>
          <w:rtl w:val="true"/>
        </w:rPr>
        <w:t>בא</w:t>
      </w:r>
      <w:r>
        <w:rPr>
          <w:rtl w:val="true"/>
        </w:rPr>
        <w:t>-</w:t>
      </w:r>
      <w:r>
        <w:rPr>
          <w:rtl w:val="true"/>
        </w:rPr>
        <w:t>כוח המערער הרחיב את הדיבור על נסיבותיו המיוחדות של המערער</w:t>
      </w:r>
      <w:r>
        <w:rPr>
          <w:rtl w:val="true"/>
        </w:rPr>
        <w:t xml:space="preserve">, </w:t>
      </w:r>
      <w:r>
        <w:rPr>
          <w:rtl w:val="true"/>
        </w:rPr>
        <w:t>ועוד יותר מכך</w:t>
      </w:r>
      <w:r>
        <w:rPr>
          <w:rtl w:val="true"/>
        </w:rPr>
        <w:t xml:space="preserve">, </w:t>
      </w:r>
      <w:r>
        <w:rPr>
          <w:rtl w:val="true"/>
        </w:rPr>
        <w:t>על נסיבותיה המיוחדות של משפחת המערער</w:t>
      </w:r>
      <w:r>
        <w:rPr>
          <w:rtl w:val="true"/>
        </w:rPr>
        <w:t xml:space="preserve">. </w:t>
      </w:r>
      <w:r>
        <w:rPr>
          <w:rtl w:val="true"/>
        </w:rPr>
        <w:t>מטעמים של צינעת הפרט איננו רואים לחזור כאן בדיון</w:t>
      </w:r>
      <w:r>
        <w:rPr>
          <w:rtl w:val="true"/>
        </w:rPr>
        <w:t xml:space="preserve">, </w:t>
      </w:r>
      <w:r>
        <w:rPr>
          <w:rtl w:val="true"/>
        </w:rPr>
        <w:t>הנערך בדלתיים פתוחות</w:t>
      </w:r>
      <w:r>
        <w:rPr>
          <w:rtl w:val="true"/>
        </w:rPr>
        <w:t xml:space="preserve">, </w:t>
      </w:r>
      <w:r>
        <w:rPr>
          <w:rtl w:val="true"/>
        </w:rPr>
        <w:t>על כל הדברים האמורים בתסקיר ושבאו לידי ביטוי בטיעון שבכתב בהודעת הערעור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לצד הנסיבות המיוחדות של משפחת המערער</w:t>
      </w:r>
      <w:r>
        <w:rPr>
          <w:rtl w:val="true"/>
        </w:rPr>
        <w:t xml:space="preserve">, </w:t>
      </w:r>
      <w:r>
        <w:rPr>
          <w:rtl w:val="true"/>
        </w:rPr>
        <w:t>הרחיב בא</w:t>
      </w:r>
      <w:r>
        <w:rPr>
          <w:rtl w:val="true"/>
        </w:rPr>
        <w:t>-</w:t>
      </w:r>
      <w:r>
        <w:rPr>
          <w:rtl w:val="true"/>
        </w:rPr>
        <w:t>כוח המערער את הדיבור על אלה</w:t>
      </w:r>
      <w:r>
        <w:rPr>
          <w:rtl w:val="true"/>
        </w:rPr>
        <w:t xml:space="preserve">: </w:t>
      </w:r>
      <w:r>
        <w:rPr>
          <w:rtl w:val="true"/>
        </w:rPr>
        <w:t>מדובר בעבירה יחידה עבור המערער</w:t>
      </w:r>
      <w:r>
        <w:rPr>
          <w:rtl w:val="true"/>
        </w:rPr>
        <w:t xml:space="preserve">. </w:t>
      </w:r>
      <w:r>
        <w:rPr>
          <w:rtl w:val="true"/>
        </w:rPr>
        <w:t>לא לפני ולא אחרי לא הסתבך עם החוק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בעקבות האירוע</w:t>
      </w:r>
      <w:r>
        <w:rPr>
          <w:rtl w:val="true"/>
        </w:rPr>
        <w:t xml:space="preserve">, </w:t>
      </w:r>
      <w:r>
        <w:rPr>
          <w:rtl w:val="true"/>
        </w:rPr>
        <w:t>עבר טיפול</w:t>
      </w:r>
      <w:r>
        <w:rPr>
          <w:rtl w:val="true"/>
        </w:rPr>
        <w:t xml:space="preserve">, </w:t>
      </w:r>
      <w:r>
        <w:rPr>
          <w:rtl w:val="true"/>
        </w:rPr>
        <w:t>המשפחה כולה התגייסה לכך והוא עבר טיפול יעיל</w:t>
      </w:r>
      <w:r>
        <w:rPr>
          <w:rtl w:val="true"/>
        </w:rPr>
        <w:t xml:space="preserve">, </w:t>
      </w:r>
      <w:r>
        <w:rPr>
          <w:rtl w:val="true"/>
        </w:rPr>
        <w:t>הן פרטני והן משפחתי</w:t>
      </w:r>
      <w:r>
        <w:rPr>
          <w:rtl w:val="true"/>
        </w:rPr>
        <w:t xml:space="preserve">. </w:t>
      </w:r>
      <w:r>
        <w:rPr>
          <w:rtl w:val="true"/>
        </w:rPr>
        <w:t>שליחתו כרגע למאסר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 כל אינפורמציה המצוייה בפני בית</w:t>
      </w:r>
      <w:r>
        <w:rPr>
          <w:rtl w:val="true"/>
        </w:rPr>
        <w:t>-</w:t>
      </w:r>
      <w:r>
        <w:rPr>
          <w:rtl w:val="true"/>
        </w:rPr>
        <w:t>משפט</w:t>
      </w:r>
      <w:r>
        <w:rPr>
          <w:rtl w:val="true"/>
        </w:rPr>
        <w:t xml:space="preserve">, </w:t>
      </w:r>
      <w:r>
        <w:rPr>
          <w:rtl w:val="true"/>
        </w:rPr>
        <w:t>לרבות זו המצוייה בתסקיר שירות המבחן</w:t>
      </w:r>
      <w:r>
        <w:rPr>
          <w:rtl w:val="true"/>
        </w:rPr>
        <w:t xml:space="preserve">, </w:t>
      </w:r>
      <w:r>
        <w:rPr>
          <w:rtl w:val="true"/>
        </w:rPr>
        <w:t>עלולה בשל הנסיבות המיוחדות להביא להתדרדרות קריטית במצבו</w:t>
      </w:r>
      <w:r>
        <w:rPr>
          <w:rtl w:val="true"/>
        </w:rPr>
        <w:t xml:space="preserve">. </w:t>
      </w:r>
      <w:r>
        <w:rPr>
          <w:rtl w:val="true"/>
        </w:rPr>
        <w:t>שירות המבחן המליץ להימנע משליחתו של המערער למאסר</w:t>
      </w:r>
      <w:r>
        <w:rPr>
          <w:rtl w:val="true"/>
        </w:rPr>
        <w:t xml:space="preserve">, </w:t>
      </w:r>
      <w:r>
        <w:rPr>
          <w:rtl w:val="true"/>
        </w:rPr>
        <w:t>ובמקביל המליץ על העמדתו בפיקוח של שירות המבחן</w:t>
      </w:r>
      <w:r>
        <w:rPr>
          <w:rtl w:val="true"/>
        </w:rPr>
        <w:t xml:space="preserve">. </w:t>
      </w:r>
      <w:r>
        <w:rPr>
          <w:rtl w:val="true"/>
        </w:rPr>
        <w:t>על המערער הוטל קנס כבד במיוחד והוא עובד ומחזיר אותו</w:t>
      </w:r>
      <w:r>
        <w:rPr>
          <w:rtl w:val="true"/>
        </w:rPr>
        <w:t xml:space="preserve">. </w:t>
      </w:r>
      <w:r>
        <w:rPr>
          <w:rtl w:val="true"/>
        </w:rPr>
        <w:t>המערער גם שהה תקופה ארוכה במיוחד במעצר בית</w:t>
      </w:r>
      <w:r>
        <w:rPr>
          <w:rtl w:val="true"/>
        </w:rPr>
        <w:t xml:space="preserve">, </w:t>
      </w:r>
      <w:r>
        <w:rPr>
          <w:rtl w:val="true"/>
        </w:rPr>
        <w:t>וגם לכך היתה השפעה קשה לגביו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בשל כל הגורמים הללו גם יחד</w:t>
      </w:r>
      <w:r>
        <w:rPr>
          <w:rtl w:val="true"/>
        </w:rPr>
        <w:t xml:space="preserve">, </w:t>
      </w:r>
      <w:r>
        <w:rPr>
          <w:rtl w:val="true"/>
        </w:rPr>
        <w:t>העתירה היא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להימנע משליחתו למאסר פועל</w:t>
      </w:r>
      <w:r>
        <w:rPr>
          <w:rtl w:val="true"/>
        </w:rPr>
        <w:t xml:space="preserve">. </w:t>
      </w:r>
      <w:r>
        <w:rPr>
          <w:rtl w:val="true"/>
        </w:rPr>
        <w:t>הסניגור הדגיש בפנינו</w:t>
      </w:r>
      <w:r>
        <w:rPr>
          <w:rtl w:val="true"/>
        </w:rPr>
        <w:t xml:space="preserve">, </w:t>
      </w:r>
      <w:r>
        <w:rPr>
          <w:rtl w:val="true"/>
        </w:rPr>
        <w:t xml:space="preserve">כי בסך הכל אם תוטל עליו תקופה של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 מאסר שירוצו בדרך של עבודות</w:t>
      </w:r>
      <w:r>
        <w:rPr>
          <w:rtl w:val="true"/>
        </w:rPr>
        <w:t xml:space="preserve">,  </w:t>
      </w:r>
      <w:r>
        <w:rPr>
          <w:rtl w:val="true"/>
        </w:rPr>
        <w:t>שירות</w:t>
      </w:r>
      <w:r>
        <w:rPr>
          <w:rtl w:val="true"/>
        </w:rPr>
        <w:t xml:space="preserve">,  </w:t>
      </w:r>
      <w:r>
        <w:rPr>
          <w:rtl w:val="true"/>
        </w:rPr>
        <w:t>אורך התקופה לא יפול מזה שהטיל בית</w:t>
      </w:r>
      <w:r>
        <w:rPr>
          <w:rtl w:val="true"/>
        </w:rPr>
        <w:t>-</w:t>
      </w:r>
      <w:r>
        <w:rPr>
          <w:rtl w:val="true"/>
        </w:rPr>
        <w:t>משפט קמא</w:t>
      </w:r>
      <w:r>
        <w:rPr>
          <w:rtl w:val="true"/>
        </w:rPr>
        <w:t xml:space="preserve">, </w:t>
      </w:r>
      <w:r>
        <w:rPr>
          <w:rtl w:val="true"/>
        </w:rPr>
        <w:t>בהינתן העובדה שבית</w:t>
      </w:r>
      <w:r>
        <w:rPr>
          <w:rtl w:val="true"/>
        </w:rPr>
        <w:t>-</w:t>
      </w:r>
      <w:r>
        <w:rPr>
          <w:rtl w:val="true"/>
        </w:rPr>
        <w:t>משפט קמא הורה על קיזוז המעצר והתקופה מתקזזת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 המדינה ביקשה שלא להתערב בהחלטתו של בית</w:t>
      </w:r>
      <w:r>
        <w:rPr>
          <w:rtl w:val="true"/>
        </w:rPr>
        <w:t>-</w:t>
      </w:r>
      <w:r>
        <w:rPr>
          <w:rtl w:val="true"/>
        </w:rPr>
        <w:t>משפט קמא</w:t>
      </w:r>
      <w:r>
        <w:rPr>
          <w:rtl w:val="true"/>
        </w:rPr>
        <w:t xml:space="preserve">. </w:t>
      </w:r>
      <w:r>
        <w:rPr>
          <w:rtl w:val="true"/>
        </w:rPr>
        <w:t>הדגש בדבריה הושם על הכמות שמדובר בה ועל משמעותה של כמות כזו</w:t>
      </w:r>
      <w:r>
        <w:rPr>
          <w:rtl w:val="true"/>
        </w:rPr>
        <w:t xml:space="preserve">, </w:t>
      </w:r>
      <w:r>
        <w:rPr>
          <w:rtl w:val="true"/>
        </w:rPr>
        <w:t>כאשר היא מגיעה לשוק</w:t>
      </w:r>
      <w:r>
        <w:rPr>
          <w:rtl w:val="true"/>
        </w:rPr>
        <w:t xml:space="preserve">. </w:t>
      </w:r>
      <w:r>
        <w:rPr>
          <w:rtl w:val="true"/>
        </w:rPr>
        <w:t>מדובר בכמות מאסיבית</w:t>
      </w:r>
      <w:r>
        <w:rPr>
          <w:rtl w:val="true"/>
        </w:rPr>
        <w:t xml:space="preserve">. </w:t>
      </w:r>
      <w:r>
        <w:rPr>
          <w:rtl w:val="true"/>
        </w:rPr>
        <w:t>המערער החזיק את הכמות במונית שהיתה ברשותו נכון לאותו יום</w:t>
      </w:r>
      <w:r>
        <w:rPr>
          <w:rtl w:val="true"/>
        </w:rPr>
        <w:t xml:space="preserve">. </w:t>
      </w:r>
      <w:r>
        <w:rPr>
          <w:rtl w:val="true"/>
        </w:rPr>
        <w:t>הנורמטיביות שבדרך חייו אינה יכולה להוות מענה לצורך במלחמה בנגע הסמים</w:t>
      </w:r>
      <w:r>
        <w:rPr>
          <w:rtl w:val="true"/>
        </w:rPr>
        <w:t xml:space="preserve">, </w:t>
      </w:r>
      <w:r>
        <w:rPr>
          <w:rtl w:val="true"/>
        </w:rPr>
        <w:t>ולאמירה ברורה של בית המשפט בנושא זה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התלבטנו לא מעט בתיק זה</w:t>
      </w:r>
      <w:r>
        <w:rPr>
          <w:rtl w:val="true"/>
        </w:rPr>
        <w:t xml:space="preserve">, </w:t>
      </w:r>
      <w:r>
        <w:rPr>
          <w:rtl w:val="true"/>
        </w:rPr>
        <w:t>לא רק בישיבה הנוכחית אלא אף בישיבות שקדמו לכך</w:t>
      </w:r>
      <w:r>
        <w:rPr>
          <w:rtl w:val="true"/>
        </w:rPr>
        <w:t xml:space="preserve">. </w:t>
      </w:r>
      <w:r>
        <w:rPr>
          <w:rtl w:val="true"/>
        </w:rPr>
        <w:t>משום כך גם הורינו בישיבה קודמת</w:t>
      </w:r>
      <w:r>
        <w:rPr>
          <w:rtl w:val="true"/>
        </w:rPr>
        <w:t xml:space="preserve">, </w:t>
      </w:r>
      <w:r>
        <w:rPr>
          <w:rtl w:val="true"/>
        </w:rPr>
        <w:t xml:space="preserve">מיום </w:t>
      </w:r>
      <w:r>
        <w:rPr/>
        <w:t>12.1.11</w:t>
      </w:r>
      <w:r>
        <w:rPr>
          <w:rtl w:val="true"/>
        </w:rPr>
        <w:t xml:space="preserve">, </w:t>
      </w:r>
      <w:r>
        <w:rPr>
          <w:rtl w:val="true"/>
        </w:rPr>
        <w:t>על המשך המעקב אחרי המערער שבפנינו</w:t>
      </w:r>
      <w:r>
        <w:rPr>
          <w:rtl w:val="true"/>
        </w:rPr>
        <w:t xml:space="preserve">, </w:t>
      </w:r>
      <w:r>
        <w:rPr>
          <w:rtl w:val="true"/>
        </w:rPr>
        <w:t>תוך המצאת תסקיר עדכני של שירות המבחן לקראת הישיבה דהיום</w:t>
      </w:r>
      <w:r>
        <w:rPr>
          <w:rtl w:val="true"/>
        </w:rPr>
        <w:t xml:space="preserve">. </w:t>
      </w:r>
      <w:r>
        <w:rPr>
          <w:rtl w:val="true"/>
        </w:rPr>
        <w:t>התלבטנו</w:t>
      </w:r>
      <w:r>
        <w:rPr>
          <w:rtl w:val="true"/>
        </w:rPr>
        <w:t xml:space="preserve">, </w:t>
      </w:r>
      <w:r>
        <w:rPr>
          <w:rtl w:val="true"/>
        </w:rPr>
        <w:t>משום שבבסיס טיעוניהם של כל אחד מהצדדים מצויים שיקולים נכונים וראויים</w:t>
      </w:r>
      <w:r>
        <w:rPr>
          <w:rtl w:val="true"/>
        </w:rPr>
        <w:t xml:space="preserve">, </w:t>
      </w:r>
      <w:r>
        <w:rPr>
          <w:rtl w:val="true"/>
        </w:rPr>
        <w:t>שראוי שיינתן להם ביטוי בגזר הדין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צודקת המדינה כאשר היא מפנה אותנו לעצם החזקת סם שלא לצריכה עצמית</w:t>
      </w:r>
      <w:r>
        <w:rPr>
          <w:rtl w:val="true"/>
        </w:rPr>
        <w:t xml:space="preserve">, </w:t>
      </w:r>
      <w:r>
        <w:rPr>
          <w:rtl w:val="true"/>
        </w:rPr>
        <w:t>ובמיוחד לכמות שדובר בה</w:t>
      </w:r>
      <w:r>
        <w:rPr>
          <w:rtl w:val="true"/>
        </w:rPr>
        <w:t xml:space="preserve">. </w:t>
      </w:r>
      <w:r>
        <w:rPr>
          <w:rtl w:val="true"/>
        </w:rPr>
        <w:t>לא צריך דימיון רב כדי להבין את הנזק לציבור מחדירתה של כמות זו מעין זו לשוק הסמים</w:t>
      </w:r>
      <w:r>
        <w:rPr>
          <w:rtl w:val="true"/>
        </w:rPr>
        <w:t xml:space="preserve">, </w:t>
      </w:r>
      <w:r>
        <w:rPr>
          <w:rtl w:val="true"/>
        </w:rPr>
        <w:t>הרווי גם בלעדיה</w:t>
      </w:r>
      <w:r>
        <w:rPr>
          <w:rtl w:val="true"/>
        </w:rPr>
        <w:t xml:space="preserve">. </w:t>
      </w:r>
      <w:r>
        <w:rPr>
          <w:rtl w:val="true"/>
        </w:rPr>
        <w:t>העובדה שהמערער החזיק בכמות זו</w:t>
      </w:r>
      <w:r>
        <w:rPr>
          <w:rtl w:val="true"/>
        </w:rPr>
        <w:t xml:space="preserve">, </w:t>
      </w:r>
      <w:r>
        <w:rPr>
          <w:rtl w:val="true"/>
        </w:rPr>
        <w:t>בנסיבות שבהן החזיק</w:t>
      </w:r>
      <w:r>
        <w:rPr>
          <w:rtl w:val="true"/>
        </w:rPr>
        <w:t xml:space="preserve">, </w:t>
      </w:r>
      <w:r>
        <w:rPr>
          <w:rtl w:val="true"/>
        </w:rPr>
        <w:t>מהווה אף היא נסיבה לחומרא</w:t>
      </w:r>
      <w:r>
        <w:rPr>
          <w:rtl w:val="true"/>
        </w:rPr>
        <w:t xml:space="preserve">. 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>גם אורח חיים נורמטיבי עד לביצוע העבירה</w:t>
      </w:r>
      <w:r>
        <w:rPr>
          <w:rtl w:val="true"/>
        </w:rPr>
        <w:t xml:space="preserve">, </w:t>
      </w:r>
      <w:r>
        <w:rPr>
          <w:rtl w:val="true"/>
        </w:rPr>
        <w:t>איננו יכול להוות מענה לצורך במלחמה בנגע הסמים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בנסיבות רגילות הדעת נותנת שלא היינו מתערבים בענישה</w:t>
      </w:r>
      <w:r>
        <w:rPr>
          <w:rtl w:val="true"/>
        </w:rPr>
        <w:t xml:space="preserve">, </w:t>
      </w:r>
      <w:r>
        <w:rPr>
          <w:rtl w:val="true"/>
        </w:rPr>
        <w:t>במיוחד כך כאשר התקופה שהטיל בית</w:t>
      </w:r>
      <w:r>
        <w:rPr>
          <w:rtl w:val="true"/>
        </w:rPr>
        <w:t>-</w:t>
      </w:r>
      <w:r>
        <w:rPr>
          <w:rtl w:val="true"/>
        </w:rPr>
        <w:t>משפט קמא איננה חריגה ואיננה מחמירה עם 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 xml:space="preserve">אם בכל זאת מצאנו לנכון להתערב בענישה ולהעמיד את התקופה על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אותם יוכל המערער לרצות בדרך של עבודות שירות</w:t>
      </w:r>
      <w:r>
        <w:rPr>
          <w:rtl w:val="true"/>
        </w:rPr>
        <w:t xml:space="preserve">, </w:t>
      </w:r>
      <w:r>
        <w:rPr>
          <w:rtl w:val="true"/>
        </w:rPr>
        <w:t>הרי זה משום שאנו נותנים במקרה הנוכחי</w:t>
      </w:r>
      <w:r>
        <w:rPr>
          <w:rtl w:val="true"/>
        </w:rPr>
        <w:t xml:space="preserve">, </w:t>
      </w:r>
      <w:r>
        <w:rPr>
          <w:rtl w:val="true"/>
        </w:rPr>
        <w:t>משקל מירבי לנסיבותיה החריגות של משפחת המערער ולמשמעות המאסר עבורו ועבור המשפחה בשל אותן נסיבות</w:t>
      </w:r>
      <w:r>
        <w:rPr>
          <w:rtl w:val="true"/>
        </w:rPr>
        <w:t xml:space="preserve">. </w:t>
      </w:r>
      <w:r>
        <w:rPr>
          <w:rtl w:val="true"/>
        </w:rPr>
        <w:t>גם בית</w:t>
      </w:r>
      <w:r>
        <w:rPr>
          <w:rtl w:val="true"/>
        </w:rPr>
        <w:t>-</w:t>
      </w:r>
      <w:r>
        <w:rPr>
          <w:rtl w:val="true"/>
        </w:rPr>
        <w:t>משפט שהמשפט הפלילי הוא לחם חוקו</w:t>
      </w:r>
      <w:r>
        <w:rPr>
          <w:rtl w:val="true"/>
        </w:rPr>
        <w:t xml:space="preserve">, </w:t>
      </w:r>
      <w:r>
        <w:rPr>
          <w:rtl w:val="true"/>
        </w:rPr>
        <w:t>לא בכל יום נתקל בצירוף נסיבות שכזה בתוך משפחת המערער</w:t>
      </w:r>
      <w:r>
        <w:rPr>
          <w:rtl w:val="true"/>
        </w:rPr>
        <w:t xml:space="preserve">. </w:t>
      </w:r>
      <w:r>
        <w:rPr>
          <w:rtl w:val="true"/>
        </w:rPr>
        <w:t>לא בכדי ראינו לנכון להמשיך ולעקוב אחר המערער תקופה נוספת</w:t>
      </w:r>
      <w:r>
        <w:rPr>
          <w:rtl w:val="true"/>
        </w:rPr>
        <w:t xml:space="preserve">, </w:t>
      </w:r>
      <w:r>
        <w:rPr>
          <w:rtl w:val="true"/>
        </w:rPr>
        <w:t>משום שרצינו להיות משוכנעים כי אכן אין מדובר בהתגייסות רגעית</w:t>
      </w:r>
      <w:r>
        <w:rPr>
          <w:rtl w:val="true"/>
        </w:rPr>
        <w:t xml:space="preserve">, </w:t>
      </w:r>
      <w:r>
        <w:rPr>
          <w:rtl w:val="true"/>
        </w:rPr>
        <w:t>שמטרתה לקדם את פסק הדין בערעור</w:t>
      </w:r>
      <w:r>
        <w:rPr>
          <w:rtl w:val="true"/>
        </w:rPr>
        <w:t xml:space="preserve">, </w:t>
      </w:r>
      <w:r>
        <w:rPr>
          <w:rtl w:val="true"/>
        </w:rPr>
        <w:t>אלא ביכולת לעמוד בדרך חיים נורמטיבית גם בתום התקופה</w:t>
      </w:r>
      <w:r>
        <w:rPr>
          <w:rtl w:val="true"/>
        </w:rPr>
        <w:t xml:space="preserve">. </w:t>
      </w:r>
      <w:r>
        <w:rPr>
          <w:rtl w:val="true"/>
        </w:rPr>
        <w:t>תסקיר שירות המבחן</w:t>
      </w:r>
      <w:r>
        <w:rPr>
          <w:rtl w:val="true"/>
        </w:rPr>
        <w:t xml:space="preserve">, </w:t>
      </w:r>
      <w:r>
        <w:rPr>
          <w:rtl w:val="true"/>
        </w:rPr>
        <w:t xml:space="preserve">המונח בפנינו כרגע </w:t>
      </w:r>
      <w:r>
        <w:rPr>
          <w:rtl w:val="true"/>
        </w:rPr>
        <w:t>(</w:t>
      </w:r>
      <w:r>
        <w:rPr>
          <w:rtl w:val="true"/>
        </w:rPr>
        <w:t xml:space="preserve">מיום </w:t>
      </w:r>
      <w:r>
        <w:rPr/>
        <w:t>1.6.11</w:t>
      </w:r>
      <w:r>
        <w:rPr>
          <w:rtl w:val="true"/>
        </w:rPr>
        <w:t xml:space="preserve">) </w:t>
      </w:r>
      <w:r>
        <w:rPr>
          <w:rtl w:val="true"/>
        </w:rPr>
        <w:t>מצביע על</w:t>
      </w:r>
      <w:r>
        <w:rPr>
          <w:rtl w:val="true"/>
        </w:rPr>
        <w:t>-</w:t>
      </w:r>
      <w:r>
        <w:rPr>
          <w:rtl w:val="true"/>
        </w:rPr>
        <w:t>כך שהתשובה לשאלה אחרונה זו היא חיובית</w:t>
      </w:r>
      <w:r>
        <w:rPr>
          <w:rtl w:val="true"/>
        </w:rPr>
        <w:t xml:space="preserve">. </w:t>
      </w:r>
      <w:r>
        <w:rPr>
          <w:rtl w:val="true"/>
        </w:rPr>
        <w:t>אין מדובר רק בהתגייסות רגעית</w:t>
      </w:r>
      <w:r>
        <w:rPr>
          <w:rtl w:val="true"/>
        </w:rPr>
        <w:t xml:space="preserve">. </w:t>
      </w:r>
      <w:r>
        <w:rPr>
          <w:rtl w:val="true"/>
        </w:rPr>
        <w:t>שירות המבחן מציין</w:t>
      </w:r>
      <w:r>
        <w:rPr>
          <w:rtl w:val="true"/>
        </w:rPr>
        <w:t xml:space="preserve">, </w:t>
      </w:r>
      <w:r>
        <w:rPr>
          <w:rtl w:val="true"/>
        </w:rPr>
        <w:t>כי המערער איננו בעל דפוסים עברייניים</w:t>
      </w:r>
      <w:r>
        <w:rPr>
          <w:rtl w:val="true"/>
        </w:rPr>
        <w:t xml:space="preserve">. </w:t>
      </w:r>
      <w:r>
        <w:rPr>
          <w:rtl w:val="true"/>
        </w:rPr>
        <w:t>מעורבותו בעבירה היא חריגה</w:t>
      </w:r>
      <w:r>
        <w:rPr>
          <w:rtl w:val="true"/>
        </w:rPr>
        <w:t xml:space="preserve">, </w:t>
      </w:r>
      <w:r>
        <w:rPr>
          <w:rtl w:val="true"/>
        </w:rPr>
        <w:t>על רקע משבר אישי מתמשך עימו גדל מגיל צעיר</w:t>
      </w:r>
      <w:r>
        <w:rPr>
          <w:rtl w:val="true"/>
        </w:rPr>
        <w:t xml:space="preserve">, </w:t>
      </w:r>
      <w:r>
        <w:rPr>
          <w:rtl w:val="true"/>
        </w:rPr>
        <w:t>אשר שיאו בא לביטוי בביצוע העבירה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כפי שציינו לעיל</w:t>
      </w:r>
      <w:r>
        <w:rPr>
          <w:rtl w:val="true"/>
        </w:rPr>
        <w:t xml:space="preserve">, </w:t>
      </w:r>
      <w:r>
        <w:rPr>
          <w:rtl w:val="true"/>
        </w:rPr>
        <w:t>בהינתן הנסיבות המיוחדות של המשפחה</w:t>
      </w:r>
      <w:r>
        <w:rPr>
          <w:rtl w:val="true"/>
        </w:rPr>
        <w:t xml:space="preserve">, </w:t>
      </w:r>
      <w:r>
        <w:rPr>
          <w:rtl w:val="true"/>
        </w:rPr>
        <w:t>נראה כי קביעתו זו של שירות המבחן יש לה על מה שתסמוך והיא לא נאמרה בחלל הריק</w:t>
      </w:r>
      <w:r>
        <w:rPr>
          <w:rtl w:val="true"/>
        </w:rPr>
        <w:t xml:space="preserve">. </w:t>
      </w:r>
      <w:r>
        <w:rPr>
          <w:rtl w:val="true"/>
        </w:rPr>
        <w:t>אנו רוצים לקוות</w:t>
      </w:r>
      <w:r>
        <w:rPr>
          <w:rtl w:val="true"/>
        </w:rPr>
        <w:t xml:space="preserve">, </w:t>
      </w:r>
      <w:r>
        <w:rPr>
          <w:rtl w:val="true"/>
        </w:rPr>
        <w:t>כי התגייסותה של המשפחה</w:t>
      </w:r>
      <w:r>
        <w:rPr>
          <w:rtl w:val="true"/>
        </w:rPr>
        <w:t xml:space="preserve">, </w:t>
      </w:r>
      <w:r>
        <w:rPr>
          <w:rtl w:val="true"/>
        </w:rPr>
        <w:t>כמו גם התגייסותם של הרשויות</w:t>
      </w:r>
      <w:r>
        <w:rPr>
          <w:rtl w:val="true"/>
        </w:rPr>
        <w:t xml:space="preserve">, </w:t>
      </w:r>
      <w:r>
        <w:rPr>
          <w:rtl w:val="true"/>
        </w:rPr>
        <w:t>לרבות בית המשפט בשלב הנוכחי של הדברים</w:t>
      </w:r>
      <w:r>
        <w:rPr>
          <w:rtl w:val="true"/>
        </w:rPr>
        <w:t xml:space="preserve">, </w:t>
      </w:r>
      <w:r>
        <w:rPr>
          <w:rtl w:val="true"/>
        </w:rPr>
        <w:t>תביא אכן לתוצאות המקוות ופרשת הסמים תהיה אפיזודה חולפת בחיי המערער ולא מעבר לכך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משקל מסויים</w:t>
      </w:r>
      <w:r>
        <w:rPr>
          <w:rtl w:val="true"/>
        </w:rPr>
        <w:t xml:space="preserve">, </w:t>
      </w:r>
      <w:r>
        <w:rPr>
          <w:rtl w:val="true"/>
        </w:rPr>
        <w:t>מוגבל בהיקפו</w:t>
      </w:r>
      <w:r>
        <w:rPr>
          <w:rtl w:val="true"/>
        </w:rPr>
        <w:t xml:space="preserve">, </w:t>
      </w:r>
      <w:r>
        <w:rPr>
          <w:rtl w:val="true"/>
        </w:rPr>
        <w:t>אנו נותנים גם לעובדה שבית</w:t>
      </w:r>
      <w:r>
        <w:rPr>
          <w:rtl w:val="true"/>
        </w:rPr>
        <w:t>-</w:t>
      </w:r>
      <w:r>
        <w:rPr>
          <w:rtl w:val="true"/>
        </w:rPr>
        <w:t>משפט קמא היפנה את המערער</w:t>
      </w:r>
      <w:r>
        <w:rPr>
          <w:rtl w:val="true"/>
        </w:rPr>
        <w:t xml:space="preserve">, </w:t>
      </w:r>
      <w:r>
        <w:rPr>
          <w:rtl w:val="true"/>
        </w:rPr>
        <w:t xml:space="preserve">בהחלטתו מיום </w:t>
      </w:r>
      <w:r>
        <w:rPr/>
        <w:t>27.1.10</w:t>
      </w:r>
      <w:r>
        <w:rPr>
          <w:rtl w:val="true"/>
        </w:rPr>
        <w:t xml:space="preserve">, </w:t>
      </w:r>
      <w:r>
        <w:rPr>
          <w:rtl w:val="true"/>
        </w:rPr>
        <w:t>לקבלת חוות</w:t>
      </w:r>
      <w:r>
        <w:rPr>
          <w:rtl w:val="true"/>
        </w:rPr>
        <w:t>-</w:t>
      </w:r>
      <w:r>
        <w:rPr>
          <w:rtl w:val="true"/>
        </w:rPr>
        <w:t>דעת של הממונה על עבודות שירות</w:t>
      </w:r>
      <w:r>
        <w:rPr>
          <w:rtl w:val="true"/>
        </w:rPr>
        <w:t xml:space="preserve">, </w:t>
      </w:r>
      <w:r>
        <w:rPr>
          <w:rtl w:val="true"/>
        </w:rPr>
        <w:t>בלי שנוספה להחלטתו זו הסתייגות מהאפשרות כי המערער ירצה מאסר בדרך זו</w:t>
      </w:r>
      <w:r>
        <w:rPr>
          <w:rtl w:val="true"/>
        </w:rPr>
        <w:t xml:space="preserve">. </w:t>
      </w:r>
      <w:r>
        <w:rPr>
          <w:rtl w:val="true"/>
        </w:rPr>
        <w:t>לענין זה אנו מפנים ל</w:t>
      </w:r>
      <w:hyperlink r:id="rId6">
        <w:r>
          <w:rPr>
            <w:rStyle w:val="Hyperlink"/>
            <w:rtl w:val="true"/>
          </w:rPr>
          <w:t>רע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 xml:space="preserve">פ </w:t>
        </w:r>
        <w:r>
          <w:rPr>
            <w:rStyle w:val="Hyperlink"/>
          </w:rPr>
          <w:t>3389/11</w:t>
        </w:r>
      </w:hyperlink>
      <w:r>
        <w:rPr>
          <w:rtl w:val="true"/>
        </w:rPr>
        <w:t xml:space="preserve"> </w:t>
      </w:r>
      <w:r>
        <w:rPr>
          <w:rtl w:val="true"/>
        </w:rPr>
        <w:t>מתיקו דראגו נ</w:t>
      </w:r>
      <w:r>
        <w:rPr>
          <w:rtl w:val="true"/>
        </w:rPr>
        <w:t xml:space="preserve">' </w:t>
      </w:r>
      <w:r>
        <w:rPr>
          <w:rtl w:val="true"/>
        </w:rPr>
        <w:t xml:space="preserve">מדינת ישראל </w:t>
      </w:r>
      <w:r>
        <w:rPr>
          <w:rtl w:val="true"/>
        </w:rPr>
        <w:t>(</w:t>
      </w:r>
      <w:r>
        <w:rPr>
          <w:rtl w:val="true"/>
        </w:rPr>
        <w:t>לא פורסם</w:t>
      </w:r>
      <w:r>
        <w:rPr>
          <w:rtl w:val="true"/>
        </w:rPr>
        <w:t>) (</w:t>
      </w:r>
      <w:r>
        <w:rPr>
          <w:rtl w:val="true"/>
        </w:rPr>
        <w:t xml:space="preserve">מיום </w:t>
      </w:r>
      <w:r>
        <w:rPr/>
        <w:t>26.5.11</w:t>
      </w:r>
      <w:r>
        <w:rPr>
          <w:rtl w:val="true"/>
        </w:rPr>
        <w:t xml:space="preserve">), </w:t>
      </w:r>
      <w:r>
        <w:rPr>
          <w:rtl w:val="true"/>
        </w:rPr>
        <w:t>שם חזר כב</w:t>
      </w:r>
      <w:r>
        <w:rPr>
          <w:rtl w:val="true"/>
        </w:rPr>
        <w:t xml:space="preserve">' </w:t>
      </w:r>
      <w:r>
        <w:rPr>
          <w:rtl w:val="true"/>
        </w:rPr>
        <w:t>השופט רובינשטיין על דברים שאמר ב</w:t>
      </w:r>
      <w:hyperlink r:id="rId7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 xml:space="preserve">פ </w:t>
        </w:r>
        <w:r>
          <w:rPr>
            <w:rStyle w:val="Hyperlink"/>
          </w:rPr>
          <w:t>6294/05</w:t>
        </w:r>
      </w:hyperlink>
      <w:r>
        <w:rPr>
          <w:rtl w:val="true"/>
        </w:rPr>
        <w:t xml:space="preserve">, </w:t>
      </w:r>
      <w:r>
        <w:rPr>
          <w:rtl w:val="true"/>
        </w:rPr>
        <w:t>ולפיהם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מטבע הדברים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כשמזמין בית המשפט חוות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דעת לגבי הנאשם מאת הממונה על עבודות שירות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 xml:space="preserve">יש בכך אינדקציה לכיוון מסויים וציפייה אנושית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גם אם לא </w:t>
      </w:r>
      <w:r>
        <w:rPr>
          <w:b/>
          <w:b/>
          <w:bCs/>
          <w:rtl w:val="true"/>
        </w:rPr>
        <w:t>–</w:t>
      </w:r>
      <w:r>
        <w:rPr>
          <w:b/>
          <w:b/>
          <w:bCs/>
          <w:rtl w:val="true"/>
        </w:rPr>
        <w:t xml:space="preserve"> מכל וכל </w:t>
      </w:r>
      <w:r>
        <w:rPr>
          <w:b/>
          <w:b/>
          <w:bCs/>
          <w:rtl w:val="true"/>
        </w:rPr>
        <w:t>–</w:t>
      </w:r>
      <w:r>
        <w:rPr>
          <w:b/>
          <w:b/>
          <w:bCs/>
          <w:rtl w:val="true"/>
        </w:rPr>
        <w:t xml:space="preserve"> אינטרס הסתמכות במובן המשפטי</w:t>
      </w:r>
      <w:r>
        <w:rPr>
          <w:b/>
          <w:bCs/>
          <w:rtl w:val="true"/>
        </w:rPr>
        <w:t xml:space="preserve">). </w:t>
      </w:r>
      <w:r>
        <w:rPr>
          <w:b/>
          <w:b/>
          <w:bCs/>
          <w:rtl w:val="true"/>
        </w:rPr>
        <w:t>אף כי אין בכך כדי לומר כי אין בית המשפט יכול לשנות דעתו משעיין או נפרסה לפניו תמונה מלאה יותר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כל עוד לא הכריע</w:t>
      </w:r>
      <w:r>
        <w:rPr>
          <w:b/>
          <w:bCs/>
          <w:rtl w:val="true"/>
        </w:rPr>
        <w:t>"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הזמנת חוות הדעת של הממונה פיתחה ציפייה מסויימת וכאמור</w:t>
      </w:r>
      <w:r>
        <w:rPr>
          <w:rtl w:val="true"/>
        </w:rPr>
        <w:t xml:space="preserve">, </w:t>
      </w:r>
      <w:r>
        <w:rPr>
          <w:rtl w:val="true"/>
        </w:rPr>
        <w:t>אנו נותנים לכך משקל מסויים</w:t>
      </w:r>
      <w:r>
        <w:rPr>
          <w:rtl w:val="true"/>
        </w:rPr>
        <w:t xml:space="preserve">. </w:t>
      </w:r>
      <w:r>
        <w:rPr>
          <w:rtl w:val="true"/>
        </w:rPr>
        <w:t>אנו מדגישים</w:t>
      </w:r>
      <w:r>
        <w:rPr>
          <w:rtl w:val="true"/>
        </w:rPr>
        <w:t xml:space="preserve">, </w:t>
      </w:r>
      <w:r>
        <w:rPr>
          <w:rtl w:val="true"/>
        </w:rPr>
        <w:t>כי לא נתון זה עומד בבסיס החלטתנו והיא נשענת בעיקרה על אותן נסיבות מיוחדות שבאו לידי ביטוי בתסקירי שירות המבחן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 xml:space="preserve">התוצאה היא כי אנו מקבלים את הערעור ומעמידים את תקופת המאסר בתיק זה על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אותם יוכל המערער לרצות בעבודות שירות</w:t>
      </w:r>
      <w:r>
        <w:rPr>
          <w:rtl w:val="true"/>
        </w:rPr>
        <w:t xml:space="preserve">. </w:t>
      </w:r>
      <w:r>
        <w:rPr>
          <w:rtl w:val="true"/>
        </w:rPr>
        <w:t>יתר רכיבי גזר הדין יישארו בעינם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יש צורך בתיק זה בחוות</w:t>
      </w:r>
      <w:r>
        <w:rPr>
          <w:rtl w:val="true"/>
        </w:rPr>
        <w:t>-</w:t>
      </w:r>
      <w:r>
        <w:rPr>
          <w:rtl w:val="true"/>
        </w:rPr>
        <w:t>דעת עדכנית של הממונה על עבודות שירות</w:t>
      </w:r>
      <w:r>
        <w:rPr>
          <w:rtl w:val="true"/>
        </w:rPr>
        <w:t xml:space="preserve">, </w:t>
      </w:r>
      <w:r>
        <w:rPr>
          <w:rtl w:val="true"/>
        </w:rPr>
        <w:t xml:space="preserve">ומכוח זה אנו קובעים את הדיון בפנינו לתאריך </w:t>
      </w:r>
      <w:r>
        <w:rPr/>
        <w:t>13.7.11</w:t>
      </w:r>
      <w:r>
        <w:rPr>
          <w:rtl w:val="true"/>
        </w:rPr>
        <w:t xml:space="preserve"> </w:t>
      </w:r>
      <w:r>
        <w:rPr>
          <w:rtl w:val="true"/>
        </w:rPr>
        <w:t xml:space="preserve">שעה </w:t>
      </w:r>
      <w:r>
        <w:rPr/>
        <w:t>08:30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כתובת המערער</w:t>
      </w:r>
      <w:r>
        <w:rPr>
          <w:rtl w:val="true"/>
        </w:rPr>
        <w:t xml:space="preserve">: </w:t>
      </w:r>
      <w:r>
        <w:rPr>
          <w:rtl w:val="true"/>
        </w:rPr>
        <w:t>רח</w:t>
      </w:r>
      <w:r>
        <w:rPr>
          <w:rtl w:val="true"/>
        </w:rPr>
        <w:t xml:space="preserve">' </w:t>
      </w:r>
      <w:r>
        <w:rPr>
          <w:rtl w:val="true"/>
        </w:rPr>
        <w:t xml:space="preserve">גולומב </w:t>
      </w:r>
      <w:r>
        <w:rPr/>
        <w:t>8</w:t>
      </w:r>
      <w:r>
        <w:rPr>
          <w:rtl w:val="true"/>
        </w:rPr>
        <w:t xml:space="preserve">, </w:t>
      </w:r>
      <w:r>
        <w:rPr>
          <w:rtl w:val="true"/>
        </w:rPr>
        <w:t>רמת השרון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ab/>
        <w:t xml:space="preserve">      </w:t>
      </w:r>
      <w:r>
        <w:rPr>
          <w:rtl w:val="true"/>
        </w:rPr>
        <w:t>נייד</w:t>
      </w:r>
      <w:r>
        <w:rPr>
          <w:rtl w:val="true"/>
        </w:rPr>
        <w:t xml:space="preserve">: </w:t>
      </w:r>
      <w:r>
        <w:rPr/>
        <w:t>050-5324549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b/>
          <w:bCs/>
        </w:rPr>
      </w:pPr>
      <w:r>
        <w:rPr>
          <w:b/>
          <w:b/>
          <w:bCs/>
          <w:rtl w:val="true"/>
        </w:rPr>
        <w:t>המזכירות תשלח עותק מפסק הדין לממונה על עבודות שירות</w:t>
      </w:r>
      <w:r>
        <w:rPr>
          <w:b/>
          <w:bCs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rtl w:val="true"/>
        </w:rPr>
        <w:tab/>
      </w:r>
      <w:r>
        <w:rPr>
          <w:b/>
          <w:b/>
          <w:bCs/>
          <w:rtl w:val="true"/>
        </w:rPr>
        <w:t>ניתן והודע היום יח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בסיון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/>
          <w:bCs/>
          <w:rtl w:val="true"/>
        </w:rPr>
        <w:t>(</w:t>
      </w:r>
      <w:r>
        <w:rPr>
          <w:b/>
          <w:bCs/>
        </w:rPr>
        <w:t>20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ביוני </w:t>
      </w:r>
      <w:r>
        <w:rPr>
          <w:b/>
          <w:bCs/>
        </w:rPr>
        <w:t>2011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בנוכחות הצדדים</w:t>
      </w:r>
      <w:r>
        <w:rPr>
          <w:b/>
          <w:bCs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  <w:gridCol w:w="239"/>
        <w:gridCol w:w="2585"/>
        <w:gridCol w:w="239"/>
        <w:gridCol w:w="2880"/>
      </w:tblGrid>
      <w:tr>
        <w:trPr>
          <w:trHeight w:val="1400" w:hRule="atLeast"/>
        </w:trPr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8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>
          <w:trHeight w:val="580" w:hRule="atLeast"/>
        </w:trPr>
        <w:tc>
          <w:tcPr>
            <w:tcW w:w="265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אב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8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יצחק ענבר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חדוה וינבאום וולצקי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#6#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sz w:val="28"/>
          <w:sz w:val="28"/>
          <w:szCs w:val="28"/>
          <w:rtl w:val="true"/>
        </w:rPr>
        <w:t>ניתן והודע היום י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ח סיון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20/06/2011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  <w:r>
        <w:rPr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ה דבורה ברלינר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both"/>
        <w:rPr/>
      </w:pPr>
      <w:r>
        <w:rPr>
          <w:rtl w:val="true"/>
        </w:rPr>
        <w:t xml:space="preserve"> </w:t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דבורה</w:t>
            </w:r>
            <w:r>
              <w:rPr>
                <w:rtl w:val="true"/>
              </w:rPr>
              <w:t xml:space="preserve">  </w:t>
            </w:r>
            <w:r>
              <w:rPr>
                <w:rFonts w:cs="FrankRuehl"/>
                <w:rtl w:val="true"/>
              </w:rPr>
              <w:t>ברלינר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נשיאה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יצחק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ענבר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חדוה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וינבאום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וולצקי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שופטת</w:t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end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/>
            </w:pPr>
            <w:r>
              <w:rPr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center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ascii="Arial" w:hAnsi="Arial" w:cs="FrankRuehl"/>
          <w:sz w:val="28"/>
          <w:sz w:val="28"/>
          <w:szCs w:val="28"/>
          <w:rtl w:val="true"/>
        </w:rPr>
        <w:t>הוקלד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על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ידי</w:t>
      </w:r>
      <w:r>
        <w:rPr>
          <w:rFonts w:cs="FrankRuehl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FrankRuehl"/>
          <w:sz w:val="28"/>
          <w:sz w:val="28"/>
          <w:szCs w:val="28"/>
          <w:rtl w:val="true"/>
        </w:rPr>
        <w:t>ברכה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הרשקוביץ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00"/>
          <w:rtl w:val="true"/>
        </w:rPr>
        <w:t>בעניין עריכה ושינויים במסמכי פסיקה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חקיקה ועוד באתר נבו – הקש כאן</w:t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8"/>
      <w:footerReference w:type="default" r:id="rId9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HP">
    <w:altName w:val="Lucida Console"/>
    <w:charset w:val="00" w:characterSet="windows-1252"/>
    <w:family w:val="modern"/>
    <w:pitch w:val="default"/>
  </w:font>
  <w:font w:name="FrankRuehl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5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ת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א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730-05-10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אמיר אלוני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7.1.a" TargetMode="External"/><Relationship Id="rId4" Type="http://schemas.openxmlformats.org/officeDocument/2006/relationships/hyperlink" Target="http://www.nevo.co.il/law/4216/7.1.a" TargetMode="External"/><Relationship Id="rId5" Type="http://schemas.openxmlformats.org/officeDocument/2006/relationships/hyperlink" Target="http://www.nevo.co.il/law/4216" TargetMode="External"/><Relationship Id="rId6" Type="http://schemas.openxmlformats.org/officeDocument/2006/relationships/hyperlink" Target="http://www.nevo.co.il/case/5892503" TargetMode="External"/><Relationship Id="rId7" Type="http://schemas.openxmlformats.org/officeDocument/2006/relationships/hyperlink" Target="http://www.nevo.co.il/case/5714921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2016-05-23T21:24:00Z</dcterms:created>
  <dc:creator> </dc:creator>
  <dc:description/>
  <cp:keywords/>
  <dc:language>en-IL</dc:language>
  <cp:lastModifiedBy>yafit</cp:lastModifiedBy>
  <dcterms:modified xsi:type="dcterms:W3CDTF">2016-05-23T21:24:00Z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אמיר אלוני</vt:lpwstr>
  </property>
  <property fmtid="{D5CDD505-2E9C-101B-9397-08002B2CF9AE}" pid="3" name="APPELLEE">
    <vt:lpwstr>מדינת ישראל</vt:lpwstr>
  </property>
  <property fmtid="{D5CDD505-2E9C-101B-9397-08002B2CF9AE}" pid="4" name="CASESLISTTMP1">
    <vt:lpwstr>5892503;5714921</vt:lpwstr>
  </property>
  <property fmtid="{D5CDD505-2E9C-101B-9397-08002B2CF9AE}" pid="5" name="CITY">
    <vt:lpwstr>ת"א</vt:lpwstr>
  </property>
  <property fmtid="{D5CDD505-2E9C-101B-9397-08002B2CF9AE}" pid="6" name="DATE">
    <vt:lpwstr>20110620</vt:lpwstr>
  </property>
  <property fmtid="{D5CDD505-2E9C-101B-9397-08002B2CF9AE}" pid="7" name="JUDGE">
    <vt:lpwstr>ה דבורה ברלינר;יצחק ענבר;חדוה וינבאום וולצקי</vt:lpwstr>
  </property>
  <property fmtid="{D5CDD505-2E9C-101B-9397-08002B2CF9AE}" pid="8" name="LAWLISTTMP1">
    <vt:lpwstr>4216/007.1.a</vt:lpwstr>
  </property>
  <property fmtid="{D5CDD505-2E9C-101B-9397-08002B2CF9AE}" pid="9" name="LAWYER">
    <vt:lpwstr>ו אהוד אלוני</vt:lpwstr>
  </property>
  <property fmtid="{D5CDD505-2E9C-101B-9397-08002B2CF9AE}" pid="10" name="NEWPARTA">
    <vt:lpwstr>730</vt:lpwstr>
  </property>
  <property fmtid="{D5CDD505-2E9C-101B-9397-08002B2CF9AE}" pid="11" name="NEWPARTB">
    <vt:lpwstr>05</vt:lpwstr>
  </property>
  <property fmtid="{D5CDD505-2E9C-101B-9397-08002B2CF9AE}" pid="12" name="NEWPARTC">
    <vt:lpwstr>10</vt:lpwstr>
  </property>
  <property fmtid="{D5CDD505-2E9C-101B-9397-08002B2CF9AE}" pid="13" name="NEWPROC">
    <vt:lpwstr>עפג</vt:lpwstr>
  </property>
  <property fmtid="{D5CDD505-2E9C-101B-9397-08002B2CF9AE}" pid="14" name="PSAKDIN">
    <vt:lpwstr>פסק-דין</vt:lpwstr>
  </property>
  <property fmtid="{D5CDD505-2E9C-101B-9397-08002B2CF9AE}" pid="15" name="TYPE">
    <vt:lpwstr>2</vt:lpwstr>
  </property>
  <property fmtid="{D5CDD505-2E9C-101B-9397-08002B2CF9AE}" pid="16" name="TYPE_ABS_DATE">
    <vt:lpwstr>390020110620</vt:lpwstr>
  </property>
  <property fmtid="{D5CDD505-2E9C-101B-9397-08002B2CF9AE}" pid="17" name="TYPE_N_DATE">
    <vt:lpwstr>39020110620</vt:lpwstr>
  </property>
  <property fmtid="{D5CDD505-2E9C-101B-9397-08002B2CF9AE}" pid="18" name="WORDNUMPAGES">
    <vt:lpwstr>4</vt:lpwstr>
  </property>
</Properties>
</file>