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5"/>
      </w:tblGrid>
      <w:tr>
        <w:trPr>
          <w:trHeight w:val="670" w:hRule="exact"/>
        </w:trPr>
        <w:tc>
          <w:tcPr>
            <w:tcW w:w="8505" w:type="dxa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8505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8650-04-15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שורץ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rFonts w:ascii="Arial (W1);Arial" w:hAnsi="Arial (W1);Arial" w:cs="Arial (W1);Arial"/>
          <w:sz w:val="28"/>
          <w:szCs w:val="28"/>
          <w:lang w:val="en-US" w:eastAsia="en-US"/>
        </w:rPr>
      </w:pPr>
      <w:r>
        <w:rPr>
          <w:rFonts w:cs="Arial (W1);Arial" w:ascii="Arial (W1);Arial" w:hAnsi="Arial (W1);Arial"/>
          <w:sz w:val="28"/>
          <w:szCs w:val="28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4"/>
        <w:gridCol w:w="2496"/>
        <w:gridCol w:w="5550"/>
      </w:tblGrid>
      <w:tr>
        <w:trPr/>
        <w:tc>
          <w:tcPr>
            <w:tcW w:w="774" w:type="dxa"/>
            <w:tcBorders/>
          </w:tcPr>
          <w:p>
            <w:pPr>
              <w:pStyle w:val="Normal"/>
              <w:ind w:end="0"/>
              <w:jc w:val="both"/>
              <w:rPr>
                <w:rFonts w:ascii="Arial (W1);Arial" w:hAnsi="Arial (W1);Arial" w:cs="Arial (W1);Arial"/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8046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הנשיא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אברהם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טל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אב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ד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זהבה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בוסתן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ד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שמואל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בורנשטין</w:t>
            </w:r>
          </w:p>
        </w:tc>
      </w:tr>
      <w:tr>
        <w:trPr/>
        <w:tc>
          <w:tcPr>
            <w:tcW w:w="3270" w:type="dxa"/>
            <w:gridSpan w:val="2"/>
            <w:tcBorders/>
          </w:tcPr>
          <w:p>
            <w:pPr>
              <w:pStyle w:val="Normal"/>
              <w:bidi w:val="0"/>
              <w:snapToGrid w:val="false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lang w:val="en-US" w:eastAsia="en-US"/>
              </w:rPr>
            </w:r>
            <w:bookmarkStart w:id="0" w:name="LastJudge"/>
            <w:bookmarkStart w:id="1" w:name="FirstAppellant"/>
            <w:bookmarkStart w:id="2" w:name="LastJudge"/>
            <w:bookmarkStart w:id="3" w:name="FirstAppellant"/>
            <w:bookmarkEnd w:id="2"/>
            <w:bookmarkEnd w:id="3"/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המערער</w:t>
            </w:r>
          </w:p>
        </w:tc>
        <w:tc>
          <w:tcPr>
            <w:tcW w:w="5550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sz w:val="28"/>
                <w:sz w:val="28"/>
                <w:szCs w:val="28"/>
                <w:rtl w:val="true"/>
              </w:rPr>
              <w:t>שמעון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 w:val="28"/>
                <w:szCs w:val="28"/>
                <w:rtl w:val="true"/>
              </w:rPr>
              <w:t>שורץ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70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Arial (W1);Arial" w:hAnsi="Arial (W1);Arial" w:cs="Arial (W1);Arial"/>
                <w:b/>
                <w:b/>
                <w:bCs/>
                <w:sz w:val="28"/>
                <w:sz w:val="28"/>
                <w:szCs w:val="28"/>
                <w:rtl w:val="true"/>
                <w:lang w:val="en-US" w:eastAsia="en-US"/>
              </w:rPr>
              <w:t xml:space="preserve">המשיבה </w:t>
            </w:r>
          </w:p>
        </w:tc>
        <w:tc>
          <w:tcPr>
            <w:tcW w:w="5550" w:type="dxa"/>
            <w:tcBorders/>
          </w:tcPr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Normal"/>
        <w:suppressLineNumbers/>
        <w:ind w:end="0"/>
        <w:jc w:val="start"/>
        <w:rPr>
          <w:rFonts w:ascii="Arial (W1);Arial" w:hAnsi="Arial (W1);Arial" w:cs="Arial (W1);Arial"/>
          <w:sz w:val="28"/>
          <w:szCs w:val="28"/>
        </w:rPr>
      </w:pPr>
      <w:r>
        <w:rPr>
          <w:rFonts w:cs="Arial (W1);Arial" w:ascii="Arial (W1);Arial" w:hAnsi="Arial (W1);Arial"/>
          <w:sz w:val="28"/>
          <w:szCs w:val="28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rtl w:val="true"/>
        </w:rPr>
        <w:t>חקיקה</w:t>
      </w:r>
      <w:r>
        <w:rPr>
          <w:rFonts w:ascii="FrankRuehl" w:hAnsi="FrankRuehl" w:cs="FrankRuehl"/>
          <w:rtl w:val="true"/>
        </w:rPr>
        <w:t xml:space="preserve"> </w:t>
      </w:r>
      <w:r>
        <w:rPr>
          <w:rFonts w:ascii="FrankRuehl" w:hAnsi="FrankRuehl" w:cs="FrankRuehl"/>
          <w:rtl w:val="true"/>
        </w:rPr>
        <w:t>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פקודת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הסמים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המסוכנים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31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31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6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36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</w:rPr>
          <w:t>36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6" w:name="PsakDin"/>
            <w:bookmarkStart w:id="7" w:name="LawTable_End"/>
            <w:bookmarkEnd w:id="6"/>
            <w:bookmarkEnd w:id="7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1</w:t>
      </w:r>
      <w:r>
        <w:rPr>
          <w:sz w:val="28"/>
          <w:szCs w:val="28"/>
          <w:rtl w:val="true"/>
        </w:rPr>
        <w:t xml:space="preserve">. </w:t>
        <w:tab/>
      </w:r>
      <w:bookmarkStart w:id="8" w:name="ABSTRACT_START"/>
      <w:bookmarkEnd w:id="8"/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הורשע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השלום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בר</w:t>
      </w:r>
      <w:r>
        <w:rPr>
          <w:sz w:val="28"/>
          <w:sz w:val="28"/>
          <w:szCs w:val="28"/>
          <w:rtl w:val="true"/>
        </w:rPr>
        <w:t>א</w:t>
      </w:r>
      <w:r>
        <w:rPr>
          <w:sz w:val="28"/>
          <w:sz w:val="28"/>
          <w:szCs w:val="28"/>
          <w:rtl w:val="true"/>
        </w:rPr>
        <w:t>של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צ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hyperlink r:id="rId7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.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 xml:space="preserve">. </w:t>
        </w:r>
        <w:r>
          <w:rPr>
            <w:rStyle w:val="Hyperlink"/>
            <w:color w:val="0000FF"/>
            <w:sz w:val="28"/>
            <w:szCs w:val="28"/>
            <w:u w:val="single"/>
          </w:rPr>
          <w:t>60869-07-13</w:t>
        </w:r>
      </w:hyperlink>
      <w:r>
        <w:rPr>
          <w:sz w:val="28"/>
          <w:szCs w:val="28"/>
          <w:rtl w:val="true"/>
        </w:rPr>
        <w:t xml:space="preserve">),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הודייתו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מסוכן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הוטלו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Cs w:val="28"/>
        </w:rPr>
        <w:t>9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לריצוי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בפועל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Cs w:val="28"/>
        </w:rPr>
        <w:t>7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תנאי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- </w:t>
      </w:r>
      <w:r>
        <w:rPr>
          <w:sz w:val="28"/>
          <w:szCs w:val="28"/>
          <w:rtl w:val="true"/>
        </w:rPr>
        <w:t xml:space="preserve">  </w:t>
      </w:r>
      <w:r>
        <w:rPr>
          <w:sz w:val="28"/>
          <w:szCs w:val="28"/>
        </w:rPr>
        <w:t>5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תנאי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בתנאים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המפורטים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הדין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קנס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בסך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3,000</w:t>
      </w:r>
      <w:r>
        <w:rPr>
          <w:sz w:val="28"/>
          <w:szCs w:val="28"/>
          <w:rtl w:val="true"/>
        </w:rPr>
        <w:t xml:space="preserve"> ₪;  </w:t>
      </w:r>
      <w:r>
        <w:rPr>
          <w:sz w:val="28"/>
          <w:szCs w:val="28"/>
        </w:rPr>
        <w:t>8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פסילת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רישיון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נהיגה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בפועל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 w:val="28"/>
          <w:szCs w:val="28"/>
          <w:rtl w:val="true"/>
        </w:rPr>
        <w:t>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- </w:t>
      </w:r>
      <w:r>
        <w:rPr>
          <w:sz w:val="28"/>
          <w:szCs w:val="28"/>
        </w:rPr>
        <w:t>12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פסילת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רישיון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נהיגה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תנאי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בתנאים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המפורטים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הדין</w:t>
      </w:r>
      <w:r>
        <w:rPr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בנוסף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בימ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רכב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פיאט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 w:val="28"/>
          <w:szCs w:val="28"/>
          <w:rtl w:val="true"/>
        </w:rPr>
        <w:t>כסף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מזומן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בסך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7,500</w:t>
      </w:r>
      <w:r>
        <w:rPr>
          <w:sz w:val="28"/>
          <w:szCs w:val="28"/>
          <w:rtl w:val="true"/>
        </w:rPr>
        <w:t xml:space="preserve"> ₪; </w:t>
      </w:r>
      <w:r>
        <w:rPr>
          <w:sz w:val="28"/>
          <w:sz w:val="28"/>
          <w:szCs w:val="28"/>
          <w:rtl w:val="true"/>
        </w:rPr>
        <w:t>הפקדה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כספית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שהופקדה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בתיק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המעצר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 w:val="28"/>
          <w:szCs w:val="28"/>
          <w:rtl w:val="true"/>
        </w:rPr>
        <w:t>אייפד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מחשב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נייד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לנובו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טלפון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סלולרי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סמסונג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גלקסי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להלן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הרכוש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המחולט</w:t>
      </w:r>
      <w:r>
        <w:rPr>
          <w:sz w:val="28"/>
          <w:szCs w:val="28"/>
          <w:rtl w:val="true"/>
        </w:rPr>
        <w:t>").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  <w:tab/>
      </w:r>
      <w:r>
        <w:rPr>
          <w:sz w:val="28"/>
          <w:sz w:val="28"/>
          <w:szCs w:val="28"/>
          <w:rtl w:val="true"/>
        </w:rPr>
        <w:t>הערעור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מופנה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כנגד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חומרת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וכנגד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  <w:bookmarkStart w:id="9" w:name="ABSTRACT_END"/>
      <w:bookmarkStart w:id="10" w:name="ABSTRACT_END"/>
      <w:bookmarkEnd w:id="10"/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חומרת</w:t>
      </w:r>
      <w:r>
        <w:rPr>
          <w:rFonts w:cs="Times New Roman"/>
          <w:b/>
          <w:b/>
          <w:bCs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העונש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2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המפורט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המתוקן</w:t>
      </w:r>
      <w:r>
        <w:rPr>
          <w:sz w:val="28"/>
          <w:szCs w:val="28"/>
          <w:rtl w:val="true"/>
        </w:rPr>
        <w:t xml:space="preserve">),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בביתו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סתרים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שהגישה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דרך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הממוקמת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בחדר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השירותים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בתוך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התקין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מזגנים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מאווררים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צינורות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השקייה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מערכות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תאורה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וחומרים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כימיים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שונים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שישמשו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בשיטת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הידרו</w:t>
      </w:r>
      <w:r>
        <w:rPr>
          <w:sz w:val="28"/>
          <w:szCs w:val="28"/>
          <w:rtl w:val="true"/>
        </w:rPr>
        <w:t xml:space="preserve">. 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גידל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Cs w:val="28"/>
        </w:rPr>
        <w:t>146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מריחואנה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2.69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נטו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בשולי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המתוקן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 w:val="28"/>
          <w:szCs w:val="28"/>
          <w:rtl w:val="true"/>
        </w:rPr>
        <w:t>י</w:t>
      </w:r>
      <w:r>
        <w:rPr>
          <w:sz w:val="28"/>
          <w:sz w:val="28"/>
          <w:szCs w:val="28"/>
          <w:rtl w:val="true"/>
        </w:rPr>
        <w:t>קשה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המשיבה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להכריז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כסוחר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ולחלט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שנתפס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ברשותו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מכוח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8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להלן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הפקודה</w:t>
      </w:r>
      <w:r>
        <w:rPr>
          <w:b/>
          <w:bCs/>
          <w:sz w:val="28"/>
          <w:szCs w:val="28"/>
          <w:rtl w:val="true"/>
        </w:rPr>
        <w:t>"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ומכוח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9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3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בעובדות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בעקבות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שכלל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תיקון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כלל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עונשי</w:t>
      </w:r>
      <w:r>
        <w:rPr>
          <w:sz w:val="28"/>
          <w:szCs w:val="28"/>
          <w:rtl w:val="true"/>
        </w:rPr>
        <w:t xml:space="preserve">. 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הטעון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הופנה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לאחר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הרשעתו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שיינתן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תסקיר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בעניינו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התביעה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הצהירה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בכפוף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לתסקיר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חיובי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תסכים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להגביל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לטעון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12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לצד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רכיבי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ענישה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נוספים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והסנגור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רשאי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לטעון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באופן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חופשי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הסכמה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בשאלת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החילוט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4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בפני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הונחו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שלושה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תסקירים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מהתסקיר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הראשון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מיום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11.5.14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עלה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צורך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ואינו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מוטיבציה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ממשית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לקבל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טיפול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וסיוע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המליץ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להטיל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קונקרטי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שימחיש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חומרת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התנהגותו</w:t>
      </w:r>
      <w:r>
        <w:rPr>
          <w:sz w:val="28"/>
          <w:szCs w:val="28"/>
          <w:rtl w:val="true"/>
        </w:rPr>
        <w:t xml:space="preserve">. 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ascii="Arial" w:hAnsi="Arial" w:cs="Arial"/>
          <w:sz w:val="28"/>
          <w:sz w:val="28"/>
          <w:szCs w:val="28"/>
          <w:rtl w:val="true"/>
        </w:rPr>
        <w:t>מהתסקיר השני עלה שחל שינוי בגישתו של המערער והוא השתלב בהליך טיפולי פרטי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מהתסקיר האחרון עלה כי  מאז אפריל </w:t>
      </w:r>
      <w:r>
        <w:rPr>
          <w:rFonts w:cs="Arial" w:ascii="Arial" w:hAnsi="Arial"/>
          <w:sz w:val="28"/>
          <w:szCs w:val="28"/>
        </w:rPr>
        <w:t>2014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המערער מוסר בדיקות שתן סדירות שתוצאותיהן מעידות על נקיון מסמים</w:t>
      </w:r>
      <w:r>
        <w:rPr>
          <w:rFonts w:cs="Arial" w:ascii="Arial" w:hAnsi="Arial"/>
          <w:sz w:val="28"/>
          <w:szCs w:val="28"/>
          <w:rtl w:val="true"/>
        </w:rPr>
        <w:t xml:space="preserve">.  </w:t>
      </w:r>
      <w:r>
        <w:rPr>
          <w:rFonts w:ascii="Arial" w:hAnsi="Arial" w:cs="Arial"/>
          <w:sz w:val="28"/>
          <w:sz w:val="28"/>
          <w:szCs w:val="28"/>
          <w:rtl w:val="true"/>
        </w:rPr>
        <w:t>הוא השתלב בהליך טיפולי</w:t>
      </w:r>
      <w:r>
        <w:rPr>
          <w:rFonts w:cs="Arial" w:ascii="Arial" w:hAnsi="Arial"/>
          <w:sz w:val="28"/>
          <w:szCs w:val="28"/>
          <w:rtl w:val="true"/>
        </w:rPr>
        <w:t>,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מגיע באופן קבוע לשיחות פרטניות עם המטפל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וחש כי הטיפול מיטיב את מצבו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להערכת המטפל הפרטי המערער התפתח בסביבה בלתי יציבה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נטל מגיל צעיר תפקידים הוריים שאינם מותאמים לצרכיו הרגשיים ופיתח בגין כך משקעים רגשיים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בשונה מההתרשמות בתחילת הקשר התרשם עתה שרות המבחן כי המערער מגלה הבנה והכרה למצבו ההתמכרותי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משתף פעולה ורוכש כלים ומיומנויות המחזקים את מצבו ללא שימוש בסמים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בעקבות השינוי שחל במערער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שינה שרות המבחן מהמלצתו הקודמת והמליץ להימנע מהטלת עונש מאסר בפועל  ולהסתפק בהטלת צו מבחן לשנה ומאסר שניתן יהיה לרצותו בעבודות שרות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כדי שלא לפגוע בהישגיו השיקומיים של המערער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 w:val="28"/>
          <w:szCs w:val="28"/>
          <w:rtl w:val="true"/>
        </w:rPr>
        <w:t>לנוכח מסקנות התסקיר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עתרה התביעה להשית על המערער </w:t>
      </w:r>
      <w:r>
        <w:rPr>
          <w:rFonts w:cs="Arial" w:ascii="Arial" w:hAnsi="Arial"/>
          <w:sz w:val="28"/>
          <w:szCs w:val="28"/>
        </w:rPr>
        <w:t>10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חודשי מאסר בלבד</w:t>
      </w:r>
      <w:r>
        <w:rPr>
          <w:rFonts w:cs="Arial" w:ascii="Arial" w:hAnsi="Arial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5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>בבית משפט קמא העידה אחותו של המערער לעונש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ואף בפנינו חזרה על הדברים</w:t>
      </w:r>
      <w:r>
        <w:rPr>
          <w:rFonts w:cs="Arial" w:ascii="Arial" w:hAnsi="Arial"/>
          <w:sz w:val="28"/>
          <w:szCs w:val="28"/>
          <w:rtl w:val="true"/>
        </w:rPr>
        <w:t xml:space="preserve">.   </w:t>
      </w:r>
      <w:r>
        <w:rPr>
          <w:rFonts w:ascii="Arial" w:hAnsi="Arial" w:cs="Arial"/>
          <w:sz w:val="28"/>
          <w:sz w:val="28"/>
          <w:szCs w:val="28"/>
          <w:rtl w:val="true"/>
        </w:rPr>
        <w:t>לדבריה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אביהם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נכה צה</w:t>
      </w:r>
      <w:r>
        <w:rPr>
          <w:rFonts w:cs="Arial" w:ascii="Arial" w:hAnsi="Arial"/>
          <w:sz w:val="28"/>
          <w:szCs w:val="28"/>
          <w:rtl w:val="true"/>
        </w:rPr>
        <w:t>"</w:t>
      </w:r>
      <w:r>
        <w:rPr>
          <w:rFonts w:ascii="Arial" w:hAnsi="Arial" w:cs="Arial"/>
          <w:sz w:val="28"/>
          <w:sz w:val="28"/>
          <w:szCs w:val="28"/>
          <w:rtl w:val="true"/>
        </w:rPr>
        <w:t>ל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הלום קרב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סובל ממחלה נפשית קשה שהתפרצה עקב </w:t>
      </w:r>
      <w:r>
        <w:rPr>
          <w:rFonts w:cs="Arial" w:ascii="Arial" w:hAnsi="Arial"/>
          <w:sz w:val="28"/>
          <w:szCs w:val="28"/>
        </w:rPr>
        <w:t>PTSD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והמערער נטל על עצמו את מטלת הטיפול באביו מגיל צעיר ועד למעצרו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עקב המעצר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החלו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בני המשפחה </w:t>
      </w:r>
      <w:r>
        <w:rPr>
          <w:rFonts w:ascii="Arial" w:hAnsi="Arial" w:cs="Arial"/>
          <w:sz w:val="28"/>
          <w:sz w:val="28"/>
          <w:szCs w:val="28"/>
          <w:rtl w:val="true"/>
        </w:rPr>
        <w:t>להעסיק עובד בשכר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לטיפול באב  והדבר היווה הקלה משמעותית עבור המערער</w:t>
      </w:r>
      <w:r>
        <w:rPr>
          <w:rFonts w:cs="Arial" w:ascii="Arial" w:hAnsi="Arial"/>
          <w:sz w:val="28"/>
          <w:szCs w:val="28"/>
          <w:rtl w:val="true"/>
        </w:rPr>
        <w:t>.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Arial" w:ascii="Arial" w:hAnsi="Arial"/>
          <w:sz w:val="28"/>
          <w:szCs w:val="28"/>
        </w:rPr>
        <w:t>6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>בגזר דינו התייחס בית משפט קמא לכמות הסם הגדולה אותה גידל המערער בביתו</w:t>
      </w:r>
      <w:r>
        <w:rPr>
          <w:rFonts w:cs="Arial" w:ascii="Arial" w:hAnsi="Arial"/>
          <w:sz w:val="28"/>
          <w:szCs w:val="28"/>
          <w:rtl w:val="true"/>
        </w:rPr>
        <w:t>,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כשל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מעשה ניהל </w:t>
      </w:r>
      <w:r>
        <w:rPr>
          <w:rFonts w:cs="Arial" w:ascii="Arial" w:hAnsi="Arial"/>
          <w:sz w:val="28"/>
          <w:szCs w:val="28"/>
          <w:rtl w:val="true"/>
        </w:rPr>
        <w:t>"</w:t>
      </w:r>
      <w:r>
        <w:rPr>
          <w:rFonts w:ascii="Arial" w:hAnsi="Arial" w:cs="Arial"/>
          <w:sz w:val="28"/>
          <w:sz w:val="28"/>
          <w:szCs w:val="28"/>
          <w:rtl w:val="true"/>
        </w:rPr>
        <w:t>משתלה לגידול סמים</w:t>
      </w:r>
      <w:r>
        <w:rPr>
          <w:rFonts w:cs="Arial" w:ascii="Arial" w:hAnsi="Arial"/>
          <w:sz w:val="28"/>
          <w:szCs w:val="28"/>
          <w:rtl w:val="true"/>
        </w:rPr>
        <w:t xml:space="preserve">". </w:t>
      </w:r>
      <w:r>
        <w:rPr>
          <w:rFonts w:ascii="Arial" w:hAnsi="Arial" w:cs="Arial"/>
          <w:sz w:val="28"/>
          <w:sz w:val="28"/>
          <w:szCs w:val="28"/>
          <w:rtl w:val="true"/>
        </w:rPr>
        <w:t>עוד התייחס בית המשפט קמא לפוטנציאל שהיה טמון בשתילים הרבים שטרם הגיע לכלל מיצוי</w:t>
      </w:r>
      <w:r>
        <w:rPr>
          <w:rFonts w:cs="Arial" w:ascii="Arial" w:hAnsi="Arial"/>
          <w:sz w:val="28"/>
          <w:szCs w:val="28"/>
          <w:rtl w:val="true"/>
        </w:rPr>
        <w:t>,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שגדול בהרבה ממשקל הסמים שנתפס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כמות השתילים הרבה מעידה שהגידול לא נועד לצורך עצמי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ועובדה זו יש לזקוף לחובת המערער  ולהחמיר עמו בדין  בהיותו נמנה על  מפיצי  הסם</w:t>
      </w:r>
      <w:r>
        <w:rPr>
          <w:rFonts w:cs="Arial" w:ascii="Arial" w:hAnsi="Arial"/>
          <w:sz w:val="28"/>
          <w:szCs w:val="28"/>
          <w:rtl w:val="true"/>
        </w:rPr>
        <w:t xml:space="preserve">. 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ascii="Arial" w:hAnsi="Arial" w:cs="Arial"/>
          <w:sz w:val="28"/>
          <w:sz w:val="28"/>
          <w:szCs w:val="28"/>
          <w:rtl w:val="true"/>
        </w:rPr>
        <w:t xml:space="preserve">בית משפט קמא קבע כי מתחם העונש נע בין ששה חודשים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ל</w:t>
      </w:r>
      <w:r>
        <w:rPr>
          <w:rFonts w:cs="Arial" w:ascii="Arial" w:hAnsi="Arial"/>
          <w:sz w:val="28"/>
          <w:szCs w:val="28"/>
          <w:rtl w:val="true"/>
        </w:rPr>
        <w:t xml:space="preserve">- </w:t>
      </w:r>
      <w:r>
        <w:rPr>
          <w:rFonts w:cs="Arial" w:ascii="Arial" w:hAnsi="Arial"/>
          <w:sz w:val="28"/>
          <w:szCs w:val="28"/>
        </w:rPr>
        <w:t>24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חודשי מאסר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 w:val="28"/>
          <w:szCs w:val="28"/>
          <w:rtl w:val="true"/>
        </w:rPr>
        <w:t>בבחינת העונש בתוך המתחם שקל בית המשפט קמא לחומרא את כמות השתילים שיכולה היתה להניב משקל הרבה יותר גדול של סם ממשקל השתילים בעת התפיסה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ואת הציוד הרב בו עשה המערער שימוש ב</w:t>
      </w:r>
      <w:r>
        <w:rPr>
          <w:rFonts w:cs="Arial" w:ascii="Arial" w:hAnsi="Arial"/>
          <w:sz w:val="28"/>
          <w:szCs w:val="28"/>
          <w:rtl w:val="true"/>
        </w:rPr>
        <w:t>"</w:t>
      </w:r>
      <w:r>
        <w:rPr>
          <w:rFonts w:ascii="Arial" w:hAnsi="Arial" w:cs="Arial"/>
          <w:sz w:val="28"/>
          <w:sz w:val="28"/>
          <w:szCs w:val="28"/>
          <w:rtl w:val="true"/>
        </w:rPr>
        <w:t>מעבדה</w:t>
      </w:r>
      <w:r>
        <w:rPr>
          <w:rFonts w:cs="Arial" w:ascii="Arial" w:hAnsi="Arial"/>
          <w:sz w:val="28"/>
          <w:szCs w:val="28"/>
          <w:rtl w:val="true"/>
        </w:rPr>
        <w:t xml:space="preserve">" </w:t>
      </w:r>
      <w:r>
        <w:rPr>
          <w:rFonts w:ascii="Arial" w:hAnsi="Arial" w:cs="Arial"/>
          <w:sz w:val="28"/>
          <w:sz w:val="28"/>
          <w:szCs w:val="28"/>
          <w:rtl w:val="true"/>
        </w:rPr>
        <w:t>שהכין לצורך גידול הסם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ascii="Arial" w:hAnsi="Arial" w:cs="Arial"/>
          <w:sz w:val="28"/>
          <w:sz w:val="28"/>
          <w:szCs w:val="28"/>
          <w:rtl w:val="true"/>
        </w:rPr>
        <w:t xml:space="preserve">לקולא שקל בית משפט קמא את </w:t>
      </w:r>
      <w:r>
        <w:rPr>
          <w:rFonts w:ascii="Arial" w:hAnsi="Arial" w:cs="Arial"/>
          <w:sz w:val="28"/>
          <w:sz w:val="28"/>
          <w:szCs w:val="28"/>
          <w:rtl w:val="true"/>
        </w:rPr>
        <w:t>נסיבותיו האישיות של המערער</w:t>
      </w:r>
      <w:r>
        <w:rPr>
          <w:rFonts w:cs="Arial" w:ascii="Arial" w:hAnsi="Arial"/>
          <w:sz w:val="28"/>
          <w:szCs w:val="28"/>
          <w:rtl w:val="true"/>
        </w:rPr>
        <w:t>,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אך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 דחה את הטענה כי מצבו הבריאותי של אביו היווה בסיס לגידול המאסיבי של הסמים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ascii="Arial" w:hAnsi="Arial" w:cs="Arial"/>
          <w:sz w:val="28"/>
          <w:sz w:val="28"/>
          <w:szCs w:val="28"/>
          <w:rtl w:val="true"/>
        </w:rPr>
        <w:t xml:space="preserve">על אף חשיבותו הרבה של מרכיב השיקום ראה בית המשפט קמא לשים לנגד עיניו גם את חומרת המעשה והערך החברתי המוגן שנפגע וקבע כי מעשי המערער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הם </w:t>
      </w:r>
      <w:r>
        <w:rPr>
          <w:rFonts w:ascii="Arial" w:hAnsi="Arial" w:cs="Arial"/>
          <w:sz w:val="28"/>
          <w:sz w:val="28"/>
          <w:szCs w:val="28"/>
          <w:rtl w:val="true"/>
        </w:rPr>
        <w:t>חמורים ביותר ואין בנסיבות לקולא כדי להטות את הכף עד כדי הימנעות מהשתת עונש מאסר בפועל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rFonts w:eastAsia="Arial" w:cs="Arial" w:ascii="Arial" w:hAnsi="Arial"/>
          <w:b/>
          <w:bCs/>
          <w:sz w:val="28"/>
          <w:szCs w:val="28"/>
          <w:u w:val="single"/>
          <w:rtl w:val="true"/>
        </w:rPr>
        <w:t xml:space="preserve"> </w:t>
      </w:r>
    </w:p>
    <w:p>
      <w:pPr>
        <w:pStyle w:val="Normal"/>
        <w:spacing w:lineRule="auto" w:line="360"/>
        <w:ind w:hanging="720" w:start="720" w:end="0"/>
        <w:jc w:val="both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7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בנימוקי הערעור טען </w:t>
      </w:r>
      <w:r>
        <w:rPr>
          <w:rFonts w:ascii="Arial" w:hAnsi="Arial" w:cs="Arial"/>
          <w:sz w:val="28"/>
          <w:sz w:val="28"/>
          <w:szCs w:val="28"/>
          <w:rtl w:val="true"/>
        </w:rPr>
        <w:t>ב</w:t>
      </w:r>
      <w:r>
        <w:rPr>
          <w:rFonts w:cs="Arial" w:ascii="Arial" w:hAnsi="Arial"/>
          <w:sz w:val="28"/>
          <w:szCs w:val="28"/>
          <w:rtl w:val="true"/>
        </w:rPr>
        <w:t>"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כ המערער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כי בית משפט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נתן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שהמשיב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הסמים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לשימוש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עשיית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כספי</w:t>
      </w:r>
      <w:r>
        <w:rPr>
          <w:sz w:val="28"/>
          <w:szCs w:val="28"/>
          <w:rtl w:val="true"/>
        </w:rPr>
        <w:t xml:space="preserve">; 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מקום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יתייחס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למספר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Cs w:val="28"/>
        </w:rPr>
        <w:t>146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ולפוטנציאל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שטרם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התממש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להתייחס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למשקלם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נטו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תפיס</w:t>
      </w:r>
      <w:r>
        <w:rPr>
          <w:sz w:val="28"/>
          <w:sz w:val="28"/>
          <w:szCs w:val="28"/>
          <w:rtl w:val="true"/>
        </w:rPr>
        <w:t>תם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להרשיע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אדם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פוטנציאל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עתידי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נזק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אשר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יכול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להיגרם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כתוצאה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מביצוע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בפועל</w:t>
      </w:r>
      <w:r>
        <w:rPr>
          <w:sz w:val="28"/>
          <w:szCs w:val="28"/>
          <w:rtl w:val="true"/>
        </w:rPr>
        <w:t xml:space="preserve">;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  <w:sz w:val="28"/>
          <w:szCs w:val="28"/>
        </w:rPr>
      </w:pP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נתן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להודאתו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לחסכון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בזמן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שיפוטי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ולהבעת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החרטה</w:t>
      </w:r>
      <w:r>
        <w:rPr>
          <w:sz w:val="28"/>
          <w:szCs w:val="28"/>
          <w:rtl w:val="true"/>
        </w:rPr>
        <w:t xml:space="preserve">; </w:t>
      </w:r>
      <w:r>
        <w:rPr>
          <w:sz w:val="28"/>
          <w:sz w:val="28"/>
          <w:szCs w:val="28"/>
          <w:rtl w:val="true"/>
        </w:rPr>
        <w:t>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מקום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לזקוף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לזכותו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תקופת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מעצרו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הקפדתו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תנאי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השחרור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מקום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להשוות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המקרה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דנן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לעניין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נושא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פ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338/12</w:t>
      </w:r>
      <w:r>
        <w:rPr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מדינת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ישראל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נ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אנטוני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אברמוב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להלן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אברמוב</w:t>
      </w:r>
      <w:r>
        <w:rPr>
          <w:sz w:val="28"/>
          <w:szCs w:val="28"/>
          <w:rtl w:val="true"/>
        </w:rPr>
        <w:t xml:space="preserve">"), </w:t>
      </w:r>
      <w:r>
        <w:rPr>
          <w:sz w:val="28"/>
          <w:sz w:val="28"/>
          <w:szCs w:val="28"/>
          <w:rtl w:val="true"/>
        </w:rPr>
        <w:t>כיוון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כמות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גדולה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בהרבה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 w:val="28"/>
          <w:szCs w:val="28"/>
          <w:rtl w:val="true"/>
        </w:rPr>
        <w:t>המעשים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בוצעו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במספר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הזדמנויות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וממניע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כספי</w:t>
      </w:r>
      <w:r>
        <w:rPr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כ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ניתן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מלוא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לשיקומו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לגמילתו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בסמים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לטיפול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השתלב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ולעובדה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עובד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ומתקדם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במקום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העבודה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</w:t>
      </w:r>
      <w:r>
        <w:rPr>
          <w:sz w:val="28"/>
          <w:sz w:val="28"/>
          <w:szCs w:val="28"/>
          <w:rtl w:val="true"/>
        </w:rPr>
        <w:t>מנהל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באולם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אירועים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ואחראי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40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עובדי</w:t>
      </w:r>
      <w:r>
        <w:rPr>
          <w:sz w:val="28"/>
          <w:sz w:val="28"/>
          <w:szCs w:val="28"/>
          <w:rtl w:val="true"/>
        </w:rPr>
        <w:t>ם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נטען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הנזק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שעלול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להיגרם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ירצה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מאחורי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סורג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ובריח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ועלול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לפגוע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במאמצי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השיקום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והגמילה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העריך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המשיבה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תומכת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הדין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שלשיטתה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חורג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ממדיניות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הענישה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הנוהגת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בעבירות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מסוג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והיא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מבקשת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להותירו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כנו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לטענתה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להטיל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בעבירות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בפועל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השיקולים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הרלוונטיים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עליהם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בהודעת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הערעור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והתייחס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אליהם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לרבות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</w:t>
      </w:r>
      <w:r>
        <w:rPr>
          <w:sz w:val="28"/>
          <w:sz w:val="28"/>
          <w:szCs w:val="28"/>
          <w:rtl w:val="true"/>
        </w:rPr>
        <w:t>נסיבותיו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</w:t>
      </w:r>
      <w:r>
        <w:rPr>
          <w:sz w:val="28"/>
          <w:sz w:val="28"/>
          <w:szCs w:val="28"/>
          <w:rtl w:val="true"/>
        </w:rPr>
        <w:t>י</w:t>
      </w:r>
      <w:r>
        <w:rPr>
          <w:sz w:val="28"/>
          <w:sz w:val="28"/>
          <w:szCs w:val="28"/>
          <w:rtl w:val="true"/>
        </w:rPr>
        <w:t>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 w:val="28"/>
          <w:szCs w:val="28"/>
          <w:rtl w:val="true"/>
        </w:rPr>
        <w:t>ל</w:t>
      </w:r>
      <w:r>
        <w:rPr>
          <w:sz w:val="28"/>
          <w:sz w:val="28"/>
          <w:szCs w:val="28"/>
          <w:rtl w:val="true"/>
        </w:rPr>
        <w:t>מצבו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אביו</w:t>
      </w:r>
      <w:r>
        <w:rPr>
          <w:sz w:val="28"/>
          <w:szCs w:val="28"/>
          <w:rtl w:val="true"/>
        </w:rPr>
        <w:t>.</w:t>
      </w:r>
      <w:r>
        <w:rPr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המשיבה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התחשבה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בטיעוניה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באמור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בתסקירי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הנוגע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לנסיבותיו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ולהליך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הטיפולי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נוטל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חלק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ועתרה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להטיל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10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חרף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שהוסכם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בהסדר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</w:t>
      </w:r>
      <w:r>
        <w:rPr>
          <w:sz w:val="28"/>
          <w:sz w:val="28"/>
          <w:szCs w:val="28"/>
          <w:rtl w:val="true"/>
        </w:rPr>
        <w:t>י</w:t>
      </w:r>
      <w:r>
        <w:rPr>
          <w:sz w:val="28"/>
          <w:sz w:val="28"/>
          <w:szCs w:val="28"/>
          <w:rtl w:val="true"/>
        </w:rPr>
        <w:t>עון</w:t>
      </w:r>
      <w:r>
        <w:rPr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</w:t>
      </w:r>
      <w:r>
        <w:rPr>
          <w:sz w:val="28"/>
          <w:sz w:val="28"/>
          <w:szCs w:val="28"/>
          <w:rtl w:val="true"/>
        </w:rPr>
        <w:t>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מעבר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כשהטיל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תשעה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בלבד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hanging="720" w:start="720" w:end="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לאחר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ששמענו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טיעוני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הצדדים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ועיינו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בתסקירי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ובחוו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המטפל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ממרכז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הטיפול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מחוברים</w:t>
      </w:r>
      <w:r>
        <w:rPr>
          <w:sz w:val="28"/>
          <w:szCs w:val="28"/>
          <w:rtl w:val="true"/>
        </w:rPr>
        <w:t xml:space="preserve">", </w:t>
      </w:r>
      <w:r>
        <w:rPr>
          <w:sz w:val="28"/>
          <w:sz w:val="28"/>
          <w:szCs w:val="28"/>
          <w:rtl w:val="true"/>
        </w:rPr>
        <w:t>דעתנו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לדחות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הערעור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נוגע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לחומרת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העונש</w:t>
      </w:r>
      <w:r>
        <w:rPr>
          <w:sz w:val="28"/>
          <w:szCs w:val="28"/>
          <w:rtl w:val="true"/>
        </w:rPr>
        <w:t>.</w:t>
      </w:r>
      <w:r>
        <w:rPr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מתחם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ההולם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הורשע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6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</w:t>
      </w:r>
      <w:r>
        <w:rPr>
          <w:sz w:val="28"/>
          <w:szCs w:val="28"/>
          <w:rtl w:val="true"/>
        </w:rPr>
        <w:t xml:space="preserve">- </w:t>
      </w:r>
      <w:r>
        <w:rPr>
          <w:sz w:val="28"/>
          <w:szCs w:val="28"/>
        </w:rPr>
        <w:t>24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מצאנו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להתערב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במתחם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מיקם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בחלקו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התחתון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המתחם</w:t>
      </w:r>
      <w:r>
        <w:rPr>
          <w:sz w:val="28"/>
          <w:szCs w:val="28"/>
          <w:rtl w:val="true"/>
        </w:rPr>
        <w:t xml:space="preserve">,  </w:t>
      </w:r>
      <w:r>
        <w:rPr>
          <w:sz w:val="28"/>
          <w:sz w:val="28"/>
          <w:szCs w:val="28"/>
          <w:rtl w:val="true"/>
        </w:rPr>
        <w:t>ולצורך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כך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התחשב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במספר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Cs w:val="28"/>
        </w:rPr>
        <w:t>146</w:t>
      </w:r>
      <w:r>
        <w:rPr>
          <w:sz w:val="28"/>
          <w:szCs w:val="28"/>
          <w:rtl w:val="true"/>
        </w:rPr>
        <w:t xml:space="preserve">), </w:t>
      </w:r>
      <w:r>
        <w:rPr>
          <w:sz w:val="28"/>
          <w:sz w:val="28"/>
          <w:szCs w:val="28"/>
          <w:rtl w:val="true"/>
        </w:rPr>
        <w:t>וב</w:t>
      </w:r>
      <w:r>
        <w:rPr>
          <w:sz w:val="28"/>
          <w:sz w:val="28"/>
          <w:szCs w:val="28"/>
          <w:rtl w:val="true"/>
        </w:rPr>
        <w:t>ציוד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המשיב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מעבדה</w:t>
      </w:r>
      <w:r>
        <w:rPr>
          <w:sz w:val="28"/>
          <w:szCs w:val="28"/>
          <w:rtl w:val="true"/>
        </w:rPr>
        <w:t xml:space="preserve">" </w:t>
      </w:r>
      <w:r>
        <w:rPr>
          <w:sz w:val="28"/>
          <w:sz w:val="28"/>
          <w:szCs w:val="28"/>
          <w:rtl w:val="true"/>
        </w:rPr>
        <w:t>לגידול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המצביע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התכנון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וההכנה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למעשה</w:t>
      </w:r>
      <w:r>
        <w:rPr>
          <w:sz w:val="28"/>
          <w:szCs w:val="28"/>
          <w:rtl w:val="true"/>
        </w:rPr>
        <w:t xml:space="preserve">. 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אנו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סבורים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חומרת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נבחנת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בלבד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במספר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המלמד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הפוטנציאל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טמון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במעשה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גם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לכלל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סופי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כוונת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העושה</w:t>
      </w:r>
      <w:r>
        <w:rPr>
          <w:sz w:val="28"/>
          <w:szCs w:val="28"/>
          <w:rtl w:val="true"/>
        </w:rPr>
        <w:t xml:space="preserve">.  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לקולא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התחשב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בנסיבותיו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</w:t>
      </w:r>
      <w:r>
        <w:rPr>
          <w:sz w:val="28"/>
          <w:sz w:val="28"/>
          <w:szCs w:val="28"/>
          <w:rtl w:val="true"/>
        </w:rPr>
        <w:t>י</w:t>
      </w:r>
      <w:r>
        <w:rPr>
          <w:sz w:val="28"/>
          <w:sz w:val="28"/>
          <w:szCs w:val="28"/>
          <w:rtl w:val="true"/>
        </w:rPr>
        <w:t>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</w:t>
      </w:r>
      <w:r>
        <w:rPr>
          <w:sz w:val="28"/>
          <w:sz w:val="28"/>
          <w:szCs w:val="28"/>
          <w:rtl w:val="true"/>
        </w:rPr>
        <w:t>ערער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ובעובדה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</w:t>
      </w:r>
      <w:r>
        <w:rPr>
          <w:sz w:val="28"/>
          <w:sz w:val="28"/>
          <w:szCs w:val="28"/>
          <w:rtl w:val="true"/>
        </w:rPr>
        <w:t>נרתם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להליך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טיפולי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אנו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כמו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רואים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בחומרה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מסוכנים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ובצדק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ציין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</w:t>
      </w:r>
      <w:r>
        <w:rPr>
          <w:sz w:val="28"/>
          <w:sz w:val="28"/>
          <w:szCs w:val="28"/>
          <w:rtl w:val="true"/>
        </w:rPr>
        <w:t>החוק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מבחין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ובענייננו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נסיבות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המקרה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דהיינו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הכנת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סתרים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מאובזר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הדרוש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בשיטת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הידרו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וכמות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-  </w:t>
      </w:r>
      <w:r>
        <w:rPr>
          <w:sz w:val="28"/>
          <w:sz w:val="28"/>
          <w:szCs w:val="28"/>
          <w:rtl w:val="true"/>
        </w:rPr>
        <w:t>מעידות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חומרתו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9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הפנה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אברמוב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שגידל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32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שתילי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קנביס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במשקל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Cs w:val="28"/>
        </w:rPr>
        <w:t>10,253</w:t>
      </w:r>
      <w:r>
        <w:rPr>
          <w:sz w:val="28"/>
          <w:sz w:val="28"/>
          <w:szCs w:val="28"/>
          <w:rtl w:val="true"/>
        </w:rPr>
        <w:t>ק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ג</w:t>
      </w:r>
      <w:r>
        <w:rPr>
          <w:sz w:val="28"/>
          <w:szCs w:val="28"/>
          <w:rtl w:val="true"/>
        </w:rPr>
        <w:t xml:space="preserve">,  </w:t>
      </w:r>
      <w:r>
        <w:rPr>
          <w:sz w:val="28"/>
          <w:sz w:val="28"/>
          <w:szCs w:val="28"/>
          <w:rtl w:val="true"/>
        </w:rPr>
        <w:t>והוטלו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12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חודשי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שהיה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צעיר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נעדר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הרשעות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קודמות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המבחן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הגיש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תסקיר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חיובי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בעניינו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הומלץ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עבודות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שרות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ערעור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שהוגש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המחוזי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נדחה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הפסיקה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הפנה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כ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מקשה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אחת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בחלק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מהמקרים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אליהם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הפנה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נגזרו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נאשמים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שהורשעו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לריצוי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בפועל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אך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מקרה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נבחן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לנסיבותיו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10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לאור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האמור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וחרף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ההליך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הטיפולי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נוטל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חלק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מצאנו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נפלה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שגגה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שהוטל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ראינו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נימוק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להתערב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בו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חילוט</w:t>
      </w: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 xml:space="preserve"> הרכוש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Arial" w:ascii="Arial" w:hAnsi="Arial"/>
          <w:sz w:val="28"/>
          <w:szCs w:val="28"/>
        </w:rPr>
        <w:t>11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המשיבה לא ביקשה  עובר להכרעת הדין להכריז על המערער כסוחר סמים 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אלא </w:t>
      </w:r>
      <w:r>
        <w:rPr>
          <w:rFonts w:ascii="Arial" w:hAnsi="Arial" w:cs="Arial"/>
          <w:sz w:val="28"/>
          <w:sz w:val="28"/>
          <w:szCs w:val="28"/>
          <w:rtl w:val="true"/>
        </w:rPr>
        <w:t>רק ציינה זאת בכתב האישום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Arial"/>
          <w:sz w:val="28"/>
          <w:sz w:val="28"/>
          <w:szCs w:val="28"/>
          <w:rtl w:val="true"/>
        </w:rPr>
        <w:t>בית המשפט קמא סבר שיש להתייחס לכך כאל טעות טכנית</w:t>
      </w:r>
      <w:r>
        <w:rPr>
          <w:rFonts w:cs="Arial" w:ascii="Arial" w:hAnsi="Arial"/>
          <w:sz w:val="28"/>
          <w:szCs w:val="28"/>
          <w:rtl w:val="true"/>
        </w:rPr>
        <w:t>,</w:t>
      </w:r>
      <w:r>
        <w:rPr>
          <w:rFonts w:cs="Arial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Arial"/>
          <w:sz w:val="28"/>
          <w:sz w:val="28"/>
          <w:szCs w:val="28"/>
          <w:rtl w:val="true"/>
        </w:rPr>
        <w:t>לא</w:t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 ראה </w:t>
      </w:r>
      <w:r>
        <w:rPr>
          <w:rFonts w:ascii="Arial" w:hAnsi="Arial" w:cs="Arial"/>
          <w:sz w:val="28"/>
          <w:sz w:val="28"/>
          <w:szCs w:val="28"/>
          <w:rtl w:val="true"/>
        </w:rPr>
        <w:t>מניעה להכריז על המערער כסוחר סמים בשלב גזירת הדין</w:t>
      </w:r>
      <w:r>
        <w:rPr>
          <w:rFonts w:cs="Arial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Arial"/>
          <w:sz w:val="28"/>
          <w:sz w:val="28"/>
          <w:szCs w:val="28"/>
          <w:rtl w:val="true"/>
        </w:rPr>
        <w:t>והורה על חילוט הרכוש שנתפס</w:t>
      </w:r>
      <w:r>
        <w:rPr>
          <w:rFonts w:cs="Arial" w:ascii="Arial" w:hAnsi="Arial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12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בהודעת הערעור נטען כי </w:t>
      </w:r>
      <w:r>
        <w:rPr>
          <w:sz w:val="28"/>
          <w:sz w:val="28"/>
          <w:szCs w:val="28"/>
          <w:rtl w:val="true"/>
        </w:rPr>
        <w:t>ההחלטה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ניתנה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בחוסר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סמכות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מאחר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התבקש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להכריז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כסוחר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במעמד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הכרעת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הדין</w:t>
      </w:r>
      <w:r>
        <w:rPr>
          <w:sz w:val="28"/>
          <w:szCs w:val="28"/>
          <w:rtl w:val="true"/>
        </w:rPr>
        <w:t xml:space="preserve">,  </w:t>
      </w:r>
      <w:r>
        <w:rPr>
          <w:sz w:val="28"/>
          <w:sz w:val="28"/>
          <w:szCs w:val="28"/>
          <w:rtl w:val="true"/>
        </w:rPr>
        <w:t>והבקשה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להכרזתו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כסוחר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הוגשה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במהלך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הטיעונים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לעונש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נטען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הואשם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ועשיית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ניתנה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ההזדמנות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לסתור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שחולט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הושג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ברווחי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עבירות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ביקש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לבטל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ההחלטה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 w:val="28"/>
          <w:szCs w:val="28"/>
          <w:rtl w:val="true"/>
        </w:rPr>
        <w:t>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ולהחזיר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הדיון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בנושא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לבימ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בדיון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שהתקיים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14.6.15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הורינו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במותב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שחלקו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אחר</w:t>
      </w:r>
      <w:r>
        <w:rPr>
          <w:sz w:val="28"/>
          <w:szCs w:val="28"/>
          <w:rtl w:val="true"/>
        </w:rPr>
        <w:t xml:space="preserve">),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שישמע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טענות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ובמידת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הצורך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יקבל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ראיות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הקשור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לבקשת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המשיבה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המאשימה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לחילוט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14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קיים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שבסופו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דחה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המשיבה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לחלט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מכח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העילות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hyperlink r:id="rId10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שבסעיף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מבוססת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תשתית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ראייתית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מבוררת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ומוכחת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מאידך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קיבל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הטענה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עילת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11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הסמים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הובאו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ראיות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עצמאיות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הפיק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הרי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שעובדות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הודה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מניחות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תשתית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המלמדת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</w:t>
      </w:r>
      <w:r>
        <w:rPr>
          <w:sz w:val="28"/>
          <w:sz w:val="28"/>
          <w:szCs w:val="28"/>
          <w:rtl w:val="true"/>
        </w:rPr>
        <w:t>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אמור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להפיק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מהעבירה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לבסס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במידת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ההוכחה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הנדרשת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עילה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להכריז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כסוחר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בהתאם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12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לסעיף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משנוסדה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כוונת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ולאחר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הוכרז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כסוחר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הקבועה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13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31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Cs w:val="28"/>
            <w:u w:val="single"/>
          </w:rPr>
          <w:t>6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התפוסים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שהם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רכושו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הושגו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והנטל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עובר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להפריך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ולהוכיח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האמצעים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להשגת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חוקיים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הרכוש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לידיו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שמונה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שנים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קודם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ליום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הגשת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מאחר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כ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השמיע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לסתיר</w:t>
      </w:r>
      <w:r>
        <w:rPr>
          <w:sz w:val="28"/>
          <w:sz w:val="28"/>
          <w:szCs w:val="28"/>
          <w:rtl w:val="true"/>
        </w:rPr>
        <w:t>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הקבוע</w:t>
      </w:r>
      <w:r>
        <w:rPr>
          <w:sz w:val="28"/>
          <w:sz w:val="28"/>
          <w:szCs w:val="28"/>
          <w:rtl w:val="true"/>
        </w:rPr>
        <w:t>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14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31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Cs w:val="28"/>
            <w:u w:val="single"/>
          </w:rPr>
          <w:t>6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הותיר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החלטת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החילוט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כנה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15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לטענת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כ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הודיית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מניחה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התשתית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הראייתית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הנדרשת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15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36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יתכן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והודייתו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מניחה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תשתית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אמור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להפיק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מתוך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העובדה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שגידל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146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שתילים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אך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בהעלאת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השערה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הגיונית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אפשרות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hyperlink r:id="rId16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 xml:space="preserve">) </w:t>
        </w:r>
        <w:r>
          <w:rPr>
            <w:rStyle w:val="Hyperlink"/>
            <w:color w:val="0000FF"/>
            <w:sz w:val="28"/>
            <w:szCs w:val="28"/>
            <w:u w:val="single"/>
          </w:rPr>
          <w:t>70441/04</w:t>
        </w:r>
      </w:hyperlink>
      <w:r>
        <w:rPr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מדינת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ישראל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נ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צדוק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מסלאווי</w:t>
      </w:r>
      <w:r>
        <w:rPr>
          <w:b/>
          <w:bCs/>
          <w:sz w:val="28"/>
          <w:szCs w:val="28"/>
          <w:rtl w:val="true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sz w:val="28"/>
          <w:szCs w:val="28"/>
        </w:rPr>
        <w:t>16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המשיבה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סבורה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צדק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כשקבע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יסוד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הכמות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הנכבדה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והחלק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הכללי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המשיב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התכוון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להרוויח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כסף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המפורסמות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הקמת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חממת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ממון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רב</w:t>
      </w:r>
      <w:r>
        <w:rPr>
          <w:sz w:val="28"/>
          <w:szCs w:val="28"/>
          <w:rtl w:val="true"/>
        </w:rPr>
        <w:t xml:space="preserve">,  </w:t>
      </w:r>
      <w:r>
        <w:rPr>
          <w:sz w:val="28"/>
          <w:sz w:val="28"/>
          <w:szCs w:val="28"/>
          <w:rtl w:val="true"/>
        </w:rPr>
        <w:t>ובצדק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השקעה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כזו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נועדה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לספק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סמים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לצריכה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המדובר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במסקנה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מרחיקת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לכת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ובלתי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הגיונית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ב</w:t>
      </w:r>
      <w:hyperlink r:id="rId17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דנ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10402/07</w:t>
        </w:r>
      </w:hyperlink>
      <w:r>
        <w:rPr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ליאור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מטיס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נ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מדינת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ישראל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שניתן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להתבסס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נסיון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החיים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ולהסתמך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עובדות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מתוך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כדי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להגיע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למסקנה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שהעבירה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עבר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נעשתה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לצורך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השגת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sz w:val="28"/>
          <w:szCs w:val="28"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17</w:t>
      </w:r>
      <w:r>
        <w:rPr>
          <w:rFonts w:cs="Arial" w:ascii="Arial" w:hAnsi="Arial"/>
          <w:sz w:val="28"/>
          <w:szCs w:val="28"/>
          <w:rtl w:val="true"/>
        </w:rPr>
        <w:t xml:space="preserve">. </w:t>
        <w:tab/>
      </w:r>
      <w:r>
        <w:rPr>
          <w:rFonts w:ascii="Arial" w:hAnsi="Arial" w:cs="Arial"/>
          <w:sz w:val="28"/>
          <w:sz w:val="28"/>
          <w:szCs w:val="28"/>
          <w:rtl w:val="true"/>
        </w:rPr>
        <w:t xml:space="preserve">סעיך </w:t>
      </w:r>
      <w:r>
        <w:rPr>
          <w:rFonts w:cs="Arial" w:ascii="Arial" w:hAnsi="Arial"/>
          <w:sz w:val="28"/>
          <w:szCs w:val="28"/>
        </w:rPr>
        <w:t>36</w:t>
      </w:r>
      <w:r>
        <w:rPr>
          <w:rFonts w:ascii="Arial" w:hAnsi="Arial" w:cs="Arial"/>
          <w:sz w:val="28"/>
          <w:sz w:val="28"/>
          <w:szCs w:val="28"/>
          <w:rtl w:val="true"/>
        </w:rPr>
        <w:t>א</w:t>
      </w:r>
      <w:r>
        <w:rPr>
          <w:rFonts w:cs="Arial" w:ascii="Arial" w:hAnsi="Arial"/>
          <w:sz w:val="28"/>
          <w:szCs w:val="28"/>
          <w:rtl w:val="true"/>
        </w:rPr>
        <w:t>(</w:t>
      </w:r>
      <w:r>
        <w:rPr>
          <w:rFonts w:ascii="Arial" w:hAnsi="Arial" w:cs="Arial"/>
          <w:sz w:val="28"/>
          <w:sz w:val="28"/>
          <w:szCs w:val="28"/>
          <w:rtl w:val="true"/>
        </w:rPr>
        <w:t>ב</w:t>
      </w:r>
      <w:r>
        <w:rPr>
          <w:rFonts w:cs="Arial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Arial"/>
          <w:sz w:val="28"/>
          <w:sz w:val="28"/>
          <w:szCs w:val="28"/>
          <w:rtl w:val="true"/>
        </w:rPr>
        <w:t>ל</w:t>
      </w:r>
      <w:hyperlink r:id="rId18">
        <w:r>
          <w:rPr>
            <w:rStyle w:val="Hyperlink"/>
            <w:rFonts w:ascii="Arial" w:hAnsi="Arial" w:cs="Arial"/>
            <w:color w:val="0000FF"/>
            <w:sz w:val="28"/>
            <w:sz w:val="28"/>
            <w:szCs w:val="28"/>
            <w:u w:val="single"/>
            <w:rtl w:val="true"/>
          </w:rPr>
          <w:t>פקודת הסמים המסוכנים</w:t>
        </w:r>
      </w:hyperlink>
      <w:r>
        <w:rPr>
          <w:rFonts w:ascii="Arial" w:hAnsi="Arial" w:cs="Arial"/>
          <w:sz w:val="28"/>
          <w:sz w:val="28"/>
          <w:szCs w:val="28"/>
          <w:rtl w:val="true"/>
        </w:rPr>
        <w:t xml:space="preserve"> קובע</w:t>
      </w:r>
      <w:r>
        <w:rPr>
          <w:rFonts w:cs="Arial" w:ascii="Arial" w:hAnsi="Arial"/>
          <w:sz w:val="28"/>
          <w:szCs w:val="28"/>
          <w:rtl w:val="true"/>
        </w:rPr>
        <w:t xml:space="preserve">: </w:t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  <w:t>"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בית המשפט  שהרשיע אדם בעבירה של עיסקת סמים והוכח לו כי הנידון הפיק רווח מעבירה של עיסקת סמים או שהיה אמור להפיק רווח מעבירה כאמור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יקבע בהכרעת הדין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על פי בקשת תובע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שהנדון הוא סוחר סמים ומשעשה כן – יצווה בגזר הדין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כי בנוסף לכל עונש יחולט לאוצר המדינה כל רכוש של הנדון שהושג בעבירה של עסקת סמים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אלא אם כן סבר שלא לעשות כן מנימוקים מיוחדים שיפרט</w:t>
      </w:r>
      <w:r>
        <w:rPr>
          <w:rFonts w:cs="Arial" w:ascii="Arial" w:hAnsi="Arial"/>
          <w:b/>
          <w:bCs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  <w:tab/>
      </w:r>
      <w:hyperlink r:id="rId19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31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לפקודה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קובע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חזקות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ובכלל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20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בס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ק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6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sz w:val="28"/>
          <w:szCs w:val="28"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8"/>
          <w:szCs w:val="28"/>
          <w:rtl w:val="true"/>
        </w:rPr>
        <w:tab/>
        <w:tab/>
        <w:t xml:space="preserve">  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קבע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בית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המשפט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לפי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סעיף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Cs/>
          <w:sz w:val="28"/>
          <w:szCs w:val="28"/>
        </w:rPr>
        <w:t>36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ב</w:t>
      </w:r>
      <w:r>
        <w:rPr>
          <w:b/>
          <w:bCs/>
          <w:sz w:val="28"/>
          <w:szCs w:val="28"/>
          <w:rtl w:val="true"/>
        </w:rPr>
        <w:t xml:space="preserve">) </w:t>
      </w:r>
      <w:r>
        <w:rPr>
          <w:b/>
          <w:b/>
          <w:bCs/>
          <w:sz w:val="28"/>
          <w:sz w:val="28"/>
          <w:szCs w:val="28"/>
          <w:rtl w:val="true"/>
        </w:rPr>
        <w:t>שנידון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הוא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סוחר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סמים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Cs/>
          <w:sz w:val="28"/>
          <w:szCs w:val="28"/>
          <w:rtl w:val="true"/>
        </w:rPr>
        <w:t xml:space="preserve">- </w:t>
      </w:r>
    </w:p>
    <w:p>
      <w:pPr>
        <w:pStyle w:val="Normal"/>
        <w:spacing w:lineRule="auto" w:line="360"/>
        <w:ind w:start="216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) </w:t>
      </w:r>
      <w:r>
        <w:rPr>
          <w:b/>
          <w:b/>
          <w:bCs/>
          <w:sz w:val="28"/>
          <w:sz w:val="28"/>
          <w:szCs w:val="28"/>
          <w:rtl w:val="true"/>
        </w:rPr>
        <w:t>כל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אדם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כאמור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rtl w:val="true"/>
        </w:rPr>
        <w:t>ורכוש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זוגו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ושל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ילדיו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אשר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טרם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מלאו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להם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עשרים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ואחת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שנים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rtl w:val="true"/>
        </w:rPr>
        <w:t>וכן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אדם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אחר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שהנידון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מימן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רכישתו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העבירו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לאותו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אדם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ללא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תמורה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rtl w:val="true"/>
        </w:rPr>
        <w:t>ייראה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הנידון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שהושג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בעבירה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עסקת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סמים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rtl w:val="true"/>
        </w:rPr>
        <w:t>אלא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הוכיח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הנידון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אחד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מאלה</w:t>
      </w:r>
      <w:r>
        <w:rPr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spacing w:lineRule="auto" w:line="360"/>
        <w:ind w:firstLine="720" w:start="144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אא</w:t>
      </w:r>
      <w:r>
        <w:rPr>
          <w:b/>
          <w:bCs/>
          <w:sz w:val="28"/>
          <w:szCs w:val="28"/>
          <w:rtl w:val="true"/>
        </w:rPr>
        <w:t xml:space="preserve">) </w:t>
      </w:r>
      <w:r>
        <w:rPr>
          <w:b/>
          <w:b/>
          <w:bCs/>
          <w:sz w:val="28"/>
          <w:sz w:val="28"/>
          <w:szCs w:val="28"/>
          <w:rtl w:val="true"/>
        </w:rPr>
        <w:t>האמצעים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להשגת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היו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חוקיים</w:t>
      </w:r>
      <w:r>
        <w:rPr>
          <w:b/>
          <w:bCs/>
          <w:sz w:val="28"/>
          <w:szCs w:val="28"/>
          <w:rtl w:val="true"/>
        </w:rPr>
        <w:t xml:space="preserve">; </w:t>
      </w:r>
    </w:p>
    <w:p>
      <w:pPr>
        <w:pStyle w:val="Normal"/>
        <w:spacing w:lineRule="auto" w:line="360"/>
        <w:ind w:start="216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בב</w:t>
      </w:r>
      <w:r>
        <w:rPr>
          <w:b/>
          <w:bCs/>
          <w:sz w:val="28"/>
          <w:szCs w:val="28"/>
          <w:rtl w:val="true"/>
        </w:rPr>
        <w:t xml:space="preserve">) </w:t>
      </w:r>
      <w:r>
        <w:rPr>
          <w:b/>
          <w:b/>
          <w:bCs/>
          <w:sz w:val="28"/>
          <w:sz w:val="28"/>
          <w:szCs w:val="28"/>
          <w:rtl w:val="true"/>
        </w:rPr>
        <w:t>הרכוש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הגיע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לידיו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לידי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בעליו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מאוחר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משמונה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שנים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שקדמו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ליום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הגשת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כתב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האישום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העבירה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שעליה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נדון</w:t>
      </w:r>
      <w:r>
        <w:rPr>
          <w:b/>
          <w:bCs/>
          <w:sz w:val="28"/>
          <w:szCs w:val="28"/>
          <w:rtl w:val="true"/>
        </w:rPr>
        <w:t xml:space="preserve">; </w:t>
      </w:r>
    </w:p>
    <w:p>
      <w:pPr>
        <w:pStyle w:val="Normal"/>
        <w:spacing w:lineRule="auto" w:line="360"/>
        <w:ind w:start="216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ב</w:t>
      </w:r>
      <w:r>
        <w:rPr>
          <w:b/>
          <w:bCs/>
          <w:sz w:val="28"/>
          <w:szCs w:val="28"/>
          <w:rtl w:val="true"/>
        </w:rPr>
        <w:t xml:space="preserve">) </w:t>
      </w:r>
      <w:r>
        <w:rPr>
          <w:b/>
          <w:b/>
          <w:bCs/>
          <w:sz w:val="28"/>
          <w:sz w:val="28"/>
          <w:szCs w:val="28"/>
          <w:rtl w:val="true"/>
        </w:rPr>
        <w:t>כל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שנמצא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בחזקתו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בחשבונו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הנידון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ייראה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אלא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כן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הוכיח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שהרכוש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הוא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של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זולתו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rtl w:val="true"/>
        </w:rPr>
        <w:t>שאינו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אחד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האנשים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המפורטים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בפסקה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Cs/>
          <w:sz w:val="28"/>
          <w:szCs w:val="28"/>
          <w:rtl w:val="true"/>
        </w:rPr>
        <w:t>(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).      </w:t>
      </w:r>
    </w:p>
    <w:p>
      <w:pPr>
        <w:pStyle w:val="Normal"/>
        <w:spacing w:lineRule="auto" w:line="360"/>
        <w:ind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בדנ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פ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ליאור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מטיס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הנ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קבע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מניעה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להגיע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למסקנה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שסם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למטרות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כאשר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המסקנה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מעוגנת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בעובדות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כתב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האישום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ובשכל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הישר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sz w:val="28"/>
          <w:sz w:val="28"/>
          <w:szCs w:val="28"/>
          <w:rtl w:val="true"/>
        </w:rPr>
        <w:t>בענייננו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כפי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שקבע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כמות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והציוד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שהשקיע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בהכנת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התשתית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הצמחים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ספק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ממון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רב</w:t>
      </w:r>
      <w:r>
        <w:rPr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מותירה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ספק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לצריכה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בלבד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ואנו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תמימי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דעים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גידול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שתילים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בהיקף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נרחב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נועד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לשימוש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עצמי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מיועד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לעשיית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רווח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והמערער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הוכיח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</w:t>
      </w:r>
      <w:r>
        <w:rPr>
          <w:sz w:val="28"/>
          <w:sz w:val="28"/>
          <w:szCs w:val="28"/>
          <w:rtl w:val="true"/>
        </w:rPr>
        <w:t>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מהחריגים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החזקה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הקבוע</w:t>
      </w:r>
      <w:r>
        <w:rPr>
          <w:sz w:val="28"/>
          <w:sz w:val="28"/>
          <w:szCs w:val="28"/>
          <w:rtl w:val="true"/>
        </w:rPr>
        <w:t>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hyperlink r:id="rId21"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cs="Times New Roman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Cs w:val="28"/>
            <w:u w:val="single"/>
          </w:rPr>
          <w:t>31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Cs w:val="28"/>
            <w:u w:val="single"/>
          </w:rPr>
          <w:t>6</w:t>
        </w:r>
        <w:r>
          <w:rPr>
            <w:rStyle w:val="Hyperlink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חלים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עליו</w:t>
      </w:r>
      <w:r>
        <w:rPr>
          <w:sz w:val="28"/>
          <w:szCs w:val="28"/>
          <w:rtl w:val="true"/>
        </w:rPr>
        <w:t>.</w:t>
      </w:r>
      <w:r>
        <w:rPr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sz w:val="28"/>
          <w:szCs w:val="28"/>
          <w:rtl w:val="true"/>
        </w:rPr>
        <w:t xml:space="preserve">. </w:t>
        <w:tab/>
      </w:r>
      <w:r>
        <w:rPr>
          <w:sz w:val="28"/>
          <w:sz w:val="28"/>
          <w:szCs w:val="28"/>
          <w:rtl w:val="true"/>
        </w:rPr>
        <w:t>לאור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האמור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לעיל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אנו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דוחים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הערעור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והן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החילוט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יתייצב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למאסרו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סוהר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הדרים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ביום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14.1.16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השעה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10:00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או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החלטת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ס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כשברשותו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תעודת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זהות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וגזר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הדין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משפט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קמא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כ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לתאם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הכניסה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למאסר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כולל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האפשרות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למיון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מוקדם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ענף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אבחון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ומיון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שב</w:t>
      </w:r>
      <w:r>
        <w:rPr>
          <w:sz w:val="28"/>
          <w:szCs w:val="28"/>
          <w:rtl w:val="true"/>
        </w:rPr>
        <w:t>"</w:t>
      </w:r>
      <w:r>
        <w:rPr>
          <w:sz w:val="28"/>
          <w:sz w:val="28"/>
          <w:szCs w:val="28"/>
          <w:rtl w:val="true"/>
        </w:rPr>
        <w:t>ס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 w:val="28"/>
          <w:szCs w:val="28"/>
          <w:rtl w:val="true"/>
        </w:rPr>
        <w:t>טלפונים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08-9787377</w:t>
      </w:r>
      <w:r>
        <w:rPr>
          <w:sz w:val="28"/>
          <w:szCs w:val="28"/>
          <w:rtl w:val="true"/>
        </w:rPr>
        <w:t xml:space="preserve">, </w:t>
      </w:r>
      <w:r>
        <w:rPr>
          <w:sz w:val="28"/>
          <w:szCs w:val="28"/>
        </w:rPr>
        <w:t>08-9787336</w:t>
      </w:r>
      <w:r>
        <w:rPr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>התנאים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שנקבעו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לעיכוב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ביצוע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המאסר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יעמדו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בתוקפם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להתייצבות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המערער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לריצוי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עונשו</w:t>
      </w:r>
      <w:r>
        <w:rPr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lang w:val="en-US" w:eastAsia="en-US"/>
        </w:rPr>
      </w:pPr>
      <w:r>
        <w:rPr>
          <w:rFonts w:cs="Arial" w:ascii="Arial" w:hAnsi="Arial"/>
          <w:b/>
          <w:bCs/>
          <w:color w:val="FFFFFF"/>
          <w:sz w:val="28"/>
          <w:szCs w:val="28"/>
          <w:lang w:val="en-US" w:eastAsia="en-US"/>
        </w:rPr>
        <w:t>5129371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י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טבת תשע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ו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sz w:val="28"/>
          <w:szCs w:val="28"/>
          <w:lang w:val="en-US" w:eastAsia="en-US"/>
        </w:rPr>
        <w:t>22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 xml:space="preserve">דצמבר </w:t>
      </w:r>
      <w:r>
        <w:rPr>
          <w:rFonts w:cs="Arial" w:ascii="Arial" w:hAnsi="Arial"/>
          <w:b/>
          <w:bCs/>
          <w:sz w:val="28"/>
          <w:szCs w:val="28"/>
          <w:lang w:val="en-US" w:eastAsia="en-US"/>
        </w:rPr>
        <w:t>2015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במעמד ב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כ הצדדים והמערער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 xml:space="preserve">. </w:t>
      </w:r>
    </w:p>
    <w:tbl>
      <w:tblPr>
        <w:bidiVisual w:val="true"/>
        <w:tblW w:w="850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6"/>
        <w:gridCol w:w="348"/>
        <w:gridCol w:w="2308"/>
        <w:gridCol w:w="336"/>
        <w:gridCol w:w="2736"/>
      </w:tblGrid>
      <w:tr>
        <w:trPr/>
        <w:tc>
          <w:tcPr>
            <w:tcW w:w="2776" w:type="dxa"/>
            <w:tcBorders>
              <w:bottom w:val="single" w:sz="4" w:space="0" w:color="000000"/>
            </w:tcBorders>
          </w:tcPr>
          <w:p>
            <w:pPr>
              <w:pStyle w:val="Normal"/>
              <w:ind w:end="0"/>
              <w:jc w:val="end"/>
              <w:rPr>
                <w:rFonts w:cs="Times New Roman"/>
                <w:color w:val="FFFFFF"/>
                <w:sz w:val="2"/>
                <w:szCs w:val="2"/>
                <w:lang w:val="en-US" w:eastAsia="en-US"/>
              </w:rPr>
            </w:pPr>
            <w:r>
              <w:rPr>
                <w:rFonts w:cs="Times New Roman"/>
                <w:color w:val="FFFFFF"/>
                <w:sz w:val="2"/>
                <w:szCs w:val="2"/>
                <w:lang w:val="en-US" w:eastAsia="en-US"/>
              </w:rPr>
              <w:t>54678313</w:t>
            </w:r>
          </w:p>
        </w:tc>
        <w:tc>
          <w:tcPr>
            <w:tcW w:w="348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  <w:lang w:val="en-US" w:eastAsia="en-US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  <w:lang w:val="en-US" w:eastAsia="en-US"/>
              </w:rPr>
            </w:r>
          </w:p>
        </w:tc>
        <w:tc>
          <w:tcPr>
            <w:tcW w:w="230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FrankRuehl"/>
                <w:b/>
                <w:bCs/>
              </w:rPr>
            </w:pPr>
            <w:r>
              <w:rPr>
                <w:rFonts w:cs="FrankRuehl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cs="Times New Roman"/>
              </w:rPr>
            </w:pPr>
            <w:r>
              <w:rPr>
                <w:rFonts w:cs="Times New Roman"/>
                <w:rtl w:val="true"/>
              </w:rPr>
            </w:r>
          </w:p>
        </w:tc>
        <w:tc>
          <w:tcPr>
            <w:tcW w:w="336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3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end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אברהם טל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 xml:space="preserve">נשיא </w:t>
            </w:r>
          </w:p>
        </w:tc>
        <w:tc>
          <w:tcPr>
            <w:tcW w:w="348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0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זהבה בוסתן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</w:tc>
        <w:tc>
          <w:tcPr>
            <w:tcW w:w="336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3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שמואל בורנשטיין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 xml:space="preserve">שופט 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אברהם טל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2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23"/>
      <w:footerReference w:type="default" r:id="rId24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(W1)">
    <w:altName w:val="Arial"/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9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מרכז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8650-04-15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שמעון שורץ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31" TargetMode="External"/><Relationship Id="rId4" Type="http://schemas.openxmlformats.org/officeDocument/2006/relationships/hyperlink" Target="http://www.nevo.co.il/law/4216/31.6" TargetMode="External"/><Relationship Id="rId5" Type="http://schemas.openxmlformats.org/officeDocument/2006/relationships/hyperlink" Target="http://www.nevo.co.il/law/4216/36a.a" TargetMode="External"/><Relationship Id="rId6" Type="http://schemas.openxmlformats.org/officeDocument/2006/relationships/hyperlink" Target="http://www.nevo.co.il/law/4216/36a.b" TargetMode="External"/><Relationship Id="rId7" Type="http://schemas.openxmlformats.org/officeDocument/2006/relationships/hyperlink" Target="http://www.nevo.co.il/case/7863845" TargetMode="External"/><Relationship Id="rId8" Type="http://schemas.openxmlformats.org/officeDocument/2006/relationships/hyperlink" Target="http://www.nevo.co.il/law/4216/36a.a" TargetMode="External"/><Relationship Id="rId9" Type="http://schemas.openxmlformats.org/officeDocument/2006/relationships/hyperlink" Target="http://www.nevo.co.il/law/4216/36a.b" TargetMode="External"/><Relationship Id="rId10" Type="http://schemas.openxmlformats.org/officeDocument/2006/relationships/hyperlink" Target="http://www.nevo.co.il/law/4216/36a.a" TargetMode="External"/><Relationship Id="rId11" Type="http://schemas.openxmlformats.org/officeDocument/2006/relationships/hyperlink" Target="http://www.nevo.co.il/law/4216/36a.b" TargetMode="External"/><Relationship Id="rId12" Type="http://schemas.openxmlformats.org/officeDocument/2006/relationships/hyperlink" Target="http://www.nevo.co.il/law/4216/36a.b" TargetMode="External"/><Relationship Id="rId13" Type="http://schemas.openxmlformats.org/officeDocument/2006/relationships/hyperlink" Target="http://www.nevo.co.il/law/4216/31.6" TargetMode="External"/><Relationship Id="rId14" Type="http://schemas.openxmlformats.org/officeDocument/2006/relationships/hyperlink" Target="http://www.nevo.co.il/law/4216/31.6" TargetMode="External"/><Relationship Id="rId15" Type="http://schemas.openxmlformats.org/officeDocument/2006/relationships/hyperlink" Target="http://www.nevo.co.il/law/4216/36a.b" TargetMode="External"/><Relationship Id="rId16" Type="http://schemas.openxmlformats.org/officeDocument/2006/relationships/hyperlink" Target="http://www.nevo.co.il/case/2237307" TargetMode="External"/><Relationship Id="rId17" Type="http://schemas.openxmlformats.org/officeDocument/2006/relationships/hyperlink" Target="http://www.nevo.co.il/case/5681790" TargetMode="External"/><Relationship Id="rId18" Type="http://schemas.openxmlformats.org/officeDocument/2006/relationships/hyperlink" Target="http://www.nevo.co.il/law/4216" TargetMode="External"/><Relationship Id="rId19" Type="http://schemas.openxmlformats.org/officeDocument/2006/relationships/hyperlink" Target="http://www.nevo.co.il/law/4216/31" TargetMode="External"/><Relationship Id="rId20" Type="http://schemas.openxmlformats.org/officeDocument/2006/relationships/hyperlink" Target="http://www.nevo.co.il/law/4216/31.6" TargetMode="External"/><Relationship Id="rId21" Type="http://schemas.openxmlformats.org/officeDocument/2006/relationships/hyperlink" Target="http://www.nevo.co.il/law/4216/31.6" TargetMode="External"/><Relationship Id="rId22" Type="http://schemas.openxmlformats.org/officeDocument/2006/relationships/hyperlink" Target="http://www.nevo.co.il/advertisements/nevo-100.doc" TargetMode="Externa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2016-01-12T10:10:00Z</dcterms:created>
  <dc:creator> </dc:creator>
  <dc:description/>
  <cp:keywords/>
  <dc:language>en-IL</dc:language>
  <cp:lastModifiedBy>hofit</cp:lastModifiedBy>
  <dcterms:modified xsi:type="dcterms:W3CDTF">2016-01-12T10:10:00Z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שמעון שורץ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ProcID=209&amp;PartA=338&amp;PartC=12</vt:lpwstr>
  </property>
  <property fmtid="{D5CDD505-2E9C-101B-9397-08002B2CF9AE}" pid="5" name="CASESLISTTMP1">
    <vt:lpwstr>7863845;2237307;5681790</vt:lpwstr>
  </property>
  <property fmtid="{D5CDD505-2E9C-101B-9397-08002B2CF9AE}" pid="6" name="CITY">
    <vt:lpwstr>מרכז</vt:lpwstr>
  </property>
  <property fmtid="{D5CDD505-2E9C-101B-9397-08002B2CF9AE}" pid="7" name="DATE">
    <vt:lpwstr>20151222</vt:lpwstr>
  </property>
  <property fmtid="{D5CDD505-2E9C-101B-9397-08002B2CF9AE}" pid="8" name="ISABSTRACT">
    <vt:lpwstr>Y</vt:lpwstr>
  </property>
  <property fmtid="{D5CDD505-2E9C-101B-9397-08002B2CF9AE}" pid="9" name="JUDGE">
    <vt:lpwstr>אברהם טל;זהבה בוסתן;ד"ר שמואל בורנשטין</vt:lpwstr>
  </property>
  <property fmtid="{D5CDD505-2E9C-101B-9397-08002B2CF9AE}" pid="10" name="LAWLISTTMP1">
    <vt:lpwstr>4216/036a.a:2;036a.b:4;031.6:4;031</vt:lpwstr>
  </property>
  <property fmtid="{D5CDD505-2E9C-101B-9397-08002B2CF9AE}" pid="11" name="NEWPARTA">
    <vt:lpwstr>8650</vt:lpwstr>
  </property>
  <property fmtid="{D5CDD505-2E9C-101B-9397-08002B2CF9AE}" pid="12" name="NEWPARTB">
    <vt:lpwstr>04</vt:lpwstr>
  </property>
  <property fmtid="{D5CDD505-2E9C-101B-9397-08002B2CF9AE}" pid="13" name="NEWPARTC">
    <vt:lpwstr>15</vt:lpwstr>
  </property>
  <property fmtid="{D5CDD505-2E9C-101B-9397-08002B2CF9AE}" pid="14" name="NEWPROC">
    <vt:lpwstr>עפג</vt:lpwstr>
  </property>
  <property fmtid="{D5CDD505-2E9C-101B-9397-08002B2CF9AE}" pid="15" name="PSAKDIN">
    <vt:lpwstr>פסק-דין</vt:lpwstr>
  </property>
  <property fmtid="{D5CDD505-2E9C-101B-9397-08002B2CF9AE}" pid="16" name="TYPE">
    <vt:lpwstr>2</vt:lpwstr>
  </property>
  <property fmtid="{D5CDD505-2E9C-101B-9397-08002B2CF9AE}" pid="17" name="TYPE_ABS_DATE">
    <vt:lpwstr>390020151222</vt:lpwstr>
  </property>
  <property fmtid="{D5CDD505-2E9C-101B-9397-08002B2CF9AE}" pid="18" name="TYPE_N_DATE">
    <vt:lpwstr>39020151222</vt:lpwstr>
  </property>
  <property fmtid="{D5CDD505-2E9C-101B-9397-08002B2CF9AE}" pid="19" name="WORDNUMPAGES">
    <vt:lpwstr>8</vt:lpwstr>
  </property>
</Properties>
</file>