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bidiVisual w:val="true"/>
        <w:tblW w:w="7857" w:type="dxa"/>
        <w:jc w:val="end"/>
        <w:tblInd w:w="0" w:type="dxa"/>
        <w:tblLayout w:type="fixed"/>
        <w:tblCellMar>
          <w:top w:w="0" w:type="dxa"/>
          <w:start w:w="108" w:type="dxa"/>
          <w:bottom w:w="0" w:type="dxa"/>
          <w:end w:w="108" w:type="dxa"/>
        </w:tblCellMar>
      </w:tblPr>
      <w:tblGrid>
        <w:gridCol w:w="7857"/>
      </w:tblGrid>
      <w:tr>
        <w:trPr/>
        <w:tc>
          <w:tcPr>
            <w:tcW w:w="7857" w:type="dxa"/>
            <w:tcBorders/>
          </w:tcPr>
          <w:p>
            <w:pPr>
              <w:pStyle w:val="FileNumber1"/>
              <w:ind w:end="0"/>
              <w:jc w:val="center"/>
              <w:rPr>
                <w:sz w:val="28"/>
              </w:rPr>
            </w:pPr>
            <w:bookmarkStart w:id="0" w:name="Text1"/>
            <w:r>
              <w:rPr>
                <w:sz w:val="22"/>
                <w:sz w:val="22"/>
                <w:szCs w:val="30"/>
                <w:rtl w:val="true"/>
              </w:rPr>
              <w:t>בבית</w:t>
            </w:r>
            <w:r>
              <w:rPr>
                <w:rFonts w:cs="Times New Roman"/>
                <w:sz w:val="22"/>
                <w:sz w:val="22"/>
                <w:szCs w:val="30"/>
                <w:rtl w:val="true"/>
              </w:rPr>
              <w:t xml:space="preserve"> </w:t>
            </w:r>
            <w:r>
              <w:rPr>
                <w:sz w:val="22"/>
                <w:sz w:val="22"/>
                <w:szCs w:val="30"/>
                <w:rtl w:val="true"/>
              </w:rPr>
              <w:t>המשפט</w:t>
            </w:r>
            <w:r>
              <w:rPr>
                <w:rFonts w:cs="Times New Roman"/>
                <w:sz w:val="22"/>
                <w:sz w:val="22"/>
                <w:szCs w:val="30"/>
                <w:rtl w:val="true"/>
              </w:rPr>
              <w:t xml:space="preserve"> </w:t>
            </w:r>
            <w:r>
              <w:rPr>
                <w:sz w:val="22"/>
                <w:sz w:val="22"/>
                <w:szCs w:val="30"/>
                <w:rtl w:val="true"/>
              </w:rPr>
              <w:t>העליון</w:t>
            </w:r>
            <w:r>
              <w:rPr>
                <w:rFonts w:cs="Times New Roman"/>
                <w:sz w:val="22"/>
                <w:sz w:val="22"/>
                <w:szCs w:val="30"/>
                <w:rtl w:val="true"/>
              </w:rPr>
              <w:t xml:space="preserve"> </w:t>
            </w:r>
            <w:r>
              <w:rPr>
                <w:sz w:val="22"/>
                <w:sz w:val="22"/>
                <w:szCs w:val="30"/>
                <w:rtl w:val="true"/>
              </w:rPr>
              <w:t>בשבתו</w:t>
            </w:r>
            <w:r>
              <w:rPr>
                <w:rFonts w:cs="Times New Roman"/>
                <w:sz w:val="22"/>
                <w:sz w:val="22"/>
                <w:szCs w:val="30"/>
                <w:rtl w:val="true"/>
              </w:rPr>
              <w:t xml:space="preserve"> </w:t>
            </w:r>
            <w:r>
              <w:rPr>
                <w:sz w:val="22"/>
                <w:sz w:val="22"/>
                <w:szCs w:val="30"/>
                <w:rtl w:val="true"/>
              </w:rPr>
              <w:t>כבית</w:t>
            </w:r>
            <w:r>
              <w:rPr>
                <w:rFonts w:cs="Times New Roman"/>
                <w:sz w:val="22"/>
                <w:sz w:val="22"/>
                <w:szCs w:val="30"/>
                <w:rtl w:val="true"/>
              </w:rPr>
              <w:t xml:space="preserve"> </w:t>
            </w:r>
            <w:r>
              <w:rPr>
                <w:sz w:val="22"/>
                <w:sz w:val="22"/>
                <w:szCs w:val="30"/>
                <w:rtl w:val="true"/>
              </w:rPr>
              <w:t>משפט</w:t>
            </w:r>
            <w:r>
              <w:rPr>
                <w:rFonts w:cs="Times New Roman"/>
                <w:sz w:val="22"/>
                <w:sz w:val="22"/>
                <w:szCs w:val="30"/>
                <w:rtl w:val="true"/>
              </w:rPr>
              <w:t xml:space="preserve"> </w:t>
            </w:r>
            <w:r>
              <w:rPr>
                <w:sz w:val="22"/>
                <w:sz w:val="22"/>
                <w:szCs w:val="30"/>
                <w:rtl w:val="true"/>
              </w:rPr>
              <w:t>לערעורים</w:t>
            </w:r>
            <w:r>
              <w:rPr>
                <w:rFonts w:cs="Times New Roman"/>
                <w:sz w:val="22"/>
                <w:sz w:val="22"/>
                <w:szCs w:val="30"/>
                <w:rtl w:val="true"/>
              </w:rPr>
              <w:t xml:space="preserve"> </w:t>
            </w:r>
            <w:r>
              <w:rPr>
                <w:sz w:val="22"/>
                <w:sz w:val="22"/>
                <w:szCs w:val="30"/>
                <w:rtl w:val="true"/>
              </w:rPr>
              <w:t>פליליים</w:t>
            </w:r>
            <w:bookmarkEnd w:id="0"/>
          </w:p>
        </w:tc>
      </w:tr>
    </w:tbl>
    <w:p>
      <w:pPr>
        <w:pStyle w:val="Normal"/>
        <w:ind w:end="0"/>
        <w:jc w:val="end"/>
        <w:rPr>
          <w:rFonts w:cs="Miriam"/>
          <w:b/>
          <w:bCs/>
        </w:rPr>
      </w:pPr>
      <w:r>
        <w:rPr>
          <w:rFonts w:cs="Miriam"/>
          <w:b/>
          <w:bCs/>
          <w:rtl w:val="true"/>
        </w:rPr>
      </w:r>
    </w:p>
    <w:tbl>
      <w:tblPr>
        <w:bidiVisual w:val="true"/>
        <w:tblW w:w="8495" w:type="dxa"/>
        <w:jc w:val="start"/>
        <w:tblInd w:w="0" w:type="dxa"/>
        <w:tblLayout w:type="fixed"/>
        <w:tblCellMar>
          <w:top w:w="0" w:type="dxa"/>
          <w:start w:w="108" w:type="dxa"/>
          <w:bottom w:w="0" w:type="dxa"/>
          <w:end w:w="108" w:type="dxa"/>
        </w:tblCellMar>
      </w:tblPr>
      <w:tblGrid>
        <w:gridCol w:w="8495"/>
      </w:tblGrid>
      <w:tr>
        <w:trPr>
          <w:trHeight w:val="342" w:hRule="atLeast"/>
        </w:trPr>
        <w:tc>
          <w:tcPr>
            <w:tcW w:w="8495" w:type="dxa"/>
            <w:tcBorders/>
          </w:tcPr>
          <w:p>
            <w:pPr>
              <w:pStyle w:val="FileNumber"/>
              <w:ind w:end="0"/>
              <w:jc w:val="end"/>
              <w:rPr/>
            </w:pPr>
            <w:bookmarkStart w:id="1" w:name="casename_body"/>
            <w:r>
              <w:rPr>
                <w:sz w:val="28"/>
                <w:sz w:val="28"/>
                <w:szCs w:val="28"/>
                <w:rtl w:val="true"/>
              </w:rPr>
              <w:t>ע</w:t>
            </w:r>
            <w:r>
              <w:rPr>
                <w:sz w:val="28"/>
                <w:szCs w:val="28"/>
                <w:rtl w:val="true"/>
              </w:rPr>
              <w:t>"</w:t>
            </w:r>
            <w:r>
              <w:rPr>
                <w:sz w:val="28"/>
                <w:sz w:val="28"/>
                <w:szCs w:val="28"/>
                <w:rtl w:val="true"/>
              </w:rPr>
              <w:t>פ</w:t>
            </w:r>
            <w:r>
              <w:rPr>
                <w:rFonts w:cs="Times New Roman"/>
                <w:sz w:val="28"/>
                <w:sz w:val="28"/>
                <w:szCs w:val="28"/>
                <w:rtl w:val="true"/>
              </w:rPr>
              <w:t xml:space="preserve">  </w:t>
            </w:r>
            <w:r>
              <w:rPr>
                <w:sz w:val="28"/>
                <w:szCs w:val="28"/>
              </w:rPr>
              <w:t>1127/13</w:t>
            </w:r>
            <w:r>
              <w:rPr>
                <w:sz w:val="28"/>
                <w:szCs w:val="28"/>
                <w:rtl w:val="true"/>
              </w:rPr>
              <w:t xml:space="preserve"> </w:t>
            </w:r>
            <w:bookmarkEnd w:id="1"/>
          </w:p>
        </w:tc>
      </w:tr>
    </w:tbl>
    <w:p>
      <w:pPr>
        <w:pStyle w:val="Normal"/>
        <w:spacing w:lineRule="auto" w:line="360"/>
        <w:ind w:end="0"/>
        <w:jc w:val="end"/>
        <w:rPr>
          <w:rFonts w:cs="Miriam"/>
          <w:b/>
          <w:bCs/>
        </w:rPr>
      </w:pPr>
      <w:r>
        <w:rPr>
          <w:rFonts w:cs="Miriam"/>
          <w:b/>
          <w:bCs/>
          <w:rtl w:val="true"/>
        </w:rPr>
      </w:r>
    </w:p>
    <w:tbl>
      <w:tblPr>
        <w:bidiVisual w:val="true"/>
        <w:tblW w:w="8522" w:type="dxa"/>
        <w:jc w:val="end"/>
        <w:tblInd w:w="0" w:type="dxa"/>
        <w:tblLayout w:type="fixed"/>
        <w:tblCellMar>
          <w:top w:w="0" w:type="dxa"/>
          <w:start w:w="108" w:type="dxa"/>
          <w:bottom w:w="0" w:type="dxa"/>
          <w:end w:w="108" w:type="dxa"/>
        </w:tblCellMar>
      </w:tblPr>
      <w:tblGrid>
        <w:gridCol w:w="3284"/>
        <w:gridCol w:w="5238"/>
      </w:tblGrid>
      <w:tr>
        <w:trPr>
          <w:trHeight w:val="287" w:hRule="atLeast"/>
        </w:trPr>
        <w:tc>
          <w:tcPr>
            <w:tcW w:w="3284" w:type="dxa"/>
            <w:tcBorders/>
          </w:tcPr>
          <w:p>
            <w:pPr>
              <w:pStyle w:val="BodyRuller1"/>
              <w:ind w:end="0"/>
              <w:jc w:val="start"/>
              <w:rPr>
                <w:rFonts w:cs="Miriam"/>
                <w:b/>
                <w:bCs/>
              </w:rPr>
            </w:pPr>
            <w:r>
              <w:rPr>
                <w:rtl w:val="true"/>
              </w:rPr>
              <w:t>לפני</w:t>
            </w:r>
            <w:r>
              <w:rPr>
                <w:rtl w:val="true"/>
              </w:rPr>
              <w:t>:</w:t>
              <w:tab/>
            </w:r>
          </w:p>
        </w:tc>
        <w:tc>
          <w:tcPr>
            <w:tcW w:w="5238" w:type="dxa"/>
            <w:tcBorders/>
          </w:tcPr>
          <w:p>
            <w:pPr>
              <w:pStyle w:val="BodyRuller1"/>
              <w:ind w:end="0"/>
              <w:jc w:val="start"/>
              <w:rPr/>
            </w:pPr>
            <w:r>
              <w:rPr>
                <w:rtl w:val="true"/>
              </w:rPr>
              <w:t>כבוד</w:t>
            </w:r>
            <w:r>
              <w:rPr>
                <w:rFonts w:cs="Times New Roman"/>
                <w:rtl w:val="true"/>
              </w:rPr>
              <w:t xml:space="preserve"> </w:t>
            </w:r>
            <w:r>
              <w:rPr>
                <w:rtl w:val="true"/>
              </w:rPr>
              <w:t>השופט</w:t>
            </w:r>
            <w:r>
              <w:rPr>
                <w:rFonts w:cs="Times New Roman"/>
                <w:rtl w:val="true"/>
              </w:rPr>
              <w:t xml:space="preserve"> </w:t>
            </w:r>
            <w:r>
              <w:rPr>
                <w:rtl w:val="true"/>
              </w:rPr>
              <w:t>ס</w:t>
            </w:r>
            <w:r>
              <w:rPr>
                <w:rtl w:val="true"/>
              </w:rPr>
              <w:t xml:space="preserve">' </w:t>
            </w:r>
            <w:r>
              <w:rPr>
                <w:rtl w:val="true"/>
              </w:rPr>
              <w:t>ג</w:t>
            </w:r>
            <w:r>
              <w:rPr>
                <w:rtl w:val="true"/>
              </w:rPr>
              <w:t>'</w:t>
            </w:r>
            <w:r>
              <w:rPr>
                <w:rtl w:val="true"/>
              </w:rPr>
              <w:t>ובראן</w:t>
            </w:r>
          </w:p>
        </w:tc>
      </w:tr>
      <w:tr>
        <w:trPr>
          <w:trHeight w:val="287" w:hRule="atLeast"/>
        </w:trPr>
        <w:tc>
          <w:tcPr>
            <w:tcW w:w="3284" w:type="dxa"/>
            <w:tcBorders/>
          </w:tcPr>
          <w:p>
            <w:pPr>
              <w:pStyle w:val="BodyRuller1"/>
              <w:snapToGrid w:val="false"/>
              <w:ind w:end="0"/>
              <w:jc w:val="start"/>
              <w:rPr>
                <w:rFonts w:cs="Times New Roman"/>
                <w:szCs w:val="20"/>
              </w:rPr>
            </w:pPr>
            <w:r>
              <w:rPr>
                <w:rFonts w:cs="Times New Roman"/>
                <w:szCs w:val="20"/>
                <w:rtl w:val="true"/>
              </w:rPr>
            </w:r>
          </w:p>
        </w:tc>
        <w:tc>
          <w:tcPr>
            <w:tcW w:w="5238" w:type="dxa"/>
            <w:tcBorders/>
          </w:tcPr>
          <w:p>
            <w:pPr>
              <w:pStyle w:val="BodyRuller1"/>
              <w:ind w:end="0"/>
              <w:jc w:val="start"/>
              <w:rPr/>
            </w:pPr>
            <w:r>
              <w:rPr>
                <w:rtl w:val="true"/>
              </w:rPr>
              <w:t>כבוד</w:t>
            </w:r>
            <w:r>
              <w:rPr>
                <w:rFonts w:cs="Times New Roman"/>
                <w:rtl w:val="true"/>
              </w:rPr>
              <w:t xml:space="preserve"> </w:t>
            </w:r>
            <w:r>
              <w:rPr>
                <w:rtl w:val="true"/>
              </w:rPr>
              <w:t>השופט</w:t>
            </w:r>
            <w:r>
              <w:rPr>
                <w:rFonts w:cs="Times New Roman"/>
                <w:rtl w:val="true"/>
              </w:rPr>
              <w:t xml:space="preserve"> </w:t>
            </w:r>
            <w:r>
              <w:rPr>
                <w:rtl w:val="true"/>
              </w:rPr>
              <w:t>ח</w:t>
            </w:r>
            <w:r>
              <w:rPr>
                <w:rtl w:val="true"/>
              </w:rPr>
              <w:t xml:space="preserve">' </w:t>
            </w:r>
            <w:r>
              <w:rPr>
                <w:rtl w:val="true"/>
              </w:rPr>
              <w:t>מלצר</w:t>
            </w:r>
          </w:p>
        </w:tc>
      </w:tr>
      <w:tr>
        <w:trPr>
          <w:trHeight w:val="287" w:hRule="atLeast"/>
        </w:trPr>
        <w:tc>
          <w:tcPr>
            <w:tcW w:w="3284" w:type="dxa"/>
            <w:tcBorders/>
          </w:tcPr>
          <w:p>
            <w:pPr>
              <w:pStyle w:val="BodyRuller1"/>
              <w:snapToGrid w:val="false"/>
              <w:ind w:end="0"/>
              <w:jc w:val="start"/>
              <w:rPr>
                <w:rFonts w:cs="Times New Roman"/>
                <w:szCs w:val="20"/>
              </w:rPr>
            </w:pPr>
            <w:r>
              <w:rPr>
                <w:rFonts w:cs="Times New Roman"/>
                <w:szCs w:val="20"/>
                <w:rtl w:val="true"/>
              </w:rPr>
            </w:r>
            <w:bookmarkStart w:id="2" w:name="LastJudge"/>
            <w:bookmarkStart w:id="3" w:name="LastJudge"/>
            <w:bookmarkEnd w:id="3"/>
          </w:p>
        </w:tc>
        <w:tc>
          <w:tcPr>
            <w:tcW w:w="5238" w:type="dxa"/>
            <w:tcBorders/>
          </w:tcPr>
          <w:p>
            <w:pPr>
              <w:pStyle w:val="BodyRuller1"/>
              <w:ind w:end="0"/>
              <w:jc w:val="start"/>
              <w:rPr/>
            </w:pPr>
            <w:r>
              <w:rPr>
                <w:rtl w:val="true"/>
              </w:rPr>
              <w:t>כבוד</w:t>
            </w:r>
            <w:r>
              <w:rPr>
                <w:rFonts w:cs="Times New Roman"/>
                <w:rtl w:val="true"/>
              </w:rPr>
              <w:t xml:space="preserve"> </w:t>
            </w:r>
            <w:r>
              <w:rPr>
                <w:rtl w:val="true"/>
              </w:rPr>
              <w:t>השופט</w:t>
            </w:r>
            <w:r>
              <w:rPr>
                <w:rFonts w:cs="Times New Roman"/>
                <w:rtl w:val="true"/>
              </w:rPr>
              <w:t xml:space="preserve"> </w:t>
            </w:r>
            <w:r>
              <w:rPr>
                <w:rtl w:val="true"/>
              </w:rPr>
              <w:t>צ</w:t>
            </w:r>
            <w:r>
              <w:rPr>
                <w:rtl w:val="true"/>
              </w:rPr>
              <w:t xml:space="preserve">' </w:t>
            </w:r>
            <w:r>
              <w:rPr>
                <w:rtl w:val="true"/>
              </w:rPr>
              <w:t>זילברטל</w:t>
            </w:r>
          </w:p>
        </w:tc>
      </w:tr>
    </w:tbl>
    <w:p>
      <w:pPr>
        <w:pStyle w:val="Ruller31"/>
        <w:ind w:end="0"/>
        <w:jc w:val="start"/>
        <w:rPr>
          <w:rFonts w:cs="Miriam"/>
          <w:b/>
          <w:bCs/>
        </w:rPr>
      </w:pPr>
      <w:r>
        <w:rPr>
          <w:rFonts w:cs="Miriam"/>
          <w:b/>
          <w:bCs/>
          <w:rtl w:val="true"/>
        </w:rPr>
      </w:r>
    </w:p>
    <w:tbl>
      <w:tblPr>
        <w:bidiVisual w:val="true"/>
        <w:tblW w:w="8522" w:type="dxa"/>
        <w:jc w:val="end"/>
        <w:tblInd w:w="0" w:type="dxa"/>
        <w:tblLayout w:type="fixed"/>
        <w:tblCellMar>
          <w:top w:w="0" w:type="dxa"/>
          <w:start w:w="108" w:type="dxa"/>
          <w:bottom w:w="0" w:type="dxa"/>
          <w:end w:w="108" w:type="dxa"/>
        </w:tblCellMar>
      </w:tblPr>
      <w:tblGrid>
        <w:gridCol w:w="3284"/>
        <w:gridCol w:w="5238"/>
      </w:tblGrid>
      <w:tr>
        <w:trPr/>
        <w:tc>
          <w:tcPr>
            <w:tcW w:w="3284" w:type="dxa"/>
            <w:tcBorders/>
          </w:tcPr>
          <w:p>
            <w:pPr>
              <w:pStyle w:val="BodyRuller1"/>
              <w:ind w:end="0"/>
              <w:jc w:val="start"/>
              <w:rPr/>
            </w:pPr>
            <w:bookmarkStart w:id="4" w:name="FirstAppellant"/>
            <w:bookmarkEnd w:id="4"/>
            <w:r>
              <w:rPr>
                <w:rtl w:val="true"/>
              </w:rPr>
              <w:t>המערער</w:t>
            </w:r>
            <w:r>
              <w:rPr>
                <w:rtl w:val="true"/>
              </w:rPr>
              <w:t>:</w:t>
            </w:r>
          </w:p>
        </w:tc>
        <w:tc>
          <w:tcPr>
            <w:tcW w:w="5238" w:type="dxa"/>
            <w:tcBorders/>
          </w:tcPr>
          <w:p>
            <w:pPr>
              <w:pStyle w:val="BodyRuller1"/>
              <w:ind w:end="0"/>
              <w:jc w:val="start"/>
              <w:rPr/>
            </w:pPr>
            <w:r>
              <w:rPr>
                <w:rtl w:val="true"/>
              </w:rPr>
              <w:t>עמאואל</w:t>
            </w:r>
            <w:r>
              <w:rPr>
                <w:rFonts w:cs="Times New Roman"/>
                <w:rtl w:val="true"/>
              </w:rPr>
              <w:t xml:space="preserve"> </w:t>
            </w:r>
            <w:r>
              <w:rPr>
                <w:rtl w:val="true"/>
              </w:rPr>
              <w:t>גברזגיי</w:t>
            </w:r>
          </w:p>
        </w:tc>
      </w:tr>
    </w:tbl>
    <w:p>
      <w:pPr>
        <w:pStyle w:val="Ruller31"/>
        <w:spacing w:lineRule="auto" w:line="240"/>
        <w:ind w:end="0"/>
        <w:jc w:val="start"/>
        <w:rPr/>
      </w:pPr>
      <w:r>
        <w:rPr>
          <w:rtl w:val="true"/>
        </w:rPr>
        <w:tab/>
      </w:r>
    </w:p>
    <w:tbl>
      <w:tblPr>
        <w:bidiVisual w:val="true"/>
        <w:tblW w:w="8522" w:type="dxa"/>
        <w:jc w:val="end"/>
        <w:tblInd w:w="0" w:type="dxa"/>
        <w:tblLayout w:type="fixed"/>
        <w:tblCellMar>
          <w:top w:w="0" w:type="dxa"/>
          <w:start w:w="108" w:type="dxa"/>
          <w:bottom w:w="0" w:type="dxa"/>
          <w:end w:w="108" w:type="dxa"/>
        </w:tblCellMar>
      </w:tblPr>
      <w:tblGrid>
        <w:gridCol w:w="3284"/>
        <w:gridCol w:w="5238"/>
      </w:tblGrid>
      <w:tr>
        <w:trPr/>
        <w:tc>
          <w:tcPr>
            <w:tcW w:w="3284" w:type="dxa"/>
            <w:tcBorders/>
          </w:tcPr>
          <w:p>
            <w:pPr>
              <w:pStyle w:val="BodyRuller1"/>
              <w:snapToGrid w:val="false"/>
              <w:ind w:end="0"/>
              <w:jc w:val="start"/>
              <w:rPr/>
            </w:pPr>
            <w:r>
              <w:rPr>
                <w:rtl w:val="true"/>
              </w:rPr>
            </w:r>
          </w:p>
        </w:tc>
        <w:tc>
          <w:tcPr>
            <w:tcW w:w="5238" w:type="dxa"/>
            <w:tcBorders/>
          </w:tcPr>
          <w:p>
            <w:pPr>
              <w:pStyle w:val="BodyRuller1"/>
              <w:ind w:end="0"/>
              <w:jc w:val="start"/>
              <w:rPr/>
            </w:pPr>
            <w:r>
              <w:rPr>
                <w:rtl w:val="true"/>
              </w:rPr>
              <w:t>נ</w:t>
            </w:r>
            <w:r>
              <w:rPr>
                <w:rFonts w:cs="Times New Roman"/>
                <w:rtl w:val="true"/>
              </w:rPr>
              <w:t xml:space="preserve"> </w:t>
            </w:r>
            <w:r>
              <w:rPr>
                <w:rFonts w:cs="Times New Roman"/>
                <w:rtl w:val="true"/>
              </w:rPr>
              <w:t xml:space="preserve"> </w:t>
            </w:r>
            <w:r>
              <w:rPr>
                <w:rtl w:val="true"/>
              </w:rPr>
              <w:t>ג</w:t>
            </w:r>
            <w:r>
              <w:rPr>
                <w:rFonts w:cs="Times New Roman"/>
                <w:rtl w:val="true"/>
              </w:rPr>
              <w:t xml:space="preserve"> </w:t>
            </w:r>
            <w:r>
              <w:rPr>
                <w:rFonts w:cs="Times New Roman"/>
                <w:rtl w:val="true"/>
              </w:rPr>
              <w:t xml:space="preserve"> </w:t>
            </w:r>
            <w:r>
              <w:rPr>
                <w:rtl w:val="true"/>
              </w:rPr>
              <w:t>ד</w:t>
            </w:r>
          </w:p>
        </w:tc>
      </w:tr>
    </w:tbl>
    <w:p>
      <w:pPr>
        <w:pStyle w:val="Ruller31"/>
        <w:spacing w:lineRule="auto" w:line="240"/>
        <w:ind w:end="0"/>
        <w:jc w:val="start"/>
        <w:rPr/>
      </w:pPr>
      <w:r>
        <w:rPr>
          <w:rtl w:val="true"/>
        </w:rPr>
        <w:tab/>
        <w:tab/>
        <w:tab/>
        <w:t xml:space="preserve">     </w:t>
      </w:r>
    </w:p>
    <w:tbl>
      <w:tblPr>
        <w:bidiVisual w:val="true"/>
        <w:tblW w:w="8522" w:type="dxa"/>
        <w:jc w:val="end"/>
        <w:tblInd w:w="0" w:type="dxa"/>
        <w:tblLayout w:type="fixed"/>
        <w:tblCellMar>
          <w:top w:w="0" w:type="dxa"/>
          <w:start w:w="108" w:type="dxa"/>
          <w:bottom w:w="0" w:type="dxa"/>
          <w:end w:w="108" w:type="dxa"/>
        </w:tblCellMar>
      </w:tblPr>
      <w:tblGrid>
        <w:gridCol w:w="3284"/>
        <w:gridCol w:w="5238"/>
      </w:tblGrid>
      <w:tr>
        <w:trPr/>
        <w:tc>
          <w:tcPr>
            <w:tcW w:w="3284" w:type="dxa"/>
            <w:tcBorders/>
          </w:tcPr>
          <w:p>
            <w:pPr>
              <w:pStyle w:val="BodyRuller1"/>
              <w:ind w:end="0"/>
              <w:jc w:val="start"/>
              <w:rPr/>
            </w:pPr>
            <w:r>
              <w:rPr>
                <w:rtl w:val="true"/>
              </w:rPr>
              <w:t>המשיבה</w:t>
            </w:r>
            <w:r>
              <w:rPr>
                <w:rtl w:val="true"/>
              </w:rPr>
              <w:t>:</w:t>
            </w:r>
          </w:p>
        </w:tc>
        <w:tc>
          <w:tcPr>
            <w:tcW w:w="5238" w:type="dxa"/>
            <w:tcBorders/>
          </w:tcPr>
          <w:p>
            <w:pPr>
              <w:pStyle w:val="BodyRuller1"/>
              <w:ind w:end="0"/>
              <w:jc w:val="start"/>
              <w:rPr/>
            </w:pPr>
            <w:r>
              <w:rPr>
                <w:rtl w:val="true"/>
              </w:rPr>
              <w:t>מדינת</w:t>
            </w:r>
            <w:r>
              <w:rPr>
                <w:rFonts w:cs="Times New Roman"/>
                <w:rtl w:val="true"/>
              </w:rPr>
              <w:t xml:space="preserve"> </w:t>
            </w:r>
            <w:r>
              <w:rPr>
                <w:rtl w:val="true"/>
              </w:rPr>
              <w:t>ישראל</w:t>
            </w:r>
          </w:p>
        </w:tc>
      </w:tr>
    </w:tbl>
    <w:p>
      <w:pPr>
        <w:pStyle w:val="Ruller31"/>
        <w:spacing w:lineRule="auto" w:line="240"/>
        <w:ind w:end="0"/>
        <w:jc w:val="start"/>
        <w:rPr/>
      </w:pPr>
      <w:r>
        <w:rPr>
          <w:rtl w:val="true"/>
        </w:rPr>
        <w:tab/>
      </w:r>
    </w:p>
    <w:tbl>
      <w:tblPr>
        <w:bidiVisual w:val="true"/>
        <w:tblW w:w="5238" w:type="dxa"/>
        <w:jc w:val="start"/>
        <w:tblInd w:w="0" w:type="dxa"/>
        <w:tblLayout w:type="fixed"/>
        <w:tblCellMar>
          <w:top w:w="0" w:type="dxa"/>
          <w:start w:w="108" w:type="dxa"/>
          <w:bottom w:w="0" w:type="dxa"/>
          <w:end w:w="108" w:type="dxa"/>
        </w:tblCellMar>
      </w:tblPr>
      <w:tblGrid>
        <w:gridCol w:w="5238"/>
      </w:tblGrid>
      <w:tr>
        <w:trPr/>
        <w:tc>
          <w:tcPr>
            <w:tcW w:w="5238" w:type="dxa"/>
            <w:tcBorders/>
          </w:tcPr>
          <w:p>
            <w:pPr>
              <w:pStyle w:val="BodyRuller1"/>
              <w:ind w:end="0"/>
              <w:jc w:val="both"/>
              <w:rPr>
                <w:sz w:val="24"/>
                <w:szCs w:val="24"/>
              </w:rPr>
            </w:pPr>
            <w:r>
              <w:rPr>
                <w:sz w:val="24"/>
                <w:sz w:val="24"/>
                <w:szCs w:val="24"/>
                <w:rtl w:val="true"/>
              </w:rPr>
              <w:t>ערעור</w:t>
            </w:r>
            <w:r>
              <w:rPr>
                <w:rFonts w:cs="Times New Roman"/>
                <w:sz w:val="24"/>
                <w:sz w:val="24"/>
                <w:szCs w:val="24"/>
                <w:rtl w:val="true"/>
              </w:rPr>
              <w:t xml:space="preserve"> </w:t>
            </w:r>
            <w:r>
              <w:rPr>
                <w:sz w:val="24"/>
                <w:sz w:val="24"/>
                <w:szCs w:val="24"/>
                <w:rtl w:val="true"/>
              </w:rPr>
              <w:t>על</w:t>
            </w:r>
            <w:r>
              <w:rPr>
                <w:rFonts w:cs="Times New Roman"/>
                <w:sz w:val="24"/>
                <w:sz w:val="24"/>
                <w:szCs w:val="24"/>
                <w:rtl w:val="true"/>
              </w:rPr>
              <w:t xml:space="preserve"> </w:t>
            </w:r>
            <w:r>
              <w:rPr>
                <w:sz w:val="24"/>
                <w:sz w:val="24"/>
                <w:szCs w:val="24"/>
                <w:rtl w:val="true"/>
              </w:rPr>
              <w:t>גזר</w:t>
            </w:r>
            <w:r>
              <w:rPr>
                <w:rFonts w:cs="Times New Roman"/>
                <w:sz w:val="24"/>
                <w:sz w:val="24"/>
                <w:szCs w:val="24"/>
                <w:rtl w:val="true"/>
              </w:rPr>
              <w:t xml:space="preserve"> </w:t>
            </w:r>
            <w:r>
              <w:rPr>
                <w:sz w:val="24"/>
                <w:sz w:val="24"/>
                <w:szCs w:val="24"/>
                <w:rtl w:val="true"/>
              </w:rPr>
              <w:t>דינו</w:t>
            </w:r>
            <w:r>
              <w:rPr>
                <w:rFonts w:cs="Times New Roman"/>
                <w:sz w:val="24"/>
                <w:sz w:val="24"/>
                <w:szCs w:val="24"/>
                <w:rtl w:val="true"/>
              </w:rPr>
              <w:t xml:space="preserve"> </w:t>
            </w:r>
            <w:r>
              <w:rPr>
                <w:sz w:val="24"/>
                <w:sz w:val="24"/>
                <w:szCs w:val="24"/>
                <w:rtl w:val="true"/>
              </w:rPr>
              <w:t>של</w:t>
            </w:r>
            <w:r>
              <w:rPr>
                <w:rFonts w:cs="Times New Roman"/>
                <w:sz w:val="24"/>
                <w:sz w:val="24"/>
                <w:szCs w:val="24"/>
                <w:rtl w:val="true"/>
              </w:rPr>
              <w:t xml:space="preserve"> </w:t>
            </w:r>
            <w:r>
              <w:rPr>
                <w:sz w:val="24"/>
                <w:sz w:val="24"/>
                <w:szCs w:val="24"/>
                <w:rtl w:val="true"/>
              </w:rPr>
              <w:t>בית</w:t>
            </w:r>
            <w:r>
              <w:rPr>
                <w:rFonts w:cs="Times New Roman"/>
                <w:sz w:val="24"/>
                <w:sz w:val="24"/>
                <w:szCs w:val="24"/>
                <w:rtl w:val="true"/>
              </w:rPr>
              <w:t xml:space="preserve"> </w:t>
            </w:r>
            <w:r>
              <w:rPr>
                <w:sz w:val="24"/>
                <w:sz w:val="24"/>
                <w:szCs w:val="24"/>
                <w:rtl w:val="true"/>
              </w:rPr>
              <w:t>המשפט</w:t>
            </w:r>
            <w:r>
              <w:rPr>
                <w:rFonts w:cs="Times New Roman"/>
                <w:sz w:val="24"/>
                <w:sz w:val="24"/>
                <w:szCs w:val="24"/>
                <w:rtl w:val="true"/>
              </w:rPr>
              <w:t xml:space="preserve"> </w:t>
            </w:r>
            <w:r>
              <w:rPr>
                <w:sz w:val="24"/>
                <w:sz w:val="24"/>
                <w:szCs w:val="24"/>
                <w:rtl w:val="true"/>
              </w:rPr>
              <w:t>המחוזי</w:t>
            </w:r>
            <w:r>
              <w:rPr>
                <w:rFonts w:cs="Times New Roman"/>
                <w:sz w:val="24"/>
                <w:sz w:val="24"/>
                <w:szCs w:val="24"/>
                <w:rtl w:val="true"/>
              </w:rPr>
              <w:t xml:space="preserve"> </w:t>
            </w:r>
            <w:r>
              <w:rPr>
                <w:sz w:val="24"/>
                <w:sz w:val="24"/>
                <w:szCs w:val="24"/>
                <w:rtl w:val="true"/>
              </w:rPr>
              <w:t>בתל</w:t>
            </w:r>
            <w:r>
              <w:rPr>
                <w:rFonts w:cs="Times New Roman"/>
                <w:sz w:val="24"/>
                <w:sz w:val="24"/>
                <w:szCs w:val="24"/>
                <w:rtl w:val="true"/>
              </w:rPr>
              <w:t xml:space="preserve"> </w:t>
            </w:r>
            <w:r>
              <w:rPr>
                <w:sz w:val="24"/>
                <w:sz w:val="24"/>
                <w:szCs w:val="24"/>
                <w:rtl w:val="true"/>
              </w:rPr>
              <w:t>אביב</w:t>
            </w:r>
            <w:r>
              <w:rPr>
                <w:sz w:val="24"/>
                <w:szCs w:val="24"/>
                <w:rtl w:val="true"/>
              </w:rPr>
              <w:t>-</w:t>
            </w:r>
            <w:r>
              <w:rPr>
                <w:sz w:val="24"/>
                <w:sz w:val="24"/>
                <w:szCs w:val="24"/>
                <w:rtl w:val="true"/>
              </w:rPr>
              <w:t>יפו</w:t>
            </w:r>
            <w:r>
              <w:rPr>
                <w:rFonts w:cs="Times New Roman"/>
                <w:sz w:val="24"/>
                <w:sz w:val="24"/>
                <w:szCs w:val="24"/>
                <w:rtl w:val="true"/>
              </w:rPr>
              <w:t xml:space="preserve"> </w:t>
            </w:r>
            <w:r>
              <w:rPr>
                <w:sz w:val="24"/>
                <w:sz w:val="24"/>
                <w:szCs w:val="24"/>
                <w:rtl w:val="true"/>
              </w:rPr>
              <w:t>מיום</w:t>
            </w:r>
            <w:r>
              <w:rPr>
                <w:rFonts w:cs="Times New Roman"/>
                <w:sz w:val="24"/>
                <w:sz w:val="24"/>
                <w:szCs w:val="24"/>
                <w:rtl w:val="true"/>
              </w:rPr>
              <w:t xml:space="preserve"> </w:t>
            </w:r>
            <w:r>
              <w:rPr>
                <w:sz w:val="24"/>
                <w:szCs w:val="24"/>
              </w:rPr>
              <w:t>30.12.12</w:t>
            </w:r>
            <w:r>
              <w:rPr>
                <w:sz w:val="24"/>
                <w:szCs w:val="24"/>
                <w:rtl w:val="true"/>
              </w:rPr>
              <w:t xml:space="preserve"> </w:t>
            </w:r>
            <w:r>
              <w:rPr>
                <w:sz w:val="24"/>
                <w:sz w:val="24"/>
                <w:szCs w:val="24"/>
                <w:rtl w:val="true"/>
              </w:rPr>
              <w:t>ב</w:t>
            </w:r>
            <w:hyperlink r:id="rId2">
              <w:r>
                <w:rPr>
                  <w:rStyle w:val="Hyperlink"/>
                  <w:color w:val="0000FF"/>
                  <w:sz w:val="24"/>
                  <w:sz w:val="24"/>
                  <w:szCs w:val="24"/>
                  <w:u w:val="single"/>
                  <w:rtl w:val="true"/>
                </w:rPr>
                <w:t>ת</w:t>
              </w:r>
              <w:r>
                <w:rPr>
                  <w:rStyle w:val="Hyperlink"/>
                  <w:color w:val="0000FF"/>
                  <w:sz w:val="24"/>
                  <w:szCs w:val="24"/>
                  <w:u w:val="single"/>
                  <w:rtl w:val="true"/>
                </w:rPr>
                <w:t>"</w:t>
              </w:r>
              <w:r>
                <w:rPr>
                  <w:rStyle w:val="Hyperlink"/>
                  <w:color w:val="0000FF"/>
                  <w:sz w:val="24"/>
                  <w:sz w:val="24"/>
                  <w:szCs w:val="24"/>
                  <w:u w:val="single"/>
                  <w:rtl w:val="true"/>
                </w:rPr>
                <w:t>פ</w:t>
              </w:r>
              <w:r>
                <w:rPr>
                  <w:rStyle w:val="Hyperlink"/>
                  <w:rFonts w:cs="Times New Roman"/>
                  <w:color w:val="0000FF"/>
                  <w:sz w:val="24"/>
                  <w:sz w:val="24"/>
                  <w:szCs w:val="24"/>
                  <w:u w:val="single"/>
                  <w:rtl w:val="true"/>
                </w:rPr>
                <w:t xml:space="preserve"> </w:t>
              </w:r>
              <w:r>
                <w:rPr>
                  <w:rStyle w:val="Hyperlink"/>
                  <w:color w:val="0000FF"/>
                  <w:sz w:val="24"/>
                  <w:szCs w:val="24"/>
                  <w:u w:val="single"/>
                </w:rPr>
                <w:t>26136-04-12</w:t>
              </w:r>
            </w:hyperlink>
            <w:r>
              <w:rPr>
                <w:sz w:val="24"/>
                <w:szCs w:val="24"/>
                <w:rtl w:val="true"/>
              </w:rPr>
              <w:t xml:space="preserve"> </w:t>
            </w:r>
            <w:r>
              <w:rPr>
                <w:szCs w:val="24"/>
                <w:rtl w:val="true"/>
              </w:rPr>
              <w:t>[</w:t>
            </w:r>
            <w:r>
              <w:rPr>
                <w:szCs w:val="24"/>
                <w:rtl w:val="true"/>
              </w:rPr>
              <w:t>פורסם</w:t>
            </w:r>
            <w:r>
              <w:rPr>
                <w:rFonts w:cs="Times New Roman"/>
                <w:szCs w:val="24"/>
                <w:rtl w:val="true"/>
              </w:rPr>
              <w:t xml:space="preserve"> </w:t>
            </w:r>
            <w:r>
              <w:rPr>
                <w:szCs w:val="24"/>
                <w:rtl w:val="true"/>
              </w:rPr>
              <w:t>בנבו</w:t>
            </w:r>
            <w:r>
              <w:rPr>
                <w:szCs w:val="24"/>
                <w:rtl w:val="true"/>
              </w:rPr>
              <w:t xml:space="preserve">] </w:t>
            </w:r>
            <w:r>
              <w:rPr>
                <w:sz w:val="24"/>
                <w:sz w:val="24"/>
                <w:szCs w:val="24"/>
                <w:rtl w:val="true"/>
              </w:rPr>
              <w:t>שניתן</w:t>
            </w:r>
            <w:r>
              <w:rPr>
                <w:rFonts w:cs="Times New Roman"/>
                <w:sz w:val="24"/>
                <w:sz w:val="24"/>
                <w:szCs w:val="24"/>
                <w:rtl w:val="true"/>
              </w:rPr>
              <w:t xml:space="preserve"> </w:t>
            </w:r>
            <w:r>
              <w:rPr>
                <w:sz w:val="24"/>
                <w:sz w:val="24"/>
                <w:szCs w:val="24"/>
                <w:rtl w:val="true"/>
              </w:rPr>
              <w:t>על</w:t>
            </w:r>
            <w:r>
              <w:rPr>
                <w:rFonts w:cs="Times New Roman"/>
                <w:sz w:val="24"/>
                <w:sz w:val="24"/>
                <w:szCs w:val="24"/>
                <w:rtl w:val="true"/>
              </w:rPr>
              <w:t xml:space="preserve"> </w:t>
            </w:r>
            <w:r>
              <w:rPr>
                <w:sz w:val="24"/>
                <w:sz w:val="24"/>
                <w:szCs w:val="24"/>
                <w:rtl w:val="true"/>
              </w:rPr>
              <w:t>ידי</w:t>
            </w:r>
            <w:r>
              <w:rPr>
                <w:rFonts w:cs="Times New Roman"/>
                <w:sz w:val="24"/>
                <w:sz w:val="24"/>
                <w:szCs w:val="24"/>
                <w:rtl w:val="true"/>
              </w:rPr>
              <w:t xml:space="preserve"> </w:t>
            </w:r>
            <w:r>
              <w:rPr>
                <w:sz w:val="24"/>
                <w:sz w:val="24"/>
                <w:szCs w:val="24"/>
                <w:rtl w:val="true"/>
              </w:rPr>
              <w:t>כבוד</w:t>
            </w:r>
            <w:r>
              <w:rPr>
                <w:rFonts w:cs="Times New Roman"/>
                <w:sz w:val="24"/>
                <w:sz w:val="24"/>
                <w:szCs w:val="24"/>
                <w:rtl w:val="true"/>
              </w:rPr>
              <w:t xml:space="preserve"> </w:t>
            </w:r>
            <w:r>
              <w:rPr>
                <w:sz w:val="24"/>
                <w:sz w:val="24"/>
                <w:szCs w:val="24"/>
                <w:rtl w:val="true"/>
              </w:rPr>
              <w:t>השופט</w:t>
            </w:r>
            <w:r>
              <w:rPr>
                <w:rFonts w:cs="Times New Roman"/>
                <w:sz w:val="24"/>
                <w:sz w:val="24"/>
                <w:szCs w:val="24"/>
                <w:rtl w:val="true"/>
              </w:rPr>
              <w:t xml:space="preserve"> </w:t>
            </w:r>
            <w:r>
              <w:rPr>
                <w:sz w:val="24"/>
                <w:sz w:val="24"/>
                <w:szCs w:val="24"/>
                <w:rtl w:val="true"/>
              </w:rPr>
              <w:t>הבכיר</w:t>
            </w:r>
            <w:r>
              <w:rPr>
                <w:rFonts w:cs="Times New Roman"/>
                <w:sz w:val="24"/>
                <w:sz w:val="24"/>
                <w:szCs w:val="24"/>
                <w:rtl w:val="true"/>
              </w:rPr>
              <w:t xml:space="preserve"> </w:t>
            </w:r>
            <w:r>
              <w:rPr>
                <w:sz w:val="24"/>
                <w:sz w:val="24"/>
                <w:szCs w:val="24"/>
                <w:rtl w:val="true"/>
              </w:rPr>
              <w:t>צ</w:t>
            </w:r>
            <w:r>
              <w:rPr>
                <w:sz w:val="24"/>
                <w:szCs w:val="24"/>
                <w:rtl w:val="true"/>
              </w:rPr>
              <w:t xml:space="preserve">' </w:t>
            </w:r>
            <w:r>
              <w:rPr>
                <w:sz w:val="24"/>
                <w:sz w:val="24"/>
                <w:szCs w:val="24"/>
                <w:rtl w:val="true"/>
              </w:rPr>
              <w:t>גורפינקל</w:t>
            </w:r>
          </w:p>
        </w:tc>
      </w:tr>
    </w:tbl>
    <w:p>
      <w:pPr>
        <w:pStyle w:val="Ruller31"/>
        <w:spacing w:lineRule="auto" w:line="240"/>
        <w:ind w:end="0"/>
        <w:jc w:val="start"/>
        <w:rPr/>
      </w:pPr>
      <w:r>
        <w:rPr>
          <w:rtl w:val="true"/>
        </w:rPr>
        <w:tab/>
      </w:r>
    </w:p>
    <w:tbl>
      <w:tblPr>
        <w:bidiVisual w:val="true"/>
        <w:tblW w:w="8535" w:type="dxa"/>
        <w:jc w:val="start"/>
        <w:tblInd w:w="-40" w:type="dxa"/>
        <w:tblLayout w:type="fixed"/>
        <w:tblCellMar>
          <w:top w:w="0" w:type="dxa"/>
          <w:start w:w="108" w:type="dxa"/>
          <w:bottom w:w="0" w:type="dxa"/>
          <w:end w:w="108" w:type="dxa"/>
        </w:tblCellMar>
      </w:tblPr>
      <w:tblGrid>
        <w:gridCol w:w="3257"/>
        <w:gridCol w:w="2301"/>
        <w:gridCol w:w="2977"/>
      </w:tblGrid>
      <w:tr>
        <w:trPr/>
        <w:tc>
          <w:tcPr>
            <w:tcW w:w="3257" w:type="dxa"/>
            <w:tcBorders/>
          </w:tcPr>
          <w:p>
            <w:pPr>
              <w:pStyle w:val="BodyRuller1"/>
              <w:ind w:end="0"/>
              <w:jc w:val="start"/>
              <w:rPr>
                <w:sz w:val="24"/>
                <w:szCs w:val="24"/>
              </w:rPr>
            </w:pPr>
            <w:r>
              <w:rPr>
                <w:sz w:val="24"/>
                <w:sz w:val="24"/>
                <w:szCs w:val="24"/>
                <w:rtl w:val="true"/>
              </w:rPr>
              <w:t>תאריך</w:t>
            </w:r>
            <w:r>
              <w:rPr>
                <w:rFonts w:cs="Times New Roman"/>
                <w:sz w:val="24"/>
                <w:sz w:val="24"/>
                <w:szCs w:val="24"/>
                <w:rtl w:val="true"/>
              </w:rPr>
              <w:t xml:space="preserve"> </w:t>
            </w:r>
            <w:r>
              <w:rPr>
                <w:sz w:val="24"/>
                <w:sz w:val="24"/>
                <w:szCs w:val="24"/>
                <w:rtl w:val="true"/>
              </w:rPr>
              <w:t>הישיבה</w:t>
            </w:r>
            <w:r>
              <w:rPr>
                <w:sz w:val="24"/>
                <w:szCs w:val="24"/>
                <w:rtl w:val="true"/>
              </w:rPr>
              <w:t>:</w:t>
            </w:r>
          </w:p>
        </w:tc>
        <w:tc>
          <w:tcPr>
            <w:tcW w:w="2301" w:type="dxa"/>
            <w:tcBorders/>
          </w:tcPr>
          <w:p>
            <w:pPr>
              <w:pStyle w:val="BodyRuller1"/>
              <w:ind w:end="0"/>
              <w:jc w:val="start"/>
              <w:rPr/>
            </w:pPr>
            <w:bookmarkStart w:id="5" w:name="xDate"/>
            <w:r>
              <w:rPr>
                <w:sz w:val="24"/>
                <w:sz w:val="24"/>
                <w:szCs w:val="24"/>
                <w:rtl w:val="true"/>
              </w:rPr>
              <w:t>י</w:t>
            </w:r>
            <w:r>
              <w:rPr>
                <w:sz w:val="24"/>
                <w:szCs w:val="24"/>
                <w:rtl w:val="true"/>
              </w:rPr>
              <w:t>"</w:t>
            </w:r>
            <w:r>
              <w:rPr>
                <w:sz w:val="24"/>
                <w:sz w:val="24"/>
                <w:szCs w:val="24"/>
                <w:rtl w:val="true"/>
              </w:rPr>
              <w:t>ז</w:t>
            </w:r>
            <w:r>
              <w:rPr>
                <w:rFonts w:cs="Times New Roman"/>
                <w:sz w:val="24"/>
                <w:sz w:val="24"/>
                <w:szCs w:val="24"/>
                <w:rtl w:val="true"/>
              </w:rPr>
              <w:t xml:space="preserve"> </w:t>
            </w:r>
            <w:r>
              <w:rPr>
                <w:sz w:val="24"/>
                <w:sz w:val="24"/>
                <w:szCs w:val="24"/>
                <w:rtl w:val="true"/>
              </w:rPr>
              <w:t>בכסלו</w:t>
            </w:r>
            <w:r>
              <w:rPr>
                <w:rFonts w:cs="Times New Roman"/>
                <w:sz w:val="24"/>
                <w:sz w:val="24"/>
                <w:szCs w:val="24"/>
                <w:rtl w:val="true"/>
              </w:rPr>
              <w:t xml:space="preserve"> </w:t>
            </w:r>
            <w:bookmarkEnd w:id="5"/>
            <w:r>
              <w:rPr>
                <w:sz w:val="24"/>
                <w:sz w:val="24"/>
                <w:szCs w:val="24"/>
                <w:rtl w:val="true"/>
              </w:rPr>
              <w:t>התשע</w:t>
            </w:r>
            <w:r>
              <w:rPr>
                <w:sz w:val="24"/>
                <w:szCs w:val="24"/>
                <w:rtl w:val="true"/>
              </w:rPr>
              <w:t>"</w:t>
            </w:r>
            <w:r>
              <w:rPr>
                <w:sz w:val="24"/>
                <w:sz w:val="24"/>
                <w:szCs w:val="24"/>
                <w:rtl w:val="true"/>
              </w:rPr>
              <w:t>ד</w:t>
            </w:r>
            <w:r>
              <w:rPr>
                <w:rFonts w:cs="Times New Roman"/>
                <w:rtl w:val="true"/>
              </w:rPr>
              <w:t xml:space="preserve"> </w:t>
            </w:r>
          </w:p>
        </w:tc>
        <w:tc>
          <w:tcPr>
            <w:tcW w:w="2977" w:type="dxa"/>
            <w:tcBorders/>
          </w:tcPr>
          <w:p>
            <w:pPr>
              <w:pStyle w:val="BodyRuller1"/>
              <w:ind w:end="0"/>
              <w:jc w:val="start"/>
              <w:rPr>
                <w:sz w:val="24"/>
                <w:szCs w:val="24"/>
              </w:rPr>
            </w:pPr>
            <w:r>
              <w:rPr>
                <w:rtl w:val="true"/>
              </w:rPr>
              <w:t>(</w:t>
            </w:r>
            <w:r>
              <w:rPr/>
              <w:t>20.11.2013</w:t>
            </w:r>
            <w:r>
              <w:rPr>
                <w:rtl w:val="true"/>
              </w:rPr>
              <w:t>)</w:t>
            </w:r>
          </w:p>
        </w:tc>
      </w:tr>
    </w:tbl>
    <w:p>
      <w:pPr>
        <w:pStyle w:val="Ruller31"/>
        <w:spacing w:lineRule="auto" w:line="240"/>
        <w:ind w:end="0"/>
        <w:jc w:val="start"/>
        <w:rPr/>
      </w:pPr>
      <w:r>
        <w:rPr>
          <w:rtl w:val="true"/>
        </w:rPr>
      </w:r>
    </w:p>
    <w:tbl>
      <w:tblPr>
        <w:bidiVisual w:val="true"/>
        <w:tblW w:w="8495" w:type="dxa"/>
        <w:jc w:val="start"/>
        <w:tblInd w:w="0" w:type="dxa"/>
        <w:tblLayout w:type="fixed"/>
        <w:tblCellMar>
          <w:top w:w="0" w:type="dxa"/>
          <w:start w:w="108" w:type="dxa"/>
          <w:bottom w:w="0" w:type="dxa"/>
          <w:end w:w="108" w:type="dxa"/>
        </w:tblCellMar>
      </w:tblPr>
      <w:tblGrid>
        <w:gridCol w:w="3257"/>
        <w:gridCol w:w="5238"/>
      </w:tblGrid>
      <w:tr>
        <w:trPr/>
        <w:tc>
          <w:tcPr>
            <w:tcW w:w="3257" w:type="dxa"/>
            <w:tcBorders/>
          </w:tcPr>
          <w:p>
            <w:pPr>
              <w:pStyle w:val="BodyRuller1"/>
              <w:ind w:end="0"/>
              <w:jc w:val="start"/>
              <w:rPr/>
            </w:pPr>
            <w:r>
              <w:rPr>
                <w:rtl w:val="true"/>
              </w:rPr>
              <w:t>בשם</w:t>
            </w:r>
            <w:r>
              <w:rPr>
                <w:rFonts w:cs="Times New Roman"/>
                <w:rtl w:val="true"/>
              </w:rPr>
              <w:t xml:space="preserve"> </w:t>
            </w:r>
            <w:r>
              <w:rPr>
                <w:rtl w:val="true"/>
              </w:rPr>
              <w:t>המערער</w:t>
            </w:r>
            <w:r>
              <w:rPr>
                <w:rtl w:val="true"/>
              </w:rPr>
              <w:t>:</w:t>
            </w:r>
          </w:p>
        </w:tc>
        <w:tc>
          <w:tcPr>
            <w:tcW w:w="5238" w:type="dxa"/>
            <w:tcBorders/>
          </w:tcPr>
          <w:p>
            <w:pPr>
              <w:pStyle w:val="BodyRuller1"/>
              <w:ind w:end="0"/>
              <w:jc w:val="start"/>
              <w:rPr/>
            </w:pPr>
            <w:r>
              <w:rPr>
                <w:rtl w:val="true"/>
              </w:rPr>
              <w:t>עו</w:t>
            </w:r>
            <w:r>
              <w:rPr>
                <w:rtl w:val="true"/>
              </w:rPr>
              <w:t>"</w:t>
            </w:r>
            <w:r>
              <w:rPr>
                <w:rtl w:val="true"/>
              </w:rPr>
              <w:t>ד</w:t>
            </w:r>
            <w:r>
              <w:rPr>
                <w:rFonts w:cs="Times New Roman"/>
                <w:rtl w:val="true"/>
              </w:rPr>
              <w:t xml:space="preserve"> </w:t>
            </w:r>
            <w:r>
              <w:rPr>
                <w:rtl w:val="true"/>
              </w:rPr>
              <w:t>ניר</w:t>
            </w:r>
            <w:r>
              <w:rPr>
                <w:rFonts w:cs="Times New Roman"/>
                <w:rtl w:val="true"/>
              </w:rPr>
              <w:t xml:space="preserve"> </w:t>
            </w:r>
            <w:r>
              <w:rPr>
                <w:rtl w:val="true"/>
              </w:rPr>
              <w:t>אלפסה</w:t>
            </w:r>
          </w:p>
        </w:tc>
      </w:tr>
    </w:tbl>
    <w:p>
      <w:pPr>
        <w:pStyle w:val="Ruller31"/>
        <w:spacing w:lineRule="auto" w:line="240"/>
        <w:ind w:end="0"/>
        <w:jc w:val="start"/>
        <w:rPr/>
      </w:pPr>
      <w:r>
        <w:rPr>
          <w:rtl w:val="true"/>
        </w:rPr>
      </w:r>
    </w:p>
    <w:tbl>
      <w:tblPr>
        <w:bidiVisual w:val="true"/>
        <w:tblW w:w="8495" w:type="dxa"/>
        <w:jc w:val="start"/>
        <w:tblInd w:w="0" w:type="dxa"/>
        <w:tblLayout w:type="fixed"/>
        <w:tblCellMar>
          <w:top w:w="0" w:type="dxa"/>
          <w:start w:w="108" w:type="dxa"/>
          <w:bottom w:w="0" w:type="dxa"/>
          <w:end w:w="108" w:type="dxa"/>
        </w:tblCellMar>
      </w:tblPr>
      <w:tblGrid>
        <w:gridCol w:w="3257"/>
        <w:gridCol w:w="5238"/>
      </w:tblGrid>
      <w:tr>
        <w:trPr/>
        <w:tc>
          <w:tcPr>
            <w:tcW w:w="3257" w:type="dxa"/>
            <w:tcBorders/>
          </w:tcPr>
          <w:p>
            <w:pPr>
              <w:pStyle w:val="BodyRuller1"/>
              <w:ind w:end="0"/>
              <w:jc w:val="start"/>
              <w:rPr/>
            </w:pPr>
            <w:bookmarkStart w:id="6" w:name="FirstLawyer"/>
            <w:bookmarkEnd w:id="6"/>
            <w:r>
              <w:rPr>
                <w:rtl w:val="true"/>
              </w:rPr>
              <w:t>בשם</w:t>
            </w:r>
            <w:r>
              <w:rPr>
                <w:rFonts w:cs="Times New Roman"/>
                <w:rtl w:val="true"/>
              </w:rPr>
              <w:t xml:space="preserve"> </w:t>
            </w:r>
            <w:r>
              <w:rPr>
                <w:rtl w:val="true"/>
              </w:rPr>
              <w:t>המשיבה</w:t>
            </w:r>
            <w:r>
              <w:rPr>
                <w:rtl w:val="true"/>
              </w:rPr>
              <w:t>:</w:t>
            </w:r>
          </w:p>
        </w:tc>
        <w:tc>
          <w:tcPr>
            <w:tcW w:w="5238" w:type="dxa"/>
            <w:tcBorders/>
          </w:tcPr>
          <w:p>
            <w:pPr>
              <w:pStyle w:val="BodyRuller1"/>
              <w:ind w:end="0"/>
              <w:jc w:val="start"/>
              <w:rPr/>
            </w:pPr>
            <w:r>
              <w:rPr>
                <w:rtl w:val="true"/>
              </w:rPr>
              <w:t>עו</w:t>
            </w:r>
            <w:r>
              <w:rPr>
                <w:rtl w:val="true"/>
              </w:rPr>
              <w:t>"</w:t>
            </w:r>
            <w:r>
              <w:rPr>
                <w:rtl w:val="true"/>
              </w:rPr>
              <w:t>ד</w:t>
            </w:r>
            <w:r>
              <w:rPr>
                <w:rFonts w:cs="Times New Roman"/>
                <w:rtl w:val="true"/>
              </w:rPr>
              <w:t xml:space="preserve"> </w:t>
            </w:r>
            <w:r>
              <w:rPr>
                <w:rtl w:val="true"/>
              </w:rPr>
              <w:t>חיים</w:t>
            </w:r>
            <w:r>
              <w:rPr>
                <w:rFonts w:cs="Times New Roman"/>
                <w:rtl w:val="true"/>
              </w:rPr>
              <w:t xml:space="preserve"> </w:t>
            </w:r>
            <w:r>
              <w:rPr>
                <w:rtl w:val="true"/>
              </w:rPr>
              <w:t>שוויצר</w:t>
            </w:r>
          </w:p>
        </w:tc>
      </w:tr>
    </w:tbl>
    <w:p>
      <w:pPr>
        <w:pStyle w:val="Normal"/>
        <w:tabs>
          <w:tab w:val="clear" w:pos="720"/>
          <w:tab w:val="left" w:pos="2552" w:leader="none"/>
        </w:tabs>
        <w:spacing w:lineRule="auto" w:line="360"/>
        <w:ind w:end="0"/>
        <w:jc w:val="start"/>
        <w:rPr/>
      </w:pPr>
      <w:r>
        <w:rPr>
          <w:rtl w:val="true"/>
        </w:rPr>
      </w:r>
    </w:p>
    <w:tbl>
      <w:tblPr>
        <w:bidiVisual w:val="true"/>
        <w:tblW w:w="8522" w:type="dxa"/>
        <w:jc w:val="end"/>
        <w:tblInd w:w="0" w:type="dxa"/>
        <w:tblLayout w:type="fixed"/>
        <w:tblCellMar>
          <w:top w:w="0" w:type="dxa"/>
          <w:start w:w="108" w:type="dxa"/>
          <w:bottom w:w="0" w:type="dxa"/>
          <w:end w:w="108" w:type="dxa"/>
        </w:tblCellMar>
      </w:tblPr>
      <w:tblGrid>
        <w:gridCol w:w="3284"/>
        <w:gridCol w:w="5238"/>
      </w:tblGrid>
      <w:tr>
        <w:trPr/>
        <w:tc>
          <w:tcPr>
            <w:tcW w:w="3284" w:type="dxa"/>
            <w:tcBorders/>
          </w:tcPr>
          <w:p>
            <w:pPr>
              <w:pStyle w:val="BodyRuller1"/>
              <w:ind w:end="0"/>
              <w:jc w:val="start"/>
              <w:rPr/>
            </w:pPr>
            <w:r>
              <w:rPr>
                <w:rtl w:val="true"/>
              </w:rPr>
              <w:t>בשם</w:t>
            </w:r>
            <w:r>
              <w:rPr>
                <w:rFonts w:cs="Times New Roman"/>
                <w:rtl w:val="true"/>
              </w:rPr>
              <w:t xml:space="preserve"> </w:t>
            </w:r>
            <w:r>
              <w:rPr>
                <w:rtl w:val="true"/>
              </w:rPr>
              <w:t>שירות</w:t>
            </w:r>
            <w:r>
              <w:rPr>
                <w:rFonts w:cs="Times New Roman"/>
                <w:rtl w:val="true"/>
              </w:rPr>
              <w:t xml:space="preserve"> </w:t>
            </w:r>
            <w:r>
              <w:rPr>
                <w:rtl w:val="true"/>
              </w:rPr>
              <w:t>המבחן</w:t>
            </w:r>
            <w:r>
              <w:rPr>
                <w:rtl w:val="true"/>
              </w:rPr>
              <w:t>:</w:t>
            </w:r>
          </w:p>
        </w:tc>
        <w:tc>
          <w:tcPr>
            <w:tcW w:w="5238" w:type="dxa"/>
            <w:tcBorders/>
          </w:tcPr>
          <w:p>
            <w:pPr>
              <w:pStyle w:val="BodyRuller1"/>
              <w:ind w:end="0"/>
              <w:jc w:val="start"/>
              <w:rPr/>
            </w:pPr>
            <w:r>
              <w:rPr>
                <w:rtl w:val="true"/>
              </w:rPr>
              <w:t>גב</w:t>
            </w:r>
            <w:r>
              <w:rPr>
                <w:rtl w:val="true"/>
              </w:rPr>
              <w:t xml:space="preserve">' </w:t>
            </w:r>
            <w:r>
              <w:rPr>
                <w:rtl w:val="true"/>
              </w:rPr>
              <w:t>ברכה</w:t>
            </w:r>
            <w:r>
              <w:rPr>
                <w:rFonts w:cs="Times New Roman"/>
                <w:rtl w:val="true"/>
              </w:rPr>
              <w:t xml:space="preserve"> </w:t>
            </w:r>
            <w:r>
              <w:rPr>
                <w:rtl w:val="true"/>
              </w:rPr>
              <w:t>וייס</w:t>
            </w:r>
          </w:p>
        </w:tc>
      </w:tr>
    </w:tbl>
    <w:p>
      <w:pPr>
        <w:pStyle w:val="Normal"/>
        <w:tabs>
          <w:tab w:val="clear" w:pos="720"/>
          <w:tab w:val="left" w:pos="2552" w:leader="none"/>
        </w:tabs>
        <w:ind w:end="0"/>
        <w:jc w:val="start"/>
        <w:rPr/>
      </w:pPr>
      <w:r>
        <w:rPr>
          <w:rtl w:val="true"/>
        </w:rPr>
      </w:r>
      <w:bookmarkStart w:id="7" w:name="Links_Start"/>
      <w:bookmarkStart w:id="8" w:name="Links_Start"/>
      <w:bookmarkEnd w:id="8"/>
    </w:p>
    <w:p>
      <w:pPr>
        <w:pStyle w:val="Normal"/>
        <w:tabs>
          <w:tab w:val="clear" w:pos="720"/>
          <w:tab w:val="left" w:pos="2552" w:leader="none"/>
        </w:tabs>
        <w:spacing w:lineRule="exact" w:line="240" w:before="0" w:after="120"/>
        <w:ind w:hanging="283" w:start="283" w:end="0"/>
        <w:jc w:val="both"/>
        <w:rPr>
          <w:rStyle w:val="Hyperlink"/>
        </w:rPr>
      </w:pPr>
      <w:r>
        <w:rPr>
          <w:rFonts w:ascii="FrankRuehl" w:hAnsi="FrankRuehl" w:cs="FrankRuehl"/>
          <w:sz w:val="24"/>
          <w:sz w:val="24"/>
          <w:rtl w:val="true"/>
        </w:rPr>
        <w:t>כתבי עת</w:t>
      </w:r>
      <w:hyperlink r:id="rId3">
        <w:r>
          <w:rPr>
            <w:rFonts w:cs="FrankRuehl" w:ascii="FrankRuehl" w:hAnsi="FrankRuehl"/>
            <w:sz w:val="24"/>
            <w:rtl w:val="true"/>
          </w:rPr>
          <w:t>:</w:t>
        </w:r>
      </w:hyperlink>
    </w:p>
    <w:p>
      <w:pPr>
        <w:pStyle w:val="Normal"/>
        <w:tabs>
          <w:tab w:val="clear" w:pos="720"/>
          <w:tab w:val="left" w:pos="2552" w:leader="none"/>
        </w:tabs>
        <w:spacing w:lineRule="exact" w:line="240" w:before="0" w:after="120"/>
        <w:ind w:hanging="283" w:start="283" w:end="0"/>
        <w:jc w:val="both"/>
        <w:rPr>
          <w:rFonts w:ascii="FrankRuehl" w:hAnsi="FrankRuehl" w:cs="FrankRuehl"/>
          <w:sz w:val="24"/>
        </w:rPr>
      </w:pPr>
      <w:hyperlink r:id="rId4">
        <w:r>
          <w:rPr>
            <w:rStyle w:val="Hyperlink"/>
            <w:rFonts w:ascii="FrankRuehl" w:hAnsi="FrankRuehl" w:cs="FrankRuehl"/>
            <w:sz w:val="24"/>
            <w:sz w:val="24"/>
            <w:rtl w:val="true"/>
          </w:rPr>
          <w:t>אורן גזל</w:t>
        </w:r>
        <w:r>
          <w:rPr>
            <w:rStyle w:val="Hyperlink"/>
            <w:rFonts w:cs="FrankRuehl" w:ascii="FrankRuehl" w:hAnsi="FrankRuehl"/>
            <w:sz w:val="24"/>
            <w:rtl w:val="true"/>
          </w:rPr>
          <w:t>-</w:t>
        </w:r>
        <w:r>
          <w:rPr>
            <w:rStyle w:val="Hyperlink"/>
            <w:rFonts w:ascii="FrankRuehl" w:hAnsi="FrankRuehl" w:cs="FrankRuehl"/>
            <w:sz w:val="24"/>
            <w:sz w:val="24"/>
            <w:rtl w:val="true"/>
          </w:rPr>
          <w:t>אייל</w:t>
        </w:r>
        <w:r>
          <w:rPr>
            <w:rStyle w:val="Hyperlink"/>
            <w:rFonts w:cs="FrankRuehl" w:ascii="FrankRuehl" w:hAnsi="FrankRuehl"/>
            <w:sz w:val="24"/>
            <w:rtl w:val="true"/>
          </w:rPr>
          <w:t>, "</w:t>
        </w:r>
        <w:r>
          <w:rPr>
            <w:rStyle w:val="Hyperlink"/>
            <w:rFonts w:ascii="FrankRuehl" w:hAnsi="FrankRuehl" w:cs="FrankRuehl"/>
            <w:sz w:val="24"/>
            <w:sz w:val="24"/>
            <w:rtl w:val="true"/>
          </w:rPr>
          <w:t>מתחמים לא הולמים</w:t>
        </w:r>
        <w:r>
          <w:rPr>
            <w:rStyle w:val="Hyperlink"/>
            <w:rFonts w:cs="FrankRuehl" w:ascii="FrankRuehl" w:hAnsi="FrankRuehl"/>
            <w:sz w:val="24"/>
            <w:rtl w:val="true"/>
          </w:rPr>
          <w:t xml:space="preserve">: </w:t>
        </w:r>
        <w:r>
          <w:rPr>
            <w:rStyle w:val="Hyperlink"/>
            <w:rFonts w:ascii="FrankRuehl" w:hAnsi="FrankRuehl" w:cs="FrankRuehl"/>
            <w:sz w:val="24"/>
            <w:sz w:val="24"/>
            <w:rtl w:val="true"/>
          </w:rPr>
          <w:t>על</w:t>
        </w:r>
        <w:r>
          <w:rPr>
            <w:rStyle w:val="Hyperlink"/>
            <w:rFonts w:cs="FrankRuehl" w:ascii="FrankRuehl" w:hAnsi="FrankRuehl"/>
            <w:sz w:val="24"/>
            <w:rtl w:val="true"/>
          </w:rPr>
          <w:t xml:space="preserve">", </w:t>
        </w:r>
        <w:r>
          <w:rPr>
            <w:rStyle w:val="Hyperlink"/>
            <w:rFonts w:ascii="FrankRuehl" w:hAnsi="FrankRuehl" w:cs="FrankRuehl"/>
            <w:sz w:val="24"/>
            <w:sz w:val="24"/>
            <w:rtl w:val="true"/>
          </w:rPr>
          <w:t>משפטים על אתר</w:t>
        </w:r>
        <w:r>
          <w:rPr>
            <w:rStyle w:val="Hyperlink"/>
            <w:rFonts w:cs="FrankRuehl" w:ascii="FrankRuehl" w:hAnsi="FrankRuehl"/>
            <w:sz w:val="24"/>
            <w:rtl w:val="true"/>
          </w:rPr>
          <w:t xml:space="preserve">, </w:t>
        </w:r>
        <w:r>
          <w:rPr>
            <w:rStyle w:val="Hyperlink"/>
            <w:rFonts w:ascii="FrankRuehl" w:hAnsi="FrankRuehl" w:cs="FrankRuehl"/>
            <w:sz w:val="24"/>
            <w:sz w:val="24"/>
            <w:rtl w:val="true"/>
          </w:rPr>
          <w:t xml:space="preserve">ו </w:t>
        </w:r>
        <w:r>
          <w:rPr>
            <w:rStyle w:val="Hyperlink"/>
            <w:rFonts w:cs="FrankRuehl" w:ascii="FrankRuehl" w:hAnsi="FrankRuehl"/>
            <w:sz w:val="24"/>
            <w:rtl w:val="true"/>
          </w:rPr>
          <w:t>(</w:t>
        </w:r>
        <w:r>
          <w:rPr>
            <w:rStyle w:val="Hyperlink"/>
            <w:rFonts w:ascii="FrankRuehl" w:hAnsi="FrankRuehl" w:cs="FrankRuehl"/>
            <w:sz w:val="24"/>
            <w:sz w:val="24"/>
            <w:rtl w:val="true"/>
          </w:rPr>
          <w:t>תשע</w:t>
        </w:r>
        <w:r>
          <w:rPr>
            <w:rStyle w:val="Hyperlink"/>
            <w:rFonts w:cs="FrankRuehl" w:ascii="FrankRuehl" w:hAnsi="FrankRuehl"/>
            <w:sz w:val="24"/>
            <w:rtl w:val="true"/>
          </w:rPr>
          <w:t>"</w:t>
        </w:r>
        <w:r>
          <w:rPr>
            <w:rStyle w:val="Hyperlink"/>
            <w:rFonts w:ascii="FrankRuehl" w:hAnsi="FrankRuehl" w:cs="FrankRuehl"/>
            <w:sz w:val="24"/>
            <w:sz w:val="24"/>
            <w:rtl w:val="true"/>
          </w:rPr>
          <w:t>ג</w:t>
        </w:r>
        <w:r>
          <w:rPr>
            <w:rStyle w:val="Hyperlink"/>
            <w:rFonts w:cs="FrankRuehl" w:ascii="FrankRuehl" w:hAnsi="FrankRuehl"/>
            <w:sz w:val="24"/>
            <w:rtl w:val="true"/>
          </w:rPr>
          <w:t xml:space="preserve">) </w:t>
        </w:r>
        <w:r>
          <w:rPr>
            <w:rStyle w:val="Hyperlink"/>
            <w:rFonts w:cs="FrankRuehl" w:ascii="FrankRuehl" w:hAnsi="FrankRuehl"/>
            <w:sz w:val="24"/>
          </w:rPr>
          <w:t>1</w:t>
        </w:r>
      </w:hyperlink>
    </w:p>
    <w:p>
      <w:pPr>
        <w:pStyle w:val="Normal"/>
        <w:tabs>
          <w:tab w:val="clear" w:pos="720"/>
          <w:tab w:val="left" w:pos="2552" w:leader="none"/>
        </w:tabs>
        <w:ind w:end="0"/>
        <w:jc w:val="start"/>
        <w:rPr>
          <w:rFonts w:ascii="FrankRuehl" w:hAnsi="FrankRuehl" w:cs="FrankRuehl"/>
          <w:sz w:val="24"/>
        </w:rPr>
      </w:pPr>
      <w:r>
        <w:rPr>
          <w:rFonts w:cs="FrankRuehl" w:ascii="FrankRuehl" w:hAnsi="FrankRuehl"/>
          <w:sz w:val="24"/>
          <w:rtl w:val="true"/>
        </w:rPr>
      </w:r>
      <w:bookmarkStart w:id="9" w:name="Links_End"/>
      <w:bookmarkStart w:id="10" w:name="Links_End"/>
      <w:bookmarkEnd w:id="10"/>
    </w:p>
    <w:p>
      <w:pPr>
        <w:pStyle w:val="Normal"/>
        <w:tabs>
          <w:tab w:val="clear" w:pos="720"/>
          <w:tab w:val="left" w:pos="2552" w:leader="none"/>
        </w:tabs>
        <w:ind w:end="0"/>
        <w:jc w:val="start"/>
        <w:rPr/>
      </w:pPr>
      <w:r>
        <w:rPr>
          <w:rtl w:val="true"/>
        </w:rPr>
      </w:r>
      <w:bookmarkStart w:id="11" w:name="LawTable"/>
      <w:bookmarkStart w:id="12" w:name="LawTable"/>
      <w:bookmarkEnd w:id="12"/>
    </w:p>
    <w:p>
      <w:pPr>
        <w:pStyle w:val="Normal"/>
        <w:tabs>
          <w:tab w:val="clear" w:pos="720"/>
          <w:tab w:val="left" w:pos="2552" w:leader="none"/>
        </w:tabs>
        <w:spacing w:lineRule="exact" w:line="240" w:before="0" w:after="120"/>
        <w:ind w:hanging="283" w:start="283" w:end="0"/>
        <w:jc w:val="both"/>
        <w:rPr>
          <w:rFonts w:ascii="FrankRuehl" w:hAnsi="FrankRuehl" w:cs="FrankRuehl"/>
          <w:sz w:val="24"/>
        </w:rPr>
      </w:pPr>
      <w:r>
        <w:rPr>
          <w:rFonts w:ascii="FrankRuehl" w:hAnsi="FrankRuehl" w:cs="FrankRuehl"/>
          <w:sz w:val="24"/>
          <w:sz w:val="24"/>
          <w:rtl w:val="true"/>
        </w:rPr>
        <w:t>חקיקה שאוזכרה</w:t>
      </w:r>
      <w:r>
        <w:rPr>
          <w:rFonts w:cs="FrankRuehl" w:ascii="FrankRuehl" w:hAnsi="FrankRuehl"/>
          <w:sz w:val="24"/>
          <w:rtl w:val="true"/>
        </w:rPr>
        <w:t xml:space="preserve">: </w:t>
      </w:r>
    </w:p>
    <w:p>
      <w:pPr>
        <w:pStyle w:val="Normal"/>
        <w:tabs>
          <w:tab w:val="clear" w:pos="720"/>
          <w:tab w:val="left" w:pos="2552" w:leader="none"/>
        </w:tabs>
        <w:spacing w:lineRule="exact" w:line="240" w:before="0" w:after="120"/>
        <w:ind w:hanging="283" w:start="283" w:end="0"/>
        <w:jc w:val="both"/>
        <w:rPr>
          <w:rFonts w:ascii="FrankRuehl" w:hAnsi="FrankRuehl" w:cs="FrankRuehl"/>
          <w:sz w:val="24"/>
        </w:rPr>
      </w:pPr>
      <w:hyperlink r:id="rId5">
        <w:r>
          <w:rPr>
            <w:rStyle w:val="Hyperlink"/>
            <w:rFonts w:ascii="FrankRuehl" w:hAnsi="FrankRuehl" w:cs="FrankRuehl"/>
            <w:color w:val="0000FF"/>
            <w:sz w:val="24"/>
            <w:sz w:val="24"/>
            <w:u w:val="single"/>
            <w:rtl w:val="true"/>
          </w:rPr>
          <w:t>חוק העונשין</w:t>
        </w:r>
        <w:r>
          <w:rPr>
            <w:rStyle w:val="Hyperlink"/>
            <w:rFonts w:cs="FrankRuehl" w:ascii="FrankRuehl" w:hAnsi="FrankRuehl"/>
            <w:color w:val="0000FF"/>
            <w:sz w:val="24"/>
            <w:u w:val="single"/>
            <w:rtl w:val="true"/>
          </w:rPr>
          <w:t xml:space="preserve">, </w:t>
        </w:r>
        <w:r>
          <w:rPr>
            <w:rStyle w:val="Hyperlink"/>
            <w:rFonts w:ascii="FrankRuehl" w:hAnsi="FrankRuehl" w:cs="FrankRuehl"/>
            <w:color w:val="0000FF"/>
            <w:sz w:val="24"/>
            <w:sz w:val="24"/>
            <w:u w:val="single"/>
            <w:rtl w:val="true"/>
          </w:rPr>
          <w:t>תשל</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ז</w:t>
        </w:r>
        <w:r>
          <w:rPr>
            <w:rStyle w:val="Hyperlink"/>
            <w:rFonts w:cs="FrankRuehl" w:ascii="FrankRuehl" w:hAnsi="FrankRuehl"/>
            <w:color w:val="0000FF"/>
            <w:sz w:val="24"/>
            <w:u w:val="single"/>
            <w:rtl w:val="true"/>
          </w:rPr>
          <w:t>-</w:t>
        </w:r>
        <w:r>
          <w:rPr>
            <w:rStyle w:val="Hyperlink"/>
            <w:rFonts w:cs="FrankRuehl" w:ascii="FrankRuehl" w:hAnsi="FrankRuehl"/>
            <w:color w:val="0000FF"/>
            <w:sz w:val="24"/>
            <w:u w:val="single"/>
          </w:rPr>
          <w:t>1977</w:t>
        </w:r>
      </w:hyperlink>
      <w:r>
        <w:rPr>
          <w:rFonts w:cs="FrankRuehl" w:ascii="FrankRuehl" w:hAnsi="FrankRuehl"/>
          <w:sz w:val="24"/>
          <w:rtl w:val="true"/>
        </w:rPr>
        <w:t xml:space="preserve">: </w:t>
      </w:r>
      <w:r>
        <w:rPr>
          <w:rFonts w:ascii="FrankRuehl" w:hAnsi="FrankRuehl" w:cs="FrankRuehl"/>
          <w:sz w:val="24"/>
          <w:sz w:val="24"/>
          <w:rtl w:val="true"/>
        </w:rPr>
        <w:t>סע</w:t>
      </w:r>
      <w:r>
        <w:rPr>
          <w:rFonts w:cs="FrankRuehl" w:ascii="FrankRuehl" w:hAnsi="FrankRuehl"/>
          <w:sz w:val="24"/>
          <w:rtl w:val="true"/>
        </w:rPr>
        <w:t xml:space="preserve">'  </w:t>
      </w:r>
      <w:hyperlink r:id="rId6">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ג</w:t>
        </w:r>
      </w:hyperlink>
      <w:r>
        <w:rPr>
          <w:rFonts w:cs="FrankRuehl" w:ascii="FrankRuehl" w:hAnsi="FrankRuehl"/>
          <w:sz w:val="24"/>
          <w:rtl w:val="true"/>
        </w:rPr>
        <w:t xml:space="preserve">, </w:t>
      </w:r>
      <w:hyperlink r:id="rId7">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ג</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א</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8">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ג</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ב</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9">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ד</w:t>
        </w:r>
      </w:hyperlink>
      <w:r>
        <w:rPr>
          <w:rFonts w:cs="FrankRuehl" w:ascii="FrankRuehl" w:hAnsi="FrankRuehl"/>
          <w:sz w:val="24"/>
          <w:rtl w:val="true"/>
        </w:rPr>
        <w:t xml:space="preserve">, </w:t>
      </w:r>
      <w:hyperlink r:id="rId10">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ה</w:t>
        </w:r>
      </w:hyperlink>
      <w:r>
        <w:rPr>
          <w:rFonts w:cs="FrankRuehl" w:ascii="FrankRuehl" w:hAnsi="FrankRuehl"/>
          <w:sz w:val="24"/>
          <w:rtl w:val="true"/>
        </w:rPr>
        <w:t xml:space="preserve">, </w:t>
      </w:r>
      <w:hyperlink r:id="rId11">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ו</w:t>
        </w:r>
      </w:hyperlink>
      <w:r>
        <w:rPr>
          <w:rFonts w:cs="FrankRuehl" w:ascii="FrankRuehl" w:hAnsi="FrankRuehl"/>
          <w:sz w:val="24"/>
          <w:rtl w:val="true"/>
        </w:rPr>
        <w:t xml:space="preserve">, </w:t>
      </w:r>
      <w:hyperlink r:id="rId12">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ז</w:t>
        </w:r>
      </w:hyperlink>
      <w:r>
        <w:rPr>
          <w:rFonts w:cs="FrankRuehl" w:ascii="FrankRuehl" w:hAnsi="FrankRuehl"/>
          <w:sz w:val="24"/>
          <w:rtl w:val="true"/>
        </w:rPr>
        <w:t xml:space="preserve">, </w:t>
      </w:r>
      <w:hyperlink r:id="rId13">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ט</w:t>
        </w:r>
      </w:hyperlink>
      <w:r>
        <w:rPr>
          <w:rFonts w:cs="FrankRuehl" w:ascii="FrankRuehl" w:hAnsi="FrankRuehl"/>
          <w:sz w:val="24"/>
          <w:rtl w:val="true"/>
        </w:rPr>
        <w:t xml:space="preserve">, </w:t>
      </w:r>
      <w:hyperlink r:id="rId14">
        <w:r>
          <w:rPr>
            <w:rStyle w:val="Hyperlink"/>
            <w:rFonts w:cs="FrankRuehl" w:ascii="FrankRuehl" w:hAnsi="FrankRuehl"/>
            <w:color w:val="0000FF"/>
            <w:sz w:val="24"/>
            <w:u w:val="single"/>
          </w:rPr>
          <w:t>186</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א</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15">
        <w:r>
          <w:rPr>
            <w:rStyle w:val="Hyperlink"/>
            <w:rFonts w:cs="FrankRuehl" w:ascii="FrankRuehl" w:hAnsi="FrankRuehl"/>
            <w:color w:val="0000FF"/>
            <w:sz w:val="24"/>
            <w:u w:val="single"/>
          </w:rPr>
          <w:t>402</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א</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16">
        <w:r>
          <w:rPr>
            <w:rStyle w:val="Hyperlink"/>
            <w:rFonts w:cs="FrankRuehl" w:ascii="FrankRuehl" w:hAnsi="FrankRuehl"/>
            <w:color w:val="0000FF"/>
            <w:sz w:val="24"/>
            <w:u w:val="single"/>
          </w:rPr>
          <w:t>402</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ב</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17">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יא</w:t>
        </w:r>
      </w:hyperlink>
      <w:r>
        <w:rPr>
          <w:rFonts w:cs="FrankRuehl" w:ascii="FrankRuehl" w:hAnsi="FrankRuehl"/>
          <w:sz w:val="24"/>
          <w:rtl w:val="true"/>
        </w:rPr>
        <w:t xml:space="preserve">, </w:t>
      </w:r>
      <w:hyperlink r:id="rId18">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יא</w:t>
        </w:r>
        <w:r>
          <w:rPr>
            <w:rStyle w:val="Hyperlink"/>
            <w:rFonts w:cs="FrankRuehl" w:ascii="FrankRuehl" w:hAnsi="FrankRuehl"/>
            <w:color w:val="0000FF"/>
            <w:sz w:val="24"/>
            <w:u w:val="single"/>
            <w:rtl w:val="true"/>
          </w:rPr>
          <w:t>(</w:t>
        </w:r>
        <w:r>
          <w:rPr>
            <w:rStyle w:val="Hyperlink"/>
            <w:rFonts w:cs="FrankRuehl" w:ascii="FrankRuehl" w:hAnsi="FrankRuehl"/>
            <w:color w:val="0000FF"/>
            <w:sz w:val="24"/>
            <w:u w:val="single"/>
          </w:rPr>
          <w:t>1</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19">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יא</w:t>
        </w:r>
        <w:r>
          <w:rPr>
            <w:rStyle w:val="Hyperlink"/>
            <w:rFonts w:cs="FrankRuehl" w:ascii="FrankRuehl" w:hAnsi="FrankRuehl"/>
            <w:color w:val="0000FF"/>
            <w:sz w:val="24"/>
            <w:u w:val="single"/>
            <w:rtl w:val="true"/>
          </w:rPr>
          <w:t>(</w:t>
        </w:r>
        <w:r>
          <w:rPr>
            <w:rStyle w:val="Hyperlink"/>
            <w:rFonts w:cs="FrankRuehl" w:ascii="FrankRuehl" w:hAnsi="FrankRuehl"/>
            <w:color w:val="0000FF"/>
            <w:sz w:val="24"/>
            <w:u w:val="single"/>
          </w:rPr>
          <w:t>11</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20">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יא</w:t>
        </w:r>
        <w:r>
          <w:rPr>
            <w:rStyle w:val="Hyperlink"/>
            <w:rFonts w:cs="FrankRuehl" w:ascii="FrankRuehl" w:hAnsi="FrankRuehl"/>
            <w:color w:val="0000FF"/>
            <w:sz w:val="24"/>
            <w:u w:val="single"/>
            <w:rtl w:val="true"/>
          </w:rPr>
          <w:t>(</w:t>
        </w:r>
        <w:r>
          <w:rPr>
            <w:rStyle w:val="Hyperlink"/>
            <w:rFonts w:cs="FrankRuehl" w:ascii="FrankRuehl" w:hAnsi="FrankRuehl"/>
            <w:color w:val="0000FF"/>
            <w:sz w:val="24"/>
            <w:u w:val="single"/>
          </w:rPr>
          <w:t>8</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21">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יב</w:t>
        </w:r>
      </w:hyperlink>
      <w:r>
        <w:rPr>
          <w:rFonts w:cs="FrankRuehl" w:ascii="FrankRuehl" w:hAnsi="FrankRuehl"/>
          <w:sz w:val="24"/>
          <w:rtl w:val="true"/>
        </w:rPr>
        <w:t xml:space="preserve">, </w:t>
      </w:r>
      <w:hyperlink r:id="rId22">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יג</w:t>
        </w:r>
      </w:hyperlink>
      <w:r>
        <w:rPr>
          <w:rFonts w:cs="FrankRuehl" w:ascii="FrankRuehl" w:hAnsi="FrankRuehl"/>
          <w:sz w:val="24"/>
          <w:rtl w:val="true"/>
        </w:rPr>
        <w:t xml:space="preserve">, </w:t>
      </w:r>
      <w:hyperlink r:id="rId23">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יג</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א</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24">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יג</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ב</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25">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יג</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ג</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26">
        <w:r>
          <w:rPr>
            <w:rStyle w:val="Hyperlink"/>
            <w:rFonts w:cs="FrankRuehl" w:ascii="FrankRuehl" w:hAnsi="FrankRuehl"/>
            <w:color w:val="0000FF"/>
            <w:sz w:val="24"/>
            <w:u w:val="single"/>
          </w:rPr>
          <w:t>40</w:t>
        </w:r>
        <w:r>
          <w:rPr>
            <w:rStyle w:val="Hyperlink"/>
            <w:rFonts w:ascii="FrankRuehl" w:hAnsi="FrankRuehl" w:cs="FrankRuehl"/>
            <w:color w:val="0000FF"/>
            <w:sz w:val="24"/>
            <w:sz w:val="24"/>
            <w:u w:val="single"/>
            <w:rtl w:val="true"/>
          </w:rPr>
          <w:t>יד</w:t>
        </w:r>
        <w:r>
          <w:rPr>
            <w:rStyle w:val="Hyperlink"/>
            <w:rFonts w:cs="FrankRuehl" w:ascii="FrankRuehl" w:hAnsi="FrankRuehl"/>
            <w:color w:val="0000FF"/>
            <w:sz w:val="24"/>
            <w:u w:val="single"/>
            <w:rtl w:val="true"/>
          </w:rPr>
          <w:t>(</w:t>
        </w:r>
        <w:r>
          <w:rPr>
            <w:rStyle w:val="Hyperlink"/>
            <w:rFonts w:cs="FrankRuehl" w:ascii="FrankRuehl" w:hAnsi="FrankRuehl"/>
            <w:color w:val="0000FF"/>
            <w:sz w:val="24"/>
            <w:u w:val="single"/>
          </w:rPr>
          <w:t>1</w:t>
        </w:r>
        <w:r>
          <w:rPr>
            <w:rStyle w:val="Hyperlink"/>
            <w:rFonts w:cs="FrankRuehl" w:ascii="FrankRuehl" w:hAnsi="FrankRuehl"/>
            <w:color w:val="0000FF"/>
            <w:sz w:val="24"/>
            <w:u w:val="single"/>
            <w:rtl w:val="true"/>
          </w:rPr>
          <w:t>)).</w:t>
        </w:r>
      </w:hyperlink>
      <w:r>
        <w:rPr>
          <w:rFonts w:cs="FrankRuehl" w:ascii="FrankRuehl" w:hAnsi="FrankRuehl"/>
          <w:sz w:val="24"/>
          <w:rtl w:val="true"/>
        </w:rPr>
        <w:t xml:space="preserve">, </w:t>
      </w:r>
      <w:hyperlink r:id="rId27">
        <w:r>
          <w:rPr>
            <w:rStyle w:val="Hyperlink"/>
            <w:rFonts w:cs="FrankRuehl" w:ascii="FrankRuehl" w:hAnsi="FrankRuehl"/>
            <w:color w:val="0000FF"/>
            <w:sz w:val="24"/>
            <w:u w:val="single"/>
          </w:rPr>
          <w:t>499</w:t>
        </w:r>
      </w:hyperlink>
      <w:r>
        <w:rPr>
          <w:rFonts w:cs="FrankRuehl" w:ascii="FrankRuehl" w:hAnsi="FrankRuehl"/>
          <w:sz w:val="24"/>
          <w:rtl w:val="true"/>
        </w:rPr>
        <w:t xml:space="preserve">, </w:t>
      </w:r>
      <w:hyperlink r:id="rId28">
        <w:r>
          <w:rPr>
            <w:rStyle w:val="Hyperlink"/>
            <w:rFonts w:cs="FrankRuehl" w:ascii="FrankRuehl" w:hAnsi="FrankRuehl"/>
            <w:color w:val="0000FF"/>
            <w:sz w:val="24"/>
            <w:u w:val="single"/>
          </w:rPr>
          <w:t>499</w:t>
        </w:r>
        <w:r>
          <w:rPr>
            <w:rStyle w:val="Hyperlink"/>
            <w:rFonts w:cs="FrankRuehl" w:ascii="FrankRuehl" w:hAnsi="FrankRuehl"/>
            <w:color w:val="0000FF"/>
            <w:sz w:val="24"/>
            <w:u w:val="single"/>
            <w:rtl w:val="true"/>
          </w:rPr>
          <w:t>(</w:t>
        </w:r>
        <w:r>
          <w:rPr>
            <w:rStyle w:val="Hyperlink"/>
            <w:rFonts w:ascii="FrankRuehl" w:hAnsi="FrankRuehl" w:cs="FrankRuehl"/>
            <w:color w:val="0000FF"/>
            <w:sz w:val="24"/>
            <w:sz w:val="24"/>
            <w:u w:val="single"/>
            <w:rtl w:val="true"/>
          </w:rPr>
          <w:t>א</w:t>
        </w:r>
        <w:r>
          <w:rPr>
            <w:rStyle w:val="Hyperlink"/>
            <w:rFonts w:cs="FrankRuehl" w:ascii="FrankRuehl" w:hAnsi="FrankRuehl"/>
            <w:color w:val="0000FF"/>
            <w:sz w:val="24"/>
            <w:u w:val="single"/>
            <w:rtl w:val="true"/>
          </w:rPr>
          <w:t>)(</w:t>
        </w:r>
        <w:r>
          <w:rPr>
            <w:rStyle w:val="Hyperlink"/>
            <w:rFonts w:cs="FrankRuehl" w:ascii="FrankRuehl" w:hAnsi="FrankRuehl"/>
            <w:color w:val="0000FF"/>
            <w:sz w:val="24"/>
            <w:u w:val="single"/>
          </w:rPr>
          <w:t>1</w:t>
        </w:r>
        <w:r>
          <w:rPr>
            <w:rStyle w:val="Hyperlink"/>
            <w:rFonts w:cs="FrankRuehl" w:ascii="FrankRuehl" w:hAnsi="FrankRuehl"/>
            <w:color w:val="0000FF"/>
            <w:sz w:val="24"/>
            <w:u w:val="single"/>
            <w:rtl w:val="true"/>
          </w:rPr>
          <w:t>)</w:t>
        </w:r>
      </w:hyperlink>
    </w:p>
    <w:p>
      <w:pPr>
        <w:pStyle w:val="Normal"/>
        <w:tabs>
          <w:tab w:val="clear" w:pos="720"/>
          <w:tab w:val="left" w:pos="2552" w:leader="none"/>
        </w:tabs>
        <w:ind w:end="0"/>
        <w:jc w:val="start"/>
        <w:rPr>
          <w:rFonts w:ascii="FrankRuehl" w:hAnsi="FrankRuehl" w:cs="FrankRuehl"/>
          <w:sz w:val="24"/>
        </w:rPr>
      </w:pPr>
      <w:r>
        <w:rPr>
          <w:rFonts w:cs="FrankRuehl" w:ascii="FrankRuehl" w:hAnsi="FrankRuehl"/>
          <w:sz w:val="24"/>
          <w:rtl w:val="true"/>
        </w:rPr>
      </w:r>
    </w:p>
    <w:p>
      <w:pPr>
        <w:pStyle w:val="Normal"/>
        <w:tabs>
          <w:tab w:val="clear" w:pos="720"/>
          <w:tab w:val="left" w:pos="2552" w:leader="none"/>
        </w:tabs>
        <w:ind w:end="0"/>
        <w:jc w:val="start"/>
        <w:rPr/>
      </w:pPr>
      <w:r>
        <w:rPr>
          <w:rtl w:val="true"/>
        </w:rPr>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bookmarkStart w:id="13" w:name="ABSTRACT_START"/>
      <w:bookmarkEnd w:id="13"/>
      <w:r>
        <w:rPr>
          <w:rFonts w:ascii="Times New Roman" w:hAnsi="Times New Roman" w:cs="Times New Roman"/>
          <w:spacing w:val="0"/>
          <w:szCs w:val="26"/>
          <w:rtl w:val="true"/>
        </w:rPr>
        <w:t>מיני</w:t>
      </w:r>
      <w:r>
        <w:rPr>
          <w:rFonts w:cs="Times New Roman" w:ascii="Times New Roman" w:hAnsi="Times New Roman"/>
          <w:spacing w:val="0"/>
          <w:szCs w:val="26"/>
          <w:rtl w:val="true"/>
        </w:rPr>
        <w:t>-</w:t>
      </w:r>
      <w:r>
        <w:rPr>
          <w:rFonts w:ascii="Times New Roman" w:hAnsi="Times New Roman" w:cs="Times New Roman"/>
          <w:spacing w:val="0"/>
          <w:szCs w:val="26"/>
          <w:rtl w:val="true"/>
        </w:rPr>
        <w:t>רציו</w:t>
      </w: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tl w:val="true"/>
        </w:rPr>
        <w:t xml:space="preserve">* </w:t>
      </w:r>
      <w:r>
        <w:rPr>
          <w:rFonts w:ascii="Times New Roman" w:hAnsi="Times New Roman" w:cs="Times New Roman"/>
          <w:spacing w:val="0"/>
          <w:szCs w:val="26"/>
          <w:rtl w:val="true"/>
        </w:rPr>
        <w:t>המקרה דנא נמנה על אותם מקרים חריגים המצדיקים התערבות ערכאת הערעור בעונש</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וזאת מאחר שנפלה שגגה בקביעת מתחם העונש על ידי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המחוזי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אשר השפיעה על גזירת העונש של המערער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והביאה להחמרה יתרה עימו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עסקינן בעבירת שוד בנסיבות מחמירות לפי </w:t>
      </w:r>
      <w:hyperlink r:id="rId29">
        <w:r>
          <w:rPr>
            <w:rStyle w:val="Hyperlink"/>
            <w:rFonts w:ascii="Times New Roman" w:hAnsi="Times New Roman" w:cs="Times New Roman"/>
            <w:spacing w:val="0"/>
            <w:szCs w:val="26"/>
            <w:rtl w:val="true"/>
          </w:rPr>
          <w:t>סעיף</w:t>
        </w:r>
        <w:r>
          <w:rPr>
            <w:rStyle w:val="Hyperlink"/>
            <w:rFonts w:ascii="Times New Roman" w:hAnsi="Times New Roman" w:cs="Times New Roman"/>
            <w:spacing w:val="0"/>
            <w:szCs w:val="26"/>
            <w:rtl w:val="true"/>
          </w:rPr>
          <w:t xml:space="preserve"> </w:t>
        </w:r>
        <w:r>
          <w:rPr>
            <w:rStyle w:val="Hyperlink"/>
            <w:rFonts w:cs="Times New Roman" w:ascii="Times New Roman" w:hAnsi="Times New Roman"/>
            <w:spacing w:val="0"/>
            <w:szCs w:val="26"/>
          </w:rPr>
          <w:t>402</w:t>
        </w:r>
        <w:r>
          <w:rPr>
            <w:rStyle w:val="Hyperlink"/>
            <w:rFonts w:cs="Times New Roman" w:ascii="Times New Roman" w:hAnsi="Times New Roman"/>
            <w:spacing w:val="0"/>
            <w:szCs w:val="26"/>
            <w:rtl w:val="true"/>
          </w:rPr>
          <w:t>(</w:t>
        </w:r>
        <w:r>
          <w:rPr>
            <w:rStyle w:val="Hyperlink"/>
            <w:rFonts w:ascii="Times New Roman" w:hAnsi="Times New Roman" w:cs="Times New Roman"/>
            <w:spacing w:val="0"/>
            <w:szCs w:val="26"/>
            <w:rtl w:val="true"/>
          </w:rPr>
          <w:t>ב</w:t>
        </w:r>
        <w:r>
          <w:rPr>
            <w:rStyle w:val="Hyperlink"/>
            <w:rFonts w:cs="Times New Roman" w:ascii="Times New Roman" w:hAnsi="Times New Roman"/>
            <w:spacing w:val="0"/>
            <w:szCs w:val="26"/>
            <w:rtl w:val="true"/>
          </w:rPr>
          <w:t>)</w:t>
        </w:r>
      </w:hyperlink>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שנעברה באירוע אחד עם עבירת קשירת קשר והחזקת סכין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במסגרת ההכרעה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שב ומבהיר את האופן שבו על בתי</w:t>
      </w:r>
      <w:r>
        <w:rPr>
          <w:rFonts w:cs="Times New Roman" w:ascii="Times New Roman" w:hAnsi="Times New Roman"/>
          <w:spacing w:val="0"/>
          <w:szCs w:val="26"/>
          <w:rtl w:val="true"/>
        </w:rPr>
        <w:t>-</w:t>
      </w:r>
      <w:r>
        <w:rPr>
          <w:rFonts w:ascii="Times New Roman" w:hAnsi="Times New Roman" w:cs="Times New Roman"/>
          <w:spacing w:val="0"/>
          <w:szCs w:val="26"/>
          <w:rtl w:val="true"/>
        </w:rPr>
        <w:t xml:space="preserve">המשפט לגזור עונשים לאחר תיקון </w:t>
      </w:r>
      <w:r>
        <w:rPr>
          <w:rFonts w:cs="Times New Roman" w:ascii="Times New Roman" w:hAnsi="Times New Roman"/>
          <w:spacing w:val="0"/>
          <w:szCs w:val="26"/>
        </w:rPr>
        <w:t>113</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w:t>
      </w:r>
      <w:hyperlink r:id="rId30">
        <w:r>
          <w:rPr>
            <w:rStyle w:val="Hyperlink"/>
            <w:rFonts w:ascii="Times New Roman" w:hAnsi="Times New Roman" w:cs="Times New Roman"/>
            <w:spacing w:val="0"/>
            <w:szCs w:val="26"/>
            <w:rtl w:val="true"/>
          </w:rPr>
          <w:t>חוק</w:t>
        </w:r>
        <w:r>
          <w:rPr>
            <w:rStyle w:val="Hyperlink"/>
            <w:rFonts w:ascii="Times New Roman" w:hAnsi="Times New Roman" w:cs="Times New Roman"/>
            <w:spacing w:val="0"/>
            <w:szCs w:val="26"/>
            <w:rtl w:val="true"/>
          </w:rPr>
          <w:t xml:space="preserve"> </w:t>
        </w:r>
        <w:r>
          <w:rPr>
            <w:rStyle w:val="Hyperlink"/>
            <w:rFonts w:ascii="Times New Roman" w:hAnsi="Times New Roman" w:cs="Times New Roman"/>
            <w:spacing w:val="0"/>
            <w:szCs w:val="26"/>
            <w:rtl w:val="true"/>
          </w:rPr>
          <w:t>העונשין</w:t>
        </w:r>
      </w:hyperlink>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עונשין – ענישה – תיקון </w:t>
      </w:r>
      <w:r>
        <w:rPr>
          <w:rFonts w:cs="Times New Roman" w:ascii="Times New Roman" w:hAnsi="Times New Roman"/>
          <w:spacing w:val="0"/>
          <w:szCs w:val="26"/>
        </w:rPr>
        <w:t>113</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בתי</w:t>
      </w:r>
      <w:r>
        <w:rPr>
          <w:rFonts w:cs="Times New Roman" w:ascii="Times New Roman" w:hAnsi="Times New Roman"/>
          <w:spacing w:val="0"/>
          <w:szCs w:val="26"/>
          <w:rtl w:val="true"/>
        </w:rPr>
        <w:t>-</w:t>
      </w:r>
      <w:r>
        <w:rPr>
          <w:rFonts w:ascii="Times New Roman" w:hAnsi="Times New Roman" w:cs="Times New Roman"/>
          <w:spacing w:val="0"/>
          <w:szCs w:val="26"/>
          <w:rtl w:val="true"/>
        </w:rPr>
        <w:t>משפט – ערעור – התערבות במידת העונש</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עונשין – עבירות – שוד בנסיבות מחמירות</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עונשין – ענישה – מתחם הענישה</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ascii="Times New Roman" w:hAnsi="Times New Roman" w:cs="Times New Roman"/>
          <w:spacing w:val="0"/>
          <w:szCs w:val="26"/>
          <w:rtl w:val="true"/>
        </w:rPr>
        <w:t>ערעור על גז</w:t>
      </w:r>
      <w:r>
        <w:rPr>
          <w:rFonts w:cs="Times New Roman" w:ascii="Times New Roman" w:hAnsi="Times New Roman"/>
          <w:spacing w:val="0"/>
          <w:szCs w:val="26"/>
          <w:rtl w:val="true"/>
        </w:rPr>
        <w:t>"</w:t>
      </w:r>
      <w:r>
        <w:rPr>
          <w:rFonts w:ascii="Times New Roman" w:hAnsi="Times New Roman" w:cs="Times New Roman"/>
          <w:spacing w:val="0"/>
          <w:szCs w:val="26"/>
          <w:rtl w:val="true"/>
        </w:rPr>
        <w:t>ד במסגרתו הטיל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המחוזי בת</w:t>
      </w:r>
      <w:r>
        <w:rPr>
          <w:rFonts w:cs="Times New Roman" w:ascii="Times New Roman" w:hAnsi="Times New Roman"/>
          <w:spacing w:val="0"/>
          <w:szCs w:val="26"/>
          <w:rtl w:val="true"/>
        </w:rPr>
        <w:t>"</w:t>
      </w:r>
      <w:r>
        <w:rPr>
          <w:rFonts w:ascii="Times New Roman" w:hAnsi="Times New Roman" w:cs="Times New Roman"/>
          <w:spacing w:val="0"/>
          <w:szCs w:val="26"/>
          <w:rtl w:val="true"/>
        </w:rPr>
        <w:t>א</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על המערער </w:t>
      </w:r>
      <w:r>
        <w:rPr>
          <w:rFonts w:cs="Times New Roman" w:ascii="Times New Roman" w:hAnsi="Times New Roman"/>
          <w:spacing w:val="0"/>
          <w:szCs w:val="26"/>
          <w:rtl w:val="true"/>
        </w:rPr>
        <w:t>(</w:t>
      </w:r>
      <w:r>
        <w:rPr>
          <w:rFonts w:ascii="Times New Roman" w:hAnsi="Times New Roman" w:cs="Times New Roman"/>
          <w:spacing w:val="0"/>
          <w:szCs w:val="26"/>
          <w:rtl w:val="true"/>
        </w:rPr>
        <w:t xml:space="preserve">מבקש מקלט בן </w:t>
      </w:r>
      <w:r>
        <w:rPr>
          <w:rFonts w:cs="Times New Roman" w:ascii="Times New Roman" w:hAnsi="Times New Roman"/>
          <w:spacing w:val="0"/>
          <w:szCs w:val="26"/>
        </w:rPr>
        <w:t>21</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מאריתראה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עונש של ארבע שנות מאסר ושני עונשי מאסר על תנאי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זאת בעקבות הרשעתו בביצוע שלוש עבירות קשורות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קשירת קשר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שוד בנסיבות מחמירות והחזקת סכין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בגין מעורבותו בארוע מתמשך אחד</w:t>
      </w: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ascii="Times New Roman" w:hAnsi="Times New Roman" w:cs="Times New Roman"/>
          <w:spacing w:val="0"/>
          <w:szCs w:val="26"/>
          <w:rtl w:val="true"/>
        </w:rPr>
        <w:t>ביהמ</w:t>
      </w:r>
      <w:r>
        <w:rPr>
          <w:rFonts w:cs="Times New Roman" w:ascii="Times New Roman" w:hAnsi="Times New Roman"/>
          <w:spacing w:val="0"/>
          <w:szCs w:val="26"/>
          <w:rtl w:val="true"/>
        </w:rPr>
        <w:t>"</w:t>
      </w:r>
      <w:r>
        <w:rPr>
          <w:rFonts w:ascii="Times New Roman" w:hAnsi="Times New Roman" w:cs="Times New Roman"/>
          <w:spacing w:val="0"/>
          <w:szCs w:val="26"/>
          <w:rtl w:val="true"/>
        </w:rPr>
        <w:t xml:space="preserve">ש העליון </w:t>
      </w:r>
      <w:r>
        <w:rPr>
          <w:rFonts w:cs="Times New Roman" w:ascii="Times New Roman" w:hAnsi="Times New Roman"/>
          <w:spacing w:val="0"/>
          <w:szCs w:val="26"/>
          <w:rtl w:val="true"/>
        </w:rPr>
        <w:t>(</w:t>
      </w:r>
      <w:r>
        <w:rPr>
          <w:rFonts w:ascii="Times New Roman" w:hAnsi="Times New Roman" w:cs="Times New Roman"/>
          <w:spacing w:val="0"/>
          <w:szCs w:val="26"/>
          <w:rtl w:val="true"/>
        </w:rPr>
        <w:t>מפי השופט ס</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ג</w:t>
      </w:r>
      <w:r>
        <w:rPr>
          <w:rFonts w:cs="Times New Roman" w:ascii="Times New Roman" w:hAnsi="Times New Roman"/>
          <w:spacing w:val="0"/>
          <w:szCs w:val="26"/>
          <w:rtl w:val="true"/>
        </w:rPr>
        <w:t>'</w:t>
      </w:r>
      <w:r>
        <w:rPr>
          <w:rFonts w:ascii="Times New Roman" w:hAnsi="Times New Roman" w:cs="Times New Roman"/>
          <w:spacing w:val="0"/>
          <w:szCs w:val="26"/>
          <w:rtl w:val="true"/>
        </w:rPr>
        <w:t>ובראן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בהסכמת השופטים ח</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מלצר וצ</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זילברטל</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קיבל את הערעור באופן חלקי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מהטעמים הבאים</w:t>
      </w: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ascii="Times New Roman" w:hAnsi="Times New Roman" w:cs="Times New Roman"/>
          <w:spacing w:val="0"/>
          <w:szCs w:val="26"/>
          <w:rtl w:val="true"/>
        </w:rPr>
        <w:t>כידוע</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אין ערכאת הערעור מתערבת בחומרת העונש שנקבע על ידי הערכאה הדיונית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אלא במקרים חריגים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הדברים נכונים גם לאחר כניסתו לתוקף של תיקון </w:t>
      </w:r>
      <w:r>
        <w:rPr>
          <w:rFonts w:cs="Times New Roman" w:ascii="Times New Roman" w:hAnsi="Times New Roman"/>
          <w:spacing w:val="0"/>
          <w:szCs w:val="26"/>
        </w:rPr>
        <w:t>113</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w:t>
      </w:r>
      <w:hyperlink r:id="rId31">
        <w:r>
          <w:rPr>
            <w:rStyle w:val="Hyperlink"/>
            <w:rFonts w:ascii="Times New Roman" w:hAnsi="Times New Roman" w:cs="Times New Roman"/>
            <w:spacing w:val="0"/>
            <w:szCs w:val="26"/>
            <w:rtl w:val="true"/>
          </w:rPr>
          <w:t>חוק</w:t>
        </w:r>
        <w:r>
          <w:rPr>
            <w:rStyle w:val="Hyperlink"/>
            <w:rFonts w:ascii="Times New Roman" w:hAnsi="Times New Roman" w:cs="Times New Roman"/>
            <w:spacing w:val="0"/>
            <w:szCs w:val="26"/>
            <w:rtl w:val="true"/>
          </w:rPr>
          <w:t xml:space="preserve"> </w:t>
        </w:r>
        <w:r>
          <w:rPr>
            <w:rStyle w:val="Hyperlink"/>
            <w:rFonts w:ascii="Times New Roman" w:hAnsi="Times New Roman" w:cs="Times New Roman"/>
            <w:spacing w:val="0"/>
            <w:szCs w:val="26"/>
            <w:rtl w:val="true"/>
          </w:rPr>
          <w:t>העונשין</w:t>
        </w:r>
      </w:hyperlink>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ואף במקרים בהם לא נקבע מתחם ענישה הולם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כנדרש על פי החוק</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המקרה דנא נמנה על אותם מקרים חריגים המצדיקים התערבות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וזאת מאחר שנפלה שגגה בקביעת מתחם העונש על ידי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המחוזי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אשר השפיעה על גזירת העונש של המערער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והביאה להחמרה יתרה עימו</w:t>
      </w:r>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ascii="Times New Roman" w:hAnsi="Times New Roman" w:cs="Times New Roman"/>
          <w:spacing w:val="0"/>
          <w:szCs w:val="26"/>
          <w:rtl w:val="true"/>
        </w:rPr>
        <w:t>כאמור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המערער הורשע בביצוע שלוש עבירות קשורות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קשירת קשר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שוד בנסיבות מחמירות והחזקת סכין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ביהמ</w:t>
      </w:r>
      <w:r>
        <w:rPr>
          <w:rFonts w:cs="Times New Roman" w:ascii="Times New Roman" w:hAnsi="Times New Roman"/>
          <w:spacing w:val="0"/>
          <w:szCs w:val="26"/>
          <w:rtl w:val="true"/>
        </w:rPr>
        <w:t>"</w:t>
      </w:r>
      <w:r>
        <w:rPr>
          <w:rFonts w:ascii="Times New Roman" w:hAnsi="Times New Roman" w:cs="Times New Roman"/>
          <w:spacing w:val="0"/>
          <w:szCs w:val="26"/>
          <w:rtl w:val="true"/>
        </w:rPr>
        <w:t xml:space="preserve">ש המחוזי קבע כי </w:t>
      </w:r>
      <w:r>
        <w:rPr>
          <w:rFonts w:cs="Times New Roman" w:ascii="Times New Roman" w:hAnsi="Times New Roman"/>
          <w:spacing w:val="0"/>
          <w:szCs w:val="26"/>
          <w:rtl w:val="true"/>
        </w:rPr>
        <w:t>"</w:t>
      </w:r>
      <w:r>
        <w:rPr>
          <w:rFonts w:ascii="Times New Roman" w:hAnsi="Times New Roman" w:cs="Times New Roman"/>
          <w:spacing w:val="0"/>
          <w:szCs w:val="26"/>
          <w:rtl w:val="true"/>
        </w:rPr>
        <w:t>טווח הענישה הראוי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של עבירות שוד בנסיבות דומות לאלה של המערער הוא בין שלוש לשש שנות מאסר בפועל</w:t>
      </w:r>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ascii="Times New Roman" w:hAnsi="Times New Roman" w:cs="Times New Roman"/>
          <w:spacing w:val="0"/>
          <w:szCs w:val="26"/>
          <w:rtl w:val="true"/>
        </w:rPr>
        <w:t>לקביעה זו הגיע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המחוזי במספר שלבים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ראשית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הציג מספר גזרי דין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בהן נדונו עבירות שוד עם נסיבות דומות </w:t>
      </w:r>
      <w:r>
        <w:rPr>
          <w:rFonts w:cs="Times New Roman" w:ascii="Times New Roman" w:hAnsi="Times New Roman"/>
          <w:spacing w:val="0"/>
          <w:szCs w:val="26"/>
          <w:rtl w:val="true"/>
        </w:rPr>
        <w:t>(</w:t>
      </w:r>
      <w:r>
        <w:rPr>
          <w:rFonts w:ascii="Times New Roman" w:hAnsi="Times New Roman" w:cs="Times New Roman"/>
          <w:spacing w:val="0"/>
          <w:szCs w:val="26"/>
          <w:rtl w:val="true"/>
        </w:rPr>
        <w:t>לכאורה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ונקבע מתחם זה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שנית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בחן את נסיבות העבירה אל מול גילו הצעיר של המערער ועברו הפלילי הנקי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שלישית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שלל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את שיקול מוצאו של המערער או היותו מבקש מקלט</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כשיקול המשפיע על טווח זה</w:t>
      </w:r>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ascii="Times New Roman" w:hAnsi="Times New Roman" w:cs="Times New Roman"/>
          <w:spacing w:val="0"/>
          <w:szCs w:val="26"/>
          <w:rtl w:val="true"/>
        </w:rPr>
        <w:t>בקובעו קביעות אלה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המחוזי קבע את מתחם העונש ההולם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שלא על פי הוראת </w:t>
      </w:r>
      <w:hyperlink r:id="rId32">
        <w:r>
          <w:rPr>
            <w:rStyle w:val="Hyperlink"/>
            <w:rFonts w:ascii="Times New Roman" w:hAnsi="Times New Roman" w:cs="Times New Roman"/>
            <w:spacing w:val="0"/>
            <w:szCs w:val="26"/>
            <w:rtl w:val="true"/>
          </w:rPr>
          <w:t>סעיפים</w:t>
        </w:r>
        <w:r>
          <w:rPr>
            <w:rStyle w:val="Hyperlink"/>
            <w:rFonts w:ascii="Times New Roman" w:hAnsi="Times New Roman" w:cs="Times New Roman"/>
            <w:spacing w:val="0"/>
            <w:szCs w:val="26"/>
            <w:rtl w:val="true"/>
          </w:rPr>
          <w:t xml:space="preserve"> </w:t>
        </w:r>
        <w:r>
          <w:rPr>
            <w:rStyle w:val="Hyperlink"/>
            <w:rFonts w:cs="Times New Roman" w:ascii="Times New Roman" w:hAnsi="Times New Roman"/>
            <w:spacing w:val="0"/>
            <w:szCs w:val="26"/>
          </w:rPr>
          <w:t>40</w:t>
        </w:r>
        <w:r>
          <w:rPr>
            <w:rStyle w:val="Hyperlink"/>
            <w:rFonts w:ascii="Times New Roman" w:hAnsi="Times New Roman" w:cs="Times New Roman"/>
            <w:spacing w:val="0"/>
            <w:szCs w:val="26"/>
            <w:rtl w:val="true"/>
          </w:rPr>
          <w:t>ג</w:t>
        </w:r>
      </w:hyperlink>
      <w:r>
        <w:rPr>
          <w:rFonts w:ascii="Times New Roman" w:hAnsi="Times New Roman" w:cs="Times New Roman"/>
          <w:spacing w:val="0"/>
          <w:szCs w:val="26"/>
          <w:rtl w:val="true"/>
        </w:rPr>
        <w:t xml:space="preserve"> ו</w:t>
      </w:r>
      <w:r>
        <w:rPr>
          <w:rFonts w:cs="Times New Roman" w:ascii="Times New Roman" w:hAnsi="Times New Roman"/>
          <w:spacing w:val="0"/>
          <w:szCs w:val="26"/>
          <w:rtl w:val="true"/>
        </w:rPr>
        <w:t>-</w:t>
      </w:r>
      <w:hyperlink r:id="rId33">
        <w:r>
          <w:rPr>
            <w:rStyle w:val="Hyperlink"/>
            <w:rFonts w:cs="Times New Roman" w:ascii="Times New Roman" w:hAnsi="Times New Roman"/>
            <w:spacing w:val="0"/>
            <w:szCs w:val="26"/>
          </w:rPr>
          <w:t>40</w:t>
        </w:r>
        <w:r>
          <w:rPr>
            <w:rStyle w:val="Hyperlink"/>
            <w:rFonts w:ascii="Times New Roman" w:hAnsi="Times New Roman" w:cs="Times New Roman"/>
            <w:spacing w:val="0"/>
            <w:szCs w:val="26"/>
            <w:rtl w:val="true"/>
          </w:rPr>
          <w:t>יג</w:t>
        </w:r>
      </w:hyperlink>
      <w:r>
        <w:rPr>
          <w:rFonts w:ascii="Times New Roman" w:hAnsi="Times New Roman" w:cs="Times New Roman"/>
          <w:spacing w:val="0"/>
          <w:szCs w:val="26"/>
          <w:rtl w:val="true"/>
        </w:rPr>
        <w:t xml:space="preserve"> ל</w:t>
      </w:r>
      <w:hyperlink r:id="rId34">
        <w:r>
          <w:rPr>
            <w:rStyle w:val="Hyperlink"/>
            <w:rFonts w:ascii="Times New Roman" w:hAnsi="Times New Roman" w:cs="Times New Roman"/>
            <w:spacing w:val="0"/>
            <w:szCs w:val="26"/>
            <w:rtl w:val="true"/>
          </w:rPr>
          <w:t>חוק</w:t>
        </w:r>
        <w:r>
          <w:rPr>
            <w:rStyle w:val="Hyperlink"/>
            <w:rFonts w:ascii="Times New Roman" w:hAnsi="Times New Roman" w:cs="Times New Roman"/>
            <w:spacing w:val="0"/>
            <w:szCs w:val="26"/>
            <w:rtl w:val="true"/>
          </w:rPr>
          <w:t xml:space="preserve"> </w:t>
        </w:r>
        <w:r>
          <w:rPr>
            <w:rStyle w:val="Hyperlink"/>
            <w:rFonts w:ascii="Times New Roman" w:hAnsi="Times New Roman" w:cs="Times New Roman"/>
            <w:spacing w:val="0"/>
            <w:szCs w:val="26"/>
            <w:rtl w:val="true"/>
          </w:rPr>
          <w:t>העונשין</w:t>
        </w:r>
      </w:hyperlink>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תוך שהוא מתמקד בעיקר במדיניות הענישה הנהוגה ובנסיבות חיצוניות לעבירה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שמקומן לא בשלב קביעת המתחם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אלא בשלב גזירת העונש</w:t>
      </w:r>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ascii="Times New Roman" w:hAnsi="Times New Roman" w:cs="Times New Roman"/>
          <w:spacing w:val="0"/>
          <w:szCs w:val="26"/>
          <w:rtl w:val="true"/>
        </w:rPr>
        <w:t>מה גם שגזרי הדין עליהם נשען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המחוזי כדי לבסס את מדיניות הענישה הנוהגת בעבירות שוד בנסיבות דומות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אינם מלמדים בהכרח על טווח הענישה הרלוונטי לעניינו של המערער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המשותף להם הוא כי נכתבו על ידי אותו מותב</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המותב שגם ישב בעניינו של המערער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וכן שבכולם נקבע מתחם ענישה בין שלוש לשש שנות מאסר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ובכולם נגזר עונש של ארבע שנות מאסר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אך למעשה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ברובם מקרים אשר ביניהם לבין העבירות שעבר המערער בענייננו הבדלים כאלה ואחרים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אשר מביאים למסקנה שלא ניתן ללמוד בהכרח מטווח הענישה שם לענייננו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לכל היותר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גזרי דין אלה מציבים בפנינו את מדיניות הענישה הנוהגת בעבירות שוד באופן כללי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אך מעבר לכך</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לאור הערעורים שהתקבלו על חלק מגזרי הדין עולה כי מדיניות הענישה הנוהגת בעבירות שוד עומדת בטווח נמוך בהרבה מזה שנקבע בעניינים אלה – בין </w:t>
      </w:r>
      <w:r>
        <w:rPr>
          <w:rFonts w:cs="Times New Roman" w:ascii="Times New Roman" w:hAnsi="Times New Roman"/>
          <w:spacing w:val="0"/>
          <w:szCs w:val="26"/>
        </w:rPr>
        <w:t>32</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חודשי מאסר בפועל ל</w:t>
      </w:r>
      <w:r>
        <w:rPr>
          <w:rFonts w:cs="Times New Roman" w:ascii="Times New Roman" w:hAnsi="Times New Roman"/>
          <w:spacing w:val="0"/>
          <w:szCs w:val="26"/>
          <w:rtl w:val="true"/>
        </w:rPr>
        <w:t>-</w:t>
      </w:r>
      <w:r>
        <w:rPr>
          <w:rFonts w:cs="Times New Roman" w:ascii="Times New Roman" w:hAnsi="Times New Roman"/>
          <w:spacing w:val="0"/>
          <w:szCs w:val="26"/>
        </w:rPr>
        <w:t>42</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חודשי מאסר בפועל </w:t>
      </w:r>
      <w:r>
        <w:rPr>
          <w:rFonts w:cs="Times New Roman" w:ascii="Times New Roman" w:hAnsi="Times New Roman"/>
          <w:spacing w:val="0"/>
          <w:szCs w:val="26"/>
          <w:rtl w:val="true"/>
        </w:rPr>
        <w:t>(</w:t>
      </w:r>
      <w:r>
        <w:rPr>
          <w:rFonts w:ascii="Times New Roman" w:hAnsi="Times New Roman" w:cs="Times New Roman"/>
          <w:spacing w:val="0"/>
          <w:szCs w:val="26"/>
          <w:rtl w:val="true"/>
        </w:rPr>
        <w:t>עניין כאברי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כמו כן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לא ניתן להתעלם מכך שהמתחם נקבע</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כך על פי גזר הדין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גם בעקבות ריבוי מקרי השוד והצורך בהרתעה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גם שיקולים אלה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מקומם אינו בשלב קביעת המתחם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אלא בשלב גזירת העונש במסגרתו</w:t>
      </w:r>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ascii="Times New Roman" w:hAnsi="Times New Roman" w:cs="Times New Roman"/>
          <w:spacing w:val="0"/>
          <w:szCs w:val="26"/>
          <w:rtl w:val="true"/>
        </w:rPr>
        <w:t>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שב ומבהיר את האופן שבו על בתי</w:t>
      </w:r>
      <w:r>
        <w:rPr>
          <w:rFonts w:cs="Times New Roman" w:ascii="Times New Roman" w:hAnsi="Times New Roman"/>
          <w:spacing w:val="0"/>
          <w:szCs w:val="26"/>
          <w:rtl w:val="true"/>
        </w:rPr>
        <w:t>-</w:t>
      </w:r>
      <w:r>
        <w:rPr>
          <w:rFonts w:ascii="Times New Roman" w:hAnsi="Times New Roman" w:cs="Times New Roman"/>
          <w:spacing w:val="0"/>
          <w:szCs w:val="26"/>
          <w:rtl w:val="true"/>
        </w:rPr>
        <w:t xml:space="preserve">המשפט לגזור עונשים לאחר תיקון </w:t>
      </w:r>
      <w:r>
        <w:rPr>
          <w:rFonts w:cs="Times New Roman" w:ascii="Times New Roman" w:hAnsi="Times New Roman"/>
          <w:spacing w:val="0"/>
          <w:szCs w:val="26"/>
        </w:rPr>
        <w:t>113</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w:t>
      </w:r>
      <w:hyperlink r:id="rId35">
        <w:r>
          <w:rPr>
            <w:rStyle w:val="Hyperlink"/>
            <w:rFonts w:ascii="Times New Roman" w:hAnsi="Times New Roman" w:cs="Times New Roman"/>
            <w:spacing w:val="0"/>
            <w:szCs w:val="26"/>
            <w:rtl w:val="true"/>
          </w:rPr>
          <w:t>חוק</w:t>
        </w:r>
        <w:r>
          <w:rPr>
            <w:rStyle w:val="Hyperlink"/>
            <w:rFonts w:ascii="Times New Roman" w:hAnsi="Times New Roman" w:cs="Times New Roman"/>
            <w:spacing w:val="0"/>
            <w:szCs w:val="26"/>
            <w:rtl w:val="true"/>
          </w:rPr>
          <w:t xml:space="preserve"> </w:t>
        </w:r>
        <w:r>
          <w:rPr>
            <w:rStyle w:val="Hyperlink"/>
            <w:rFonts w:ascii="Times New Roman" w:hAnsi="Times New Roman" w:cs="Times New Roman"/>
            <w:spacing w:val="0"/>
            <w:szCs w:val="26"/>
            <w:rtl w:val="true"/>
          </w:rPr>
          <w:t>העונשין</w:t>
        </w:r>
      </w:hyperlink>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ascii="Times New Roman" w:hAnsi="Times New Roman" w:cs="Times New Roman"/>
          <w:spacing w:val="0"/>
          <w:szCs w:val="26"/>
          <w:rtl w:val="true"/>
        </w:rPr>
        <w:t>בשלב הראשון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על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לקבוע האם הנאשם הורשע בכמה עבירות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במקרה כזה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להבדיל ממקרה בו הורשע נאשם בעבירה אחת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על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לבחון האם מדובר בעבירות המהוות אירוע אחד או מספר אירועים ובהתאם לקבוע מתחם ענישה הולם לכל אירוע בנפרד ולאחר מכן הוא רשאי לגזור עונש נפרד לכל אירוע או עונש כולל לכל האירועים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במידה וייגזרו עונשים נפרדים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יש גם לקבוע את מידת החפיפה או ההצטברות ביניהם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לעניין השאלה כיצד יש לקבוע את מתחם הענישה כאשר לפני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מספר עבירות המהוות אירוע אחד</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סבור השופט ג</w:t>
      </w:r>
      <w:r>
        <w:rPr>
          <w:rFonts w:cs="Times New Roman" w:ascii="Times New Roman" w:hAnsi="Times New Roman"/>
          <w:spacing w:val="0"/>
          <w:szCs w:val="26"/>
          <w:rtl w:val="true"/>
        </w:rPr>
        <w:t>'</w:t>
      </w:r>
      <w:r>
        <w:rPr>
          <w:rFonts w:ascii="Times New Roman" w:hAnsi="Times New Roman" w:cs="Times New Roman"/>
          <w:spacing w:val="0"/>
          <w:szCs w:val="26"/>
          <w:rtl w:val="true"/>
        </w:rPr>
        <w:t>ובראן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כי גם בעניין זה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הכלל המנחה הוא שמירת ההלימה בין חומרת המעשה וגובה העונש</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זאת בהתחשבות בערך החברתי שמגלות כל העבירות יחדיו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מדיניות הענישה הנוהגת של כל אחת מן העבירות ולבסוף גם הנסיבות של כל העבירות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ייתכן ובמקרה אחד</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עבירה אחת תהיה הדומיננטית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והעבירות האחרות יהיו קשורות באותה העבירה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במקרה מסוג כזה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ייתכן ויהיה ראוי לומר כי מתחם הענישה ההולם את העבירות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מבוסס בעיקרו על העבירה הדומיננטית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מכל מקום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אין תשובה אחת ויחידה לעניין זה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וכל מקרה ידרוש הנמקה יסודית</w:t>
      </w:r>
      <w:r>
        <w:rPr>
          <w:rFonts w:cs="Times New Roman" w:ascii="Times New Roman" w:hAnsi="Times New Roman"/>
          <w:spacing w:val="0"/>
          <w:szCs w:val="26"/>
          <w:rtl w:val="true"/>
        </w:rPr>
        <w:t>.</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ascii="Times New Roman" w:hAnsi="Times New Roman" w:cs="Times New Roman"/>
          <w:spacing w:val="0"/>
          <w:szCs w:val="26"/>
          <w:rtl w:val="true"/>
        </w:rPr>
        <w:t>בשלב השני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על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לקבוע את מתחם הענישה ההולם לעבירה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בהקשר זה צוין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כי היות שבקביעת מתחם הענישה על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להתחשב לא רק בסוג העבירה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אלא גם בנסיבות ביצועה ובמידת האשם של הנאשם בביצועה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סביר כי לאותה עבירה יהיו כמה מתחמי ענישה שונים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הנגזרים כל אחד מנסיבות שונות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עם זאת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אין להמציא הגלגל מחדש בכל מקרה ומקרה בו אנו נדרשים לקביעת מתחם עונש הולם אך גם לא ראוי לקבוע מתחם ענישה כללי ורחב לעבירה אשר לה ייתכנו נסיבות שונות ורבות ברמות חומרה משתנות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כפי שהטעימה השופטת ארבל</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גודלו של מתחם הענישה ייקבע ממקרה למקרה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בהתאם לנסיבות מעשה העבירה ולשונותן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ויודגש</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הנסיבות בהן יש להתחשב לצורך קביעת מתחם הענישה ההולם הן נסיבות הקשורות בעבירה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ולא נסיבות שאינן קשורות בביצועה </w:t>
      </w:r>
      <w:r>
        <w:rPr>
          <w:rFonts w:cs="Times New Roman" w:ascii="Times New Roman" w:hAnsi="Times New Roman"/>
          <w:spacing w:val="0"/>
          <w:szCs w:val="26"/>
          <w:rtl w:val="true"/>
        </w:rPr>
        <w:t>(</w:t>
      </w:r>
      <w:r>
        <w:rPr>
          <w:rFonts w:ascii="Times New Roman" w:hAnsi="Times New Roman" w:cs="Times New Roman"/>
          <w:spacing w:val="0"/>
          <w:szCs w:val="26"/>
          <w:rtl w:val="true"/>
        </w:rPr>
        <w:t>אשר מקומן רק בשלב גזירת עונשו של הנאשם</w:t>
      </w:r>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ascii="Times New Roman" w:hAnsi="Times New Roman" w:cs="Times New Roman"/>
          <w:spacing w:val="0"/>
          <w:szCs w:val="26"/>
          <w:rtl w:val="true"/>
        </w:rPr>
        <w:t>לבסוף</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בשלב השלישי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יגזור את עונשו של הנאשם בתוך המתחם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תוך בחינת נסיבות שאינן קשורות לביצוע העבירה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בשלב זה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רשאי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להתחשב בנסיבות שאינן קשורות בביצוע העבירה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נוסף על נסיבות אלה המנויות </w:t>
      </w:r>
      <w:hyperlink r:id="rId36">
        <w:r>
          <w:rPr>
            <w:rStyle w:val="Hyperlink"/>
            <w:rFonts w:ascii="Times New Roman" w:hAnsi="Times New Roman" w:cs="Times New Roman"/>
            <w:spacing w:val="0"/>
            <w:szCs w:val="26"/>
            <w:rtl w:val="true"/>
          </w:rPr>
          <w:t>בסעיף</w:t>
        </w:r>
        <w:r>
          <w:rPr>
            <w:rStyle w:val="Hyperlink"/>
            <w:rFonts w:ascii="Times New Roman" w:hAnsi="Times New Roman" w:cs="Times New Roman"/>
            <w:spacing w:val="0"/>
            <w:szCs w:val="26"/>
            <w:rtl w:val="true"/>
          </w:rPr>
          <w:t xml:space="preserve"> </w:t>
        </w:r>
        <w:r>
          <w:rPr>
            <w:rStyle w:val="Hyperlink"/>
            <w:rFonts w:cs="Times New Roman" w:ascii="Times New Roman" w:hAnsi="Times New Roman"/>
            <w:spacing w:val="0"/>
            <w:szCs w:val="26"/>
          </w:rPr>
          <w:t>40</w:t>
        </w:r>
        <w:r>
          <w:rPr>
            <w:rStyle w:val="Hyperlink"/>
            <w:rFonts w:ascii="Times New Roman" w:hAnsi="Times New Roman" w:cs="Times New Roman"/>
            <w:spacing w:val="0"/>
            <w:szCs w:val="26"/>
            <w:rtl w:val="true"/>
          </w:rPr>
          <w:t>יא</w:t>
        </w:r>
      </w:hyperlink>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רשאי ביהמ</w:t>
      </w:r>
      <w:r>
        <w:rPr>
          <w:rFonts w:cs="Times New Roman" w:ascii="Times New Roman" w:hAnsi="Times New Roman"/>
          <w:spacing w:val="0"/>
          <w:szCs w:val="26"/>
          <w:rtl w:val="true"/>
        </w:rPr>
        <w:t>"</w:t>
      </w:r>
      <w:r>
        <w:rPr>
          <w:rFonts w:ascii="Times New Roman" w:hAnsi="Times New Roman" w:cs="Times New Roman"/>
          <w:spacing w:val="0"/>
          <w:szCs w:val="26"/>
          <w:rtl w:val="true"/>
        </w:rPr>
        <w:t xml:space="preserve">ש גם לחרוג ממתחם הענישה ההולם בשל שיקולי שיקום או הגנה על שלום הציבור לפי הוראות </w:t>
      </w:r>
      <w:hyperlink r:id="rId37">
        <w:r>
          <w:rPr>
            <w:rStyle w:val="Hyperlink"/>
            <w:rFonts w:ascii="Times New Roman" w:hAnsi="Times New Roman" w:cs="Times New Roman"/>
            <w:spacing w:val="0"/>
            <w:szCs w:val="26"/>
            <w:rtl w:val="true"/>
          </w:rPr>
          <w:t>סעיפים</w:t>
        </w:r>
        <w:r>
          <w:rPr>
            <w:rStyle w:val="Hyperlink"/>
            <w:rFonts w:ascii="Times New Roman" w:hAnsi="Times New Roman" w:cs="Times New Roman"/>
            <w:spacing w:val="0"/>
            <w:szCs w:val="26"/>
            <w:rtl w:val="true"/>
          </w:rPr>
          <w:t xml:space="preserve"> </w:t>
        </w:r>
        <w:r>
          <w:rPr>
            <w:rStyle w:val="Hyperlink"/>
            <w:rFonts w:cs="Times New Roman" w:ascii="Times New Roman" w:hAnsi="Times New Roman"/>
            <w:spacing w:val="0"/>
            <w:szCs w:val="26"/>
          </w:rPr>
          <w:t>40</w:t>
        </w:r>
        <w:r>
          <w:rPr>
            <w:rStyle w:val="Hyperlink"/>
            <w:rFonts w:ascii="Times New Roman" w:hAnsi="Times New Roman" w:cs="Times New Roman"/>
            <w:spacing w:val="0"/>
            <w:szCs w:val="26"/>
            <w:rtl w:val="true"/>
          </w:rPr>
          <w:t>ד</w:t>
        </w:r>
      </w:hyperlink>
      <w:r>
        <w:rPr>
          <w:rFonts w:ascii="Times New Roman" w:hAnsi="Times New Roman" w:cs="Times New Roman"/>
          <w:spacing w:val="0"/>
          <w:szCs w:val="26"/>
          <w:rtl w:val="true"/>
        </w:rPr>
        <w:t xml:space="preserve"> ו</w:t>
      </w:r>
      <w:r>
        <w:rPr>
          <w:rFonts w:cs="Times New Roman" w:ascii="Times New Roman" w:hAnsi="Times New Roman"/>
          <w:spacing w:val="0"/>
          <w:szCs w:val="26"/>
          <w:rtl w:val="true"/>
        </w:rPr>
        <w:t>-</w:t>
      </w:r>
      <w:hyperlink r:id="rId38">
        <w:r>
          <w:rPr>
            <w:rStyle w:val="Hyperlink"/>
            <w:rFonts w:cs="Times New Roman" w:ascii="Times New Roman" w:hAnsi="Times New Roman"/>
            <w:spacing w:val="0"/>
            <w:szCs w:val="26"/>
          </w:rPr>
          <w:t>40</w:t>
        </w:r>
        <w:r>
          <w:rPr>
            <w:rStyle w:val="Hyperlink"/>
            <w:rFonts w:ascii="Times New Roman" w:hAnsi="Times New Roman" w:cs="Times New Roman"/>
            <w:spacing w:val="0"/>
            <w:szCs w:val="26"/>
            <w:rtl w:val="true"/>
          </w:rPr>
          <w:t>ה</w:t>
        </w:r>
      </w:hyperlink>
      <w:r>
        <w:rPr>
          <w:rFonts w:ascii="Times New Roman" w:hAnsi="Times New Roman" w:cs="Times New Roman"/>
          <w:spacing w:val="0"/>
          <w:szCs w:val="26"/>
          <w:rtl w:val="true"/>
        </w:rPr>
        <w:t xml:space="preserve"> ל</w:t>
      </w:r>
      <w:hyperlink r:id="rId39">
        <w:r>
          <w:rPr>
            <w:rStyle w:val="Hyperlink"/>
            <w:rFonts w:ascii="Times New Roman" w:hAnsi="Times New Roman" w:cs="Times New Roman"/>
            <w:spacing w:val="0"/>
            <w:szCs w:val="26"/>
            <w:rtl w:val="true"/>
          </w:rPr>
          <w:t>חוק</w:t>
        </w:r>
        <w:r>
          <w:rPr>
            <w:rStyle w:val="Hyperlink"/>
            <w:rFonts w:ascii="Times New Roman" w:hAnsi="Times New Roman" w:cs="Times New Roman"/>
            <w:spacing w:val="0"/>
            <w:szCs w:val="26"/>
            <w:rtl w:val="true"/>
          </w:rPr>
          <w:t xml:space="preserve"> </w:t>
        </w:r>
        <w:r>
          <w:rPr>
            <w:rStyle w:val="Hyperlink"/>
            <w:rFonts w:ascii="Times New Roman" w:hAnsi="Times New Roman" w:cs="Times New Roman"/>
            <w:spacing w:val="0"/>
            <w:szCs w:val="26"/>
            <w:rtl w:val="true"/>
          </w:rPr>
          <w:t>העונשין</w:t>
        </w:r>
      </w:hyperlink>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כמו כן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יכול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להתחשב בשני שיקולים נוספים בעת גזירת העונש</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הרתעה אישית והרתעת הרבים </w:t>
      </w:r>
      <w:r>
        <w:rPr>
          <w:rFonts w:cs="Times New Roman" w:ascii="Times New Roman" w:hAnsi="Times New Roman"/>
          <w:spacing w:val="0"/>
          <w:szCs w:val="26"/>
          <w:rtl w:val="true"/>
        </w:rPr>
        <w:t>(</w:t>
      </w:r>
      <w:hyperlink r:id="rId40">
        <w:r>
          <w:rPr>
            <w:rStyle w:val="Hyperlink"/>
            <w:rFonts w:ascii="Times New Roman" w:hAnsi="Times New Roman" w:cs="Times New Roman"/>
            <w:spacing w:val="0"/>
            <w:szCs w:val="26"/>
            <w:rtl w:val="true"/>
          </w:rPr>
          <w:t>סעיפים</w:t>
        </w:r>
        <w:r>
          <w:rPr>
            <w:rStyle w:val="Hyperlink"/>
            <w:rFonts w:ascii="Times New Roman" w:hAnsi="Times New Roman" w:cs="Times New Roman"/>
            <w:spacing w:val="0"/>
            <w:szCs w:val="26"/>
            <w:rtl w:val="true"/>
          </w:rPr>
          <w:t xml:space="preserve"> </w:t>
        </w:r>
        <w:r>
          <w:rPr>
            <w:rStyle w:val="Hyperlink"/>
            <w:rFonts w:cs="Times New Roman" w:ascii="Times New Roman" w:hAnsi="Times New Roman"/>
            <w:spacing w:val="0"/>
            <w:szCs w:val="26"/>
          </w:rPr>
          <w:t>40</w:t>
        </w:r>
        <w:r>
          <w:rPr>
            <w:rStyle w:val="Hyperlink"/>
            <w:rFonts w:ascii="Times New Roman" w:hAnsi="Times New Roman" w:cs="Times New Roman"/>
            <w:spacing w:val="0"/>
            <w:szCs w:val="26"/>
            <w:rtl w:val="true"/>
          </w:rPr>
          <w:t>ו</w:t>
        </w:r>
      </w:hyperlink>
      <w:r>
        <w:rPr>
          <w:rFonts w:ascii="Times New Roman" w:hAnsi="Times New Roman" w:cs="Times New Roman"/>
          <w:spacing w:val="0"/>
          <w:szCs w:val="26"/>
          <w:rtl w:val="true"/>
        </w:rPr>
        <w:t xml:space="preserve"> ו</w:t>
      </w:r>
      <w:r>
        <w:rPr>
          <w:rFonts w:cs="Times New Roman" w:ascii="Times New Roman" w:hAnsi="Times New Roman"/>
          <w:spacing w:val="0"/>
          <w:szCs w:val="26"/>
          <w:rtl w:val="true"/>
        </w:rPr>
        <w:t>-</w:t>
      </w:r>
      <w:hyperlink r:id="rId41">
        <w:r>
          <w:rPr>
            <w:rStyle w:val="Hyperlink"/>
            <w:rFonts w:cs="Times New Roman" w:ascii="Times New Roman" w:hAnsi="Times New Roman"/>
            <w:spacing w:val="0"/>
            <w:szCs w:val="26"/>
          </w:rPr>
          <w:t>40</w:t>
        </w:r>
        <w:r>
          <w:rPr>
            <w:rStyle w:val="Hyperlink"/>
            <w:rFonts w:ascii="Times New Roman" w:hAnsi="Times New Roman" w:cs="Times New Roman"/>
            <w:spacing w:val="0"/>
            <w:szCs w:val="26"/>
            <w:rtl w:val="true"/>
          </w:rPr>
          <w:t>ז</w:t>
        </w:r>
      </w:hyperlink>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אך אין בהם כדי להביא לחריגה ממתחם הענישה ההולם</w:t>
      </w:r>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ascii="Times New Roman" w:hAnsi="Times New Roman" w:cs="Times New Roman"/>
          <w:spacing w:val="0"/>
          <w:szCs w:val="26"/>
          <w:rtl w:val="true"/>
        </w:rPr>
        <w:t>בענייננו אכן מדובר באירוע אחד</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אשר יש לקבוע לו מתחם עונש אחד שיהלום את העבירות בו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כן צדק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המחוזי בקבעו כי העבירה המרכזית היא עבירת השוד ופנה לדון בטווח הענישה הראוי לה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שכן בנסיבות ענייננו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אכן עבירות קשירת הקשר והחזקת הסכין הן משניות לעבירת השוד בנסיבות מחמירות</w:t>
      </w:r>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ascii="Times New Roman" w:hAnsi="Times New Roman" w:cs="Times New Roman"/>
          <w:spacing w:val="0"/>
          <w:szCs w:val="26"/>
          <w:rtl w:val="true"/>
        </w:rPr>
        <w:t>קביעת מתחם ענישה הולם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כאמור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בימ</w:t>
      </w:r>
      <w:r>
        <w:rPr>
          <w:rFonts w:cs="Times New Roman" w:ascii="Times New Roman" w:hAnsi="Times New Roman"/>
          <w:spacing w:val="0"/>
          <w:szCs w:val="26"/>
          <w:rtl w:val="true"/>
        </w:rPr>
        <w:t>"</w:t>
      </w:r>
      <w:r>
        <w:rPr>
          <w:rFonts w:ascii="Times New Roman" w:hAnsi="Times New Roman" w:cs="Times New Roman"/>
          <w:spacing w:val="0"/>
          <w:szCs w:val="26"/>
          <w:rtl w:val="true"/>
        </w:rPr>
        <w:t xml:space="preserve">ש זה קבע שבעבירות שוד בנסיבות מחמירות לפי </w:t>
      </w:r>
      <w:hyperlink r:id="rId42">
        <w:r>
          <w:rPr>
            <w:rStyle w:val="Hyperlink"/>
            <w:rFonts w:ascii="Times New Roman" w:hAnsi="Times New Roman" w:cs="Times New Roman"/>
            <w:spacing w:val="0"/>
            <w:szCs w:val="26"/>
            <w:rtl w:val="true"/>
          </w:rPr>
          <w:t>סעיף</w:t>
        </w:r>
        <w:r>
          <w:rPr>
            <w:rStyle w:val="Hyperlink"/>
            <w:rFonts w:ascii="Times New Roman" w:hAnsi="Times New Roman" w:cs="Times New Roman"/>
            <w:spacing w:val="0"/>
            <w:szCs w:val="26"/>
            <w:rtl w:val="true"/>
          </w:rPr>
          <w:t xml:space="preserve"> </w:t>
        </w:r>
        <w:r>
          <w:rPr>
            <w:rStyle w:val="Hyperlink"/>
            <w:rFonts w:cs="Times New Roman" w:ascii="Times New Roman" w:hAnsi="Times New Roman"/>
            <w:spacing w:val="0"/>
            <w:szCs w:val="26"/>
          </w:rPr>
          <w:t>402</w:t>
        </w:r>
        <w:r>
          <w:rPr>
            <w:rStyle w:val="Hyperlink"/>
            <w:rFonts w:cs="Times New Roman" w:ascii="Times New Roman" w:hAnsi="Times New Roman"/>
            <w:spacing w:val="0"/>
            <w:szCs w:val="26"/>
            <w:rtl w:val="true"/>
          </w:rPr>
          <w:t>(</w:t>
        </w:r>
        <w:r>
          <w:rPr>
            <w:rStyle w:val="Hyperlink"/>
            <w:rFonts w:ascii="Times New Roman" w:hAnsi="Times New Roman" w:cs="Times New Roman"/>
            <w:spacing w:val="0"/>
            <w:szCs w:val="26"/>
            <w:rtl w:val="true"/>
          </w:rPr>
          <w:t>ב</w:t>
        </w:r>
        <w:r>
          <w:rPr>
            <w:rStyle w:val="Hyperlink"/>
            <w:rFonts w:cs="Times New Roman" w:ascii="Times New Roman" w:hAnsi="Times New Roman"/>
            <w:spacing w:val="0"/>
            <w:szCs w:val="26"/>
            <w:rtl w:val="true"/>
          </w:rPr>
          <w:t>)</w:t>
        </w:r>
      </w:hyperlink>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באירוע אחד עם עבירת קשירת קשר לפי </w:t>
      </w:r>
      <w:hyperlink r:id="rId43">
        <w:r>
          <w:rPr>
            <w:rStyle w:val="Hyperlink"/>
            <w:rFonts w:ascii="Times New Roman" w:hAnsi="Times New Roman" w:cs="Times New Roman"/>
            <w:spacing w:val="0"/>
            <w:szCs w:val="26"/>
            <w:rtl w:val="true"/>
          </w:rPr>
          <w:t>סעיף</w:t>
        </w:r>
        <w:r>
          <w:rPr>
            <w:rStyle w:val="Hyperlink"/>
            <w:rFonts w:ascii="Times New Roman" w:hAnsi="Times New Roman" w:cs="Times New Roman"/>
            <w:spacing w:val="0"/>
            <w:szCs w:val="26"/>
            <w:rtl w:val="true"/>
          </w:rPr>
          <w:t xml:space="preserve"> </w:t>
        </w:r>
        <w:r>
          <w:rPr>
            <w:rStyle w:val="Hyperlink"/>
            <w:rFonts w:cs="Times New Roman" w:ascii="Times New Roman" w:hAnsi="Times New Roman"/>
            <w:spacing w:val="0"/>
            <w:szCs w:val="26"/>
          </w:rPr>
          <w:t>499</w:t>
        </w:r>
      </w:hyperlink>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לחוק</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נעה מדיניות הענישה הנוהגת בין </w:t>
      </w:r>
      <w:r>
        <w:rPr>
          <w:rFonts w:cs="Times New Roman" w:ascii="Times New Roman" w:hAnsi="Times New Roman"/>
          <w:spacing w:val="0"/>
          <w:szCs w:val="26"/>
        </w:rPr>
        <w:t>32</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חודשי מאסר בפועל ל</w:t>
      </w:r>
      <w:r>
        <w:rPr>
          <w:rFonts w:cs="Times New Roman" w:ascii="Times New Roman" w:hAnsi="Times New Roman"/>
          <w:spacing w:val="0"/>
          <w:szCs w:val="26"/>
          <w:rtl w:val="true"/>
        </w:rPr>
        <w:t>-</w:t>
      </w:r>
      <w:r>
        <w:rPr>
          <w:rFonts w:cs="Times New Roman" w:ascii="Times New Roman" w:hAnsi="Times New Roman"/>
          <w:spacing w:val="0"/>
          <w:szCs w:val="26"/>
        </w:rPr>
        <w:t>42</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חודשי מאסר בפועל </w:t>
      </w:r>
      <w:r>
        <w:rPr>
          <w:rFonts w:cs="Times New Roman" w:ascii="Times New Roman" w:hAnsi="Times New Roman"/>
          <w:spacing w:val="0"/>
          <w:szCs w:val="26"/>
          <w:rtl w:val="true"/>
        </w:rPr>
        <w:t>(</w:t>
      </w:r>
      <w:r>
        <w:rPr>
          <w:rFonts w:ascii="Times New Roman" w:hAnsi="Times New Roman" w:cs="Times New Roman"/>
          <w:spacing w:val="0"/>
          <w:szCs w:val="26"/>
          <w:rtl w:val="true"/>
        </w:rPr>
        <w:t>עניין כאברי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זאת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לעומת קביעותיו של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המחוזי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עם זאת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יש להתחשב גם בכך</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שמדיניות ענישה זו שהצביע עליה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נוגעת לנסיבות מעט פחות חמורות מענייננו וכן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כי מדובר במדיניות הענישה הנוהגת טרם כניסתו לתוקף של תיקון </w:t>
      </w:r>
      <w:r>
        <w:rPr>
          <w:rFonts w:cs="Times New Roman" w:ascii="Times New Roman" w:hAnsi="Times New Roman"/>
          <w:spacing w:val="0"/>
          <w:szCs w:val="26"/>
        </w:rPr>
        <w:t>113</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משמעות הדבר היא שלתוך מדיניות הענישה הנהוגה שוקללו גם הערך החברתי של העבירות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הנסיבות בהן היא נעברה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וגם הנסיבות החיצוניות לה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בהתאם לכל נאשם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בבואנו לקבוע את מתחם הענישה ההולם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יש להתחשב עתה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כאמור לעיל</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לא רק במדיניות הענישה הנוהגת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אלא גם בערך החברתי שנפגע מביצוע העבירה ומידת הפגיעה בו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וגם בנסיבות העבירה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בחינה כאמור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מובילה למסקנה כי מתחם הענישה ההולם לעבירות שעבר המערער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בנסיבותיהן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הוא בין </w:t>
      </w:r>
      <w:r>
        <w:rPr>
          <w:rFonts w:cs="Times New Roman" w:ascii="Times New Roman" w:hAnsi="Times New Roman"/>
          <w:spacing w:val="0"/>
          <w:szCs w:val="26"/>
        </w:rPr>
        <w:t>34</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חודשי מאסר בפועל ל</w:t>
      </w:r>
      <w:r>
        <w:rPr>
          <w:rFonts w:cs="Times New Roman" w:ascii="Times New Roman" w:hAnsi="Times New Roman"/>
          <w:spacing w:val="0"/>
          <w:szCs w:val="26"/>
          <w:rtl w:val="true"/>
        </w:rPr>
        <w:t>-</w:t>
      </w:r>
      <w:r>
        <w:rPr>
          <w:rFonts w:cs="Times New Roman" w:ascii="Times New Roman" w:hAnsi="Times New Roman"/>
          <w:spacing w:val="0"/>
          <w:szCs w:val="26"/>
        </w:rPr>
        <w:t>46</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חודשי מאסר בפועל</w:t>
      </w:r>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pPr>
      <w:r>
        <w:rPr>
          <w:rFonts w:ascii="Times New Roman" w:hAnsi="Times New Roman" w:cs="Times New Roman"/>
          <w:spacing w:val="0"/>
          <w:szCs w:val="26"/>
          <w:rtl w:val="true"/>
        </w:rPr>
        <w:t>השלב השלישי – גזירת עונשו של המערער בתוך המתחם</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בשלב זה יש לדון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כאמור לעיל</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בנסיבות חיצוניות לעבירה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המנויות בסעיפים </w:t>
      </w:r>
      <w:r>
        <w:rPr>
          <w:rFonts w:cs="Times New Roman" w:ascii="Times New Roman" w:hAnsi="Times New Roman"/>
          <w:spacing w:val="0"/>
          <w:szCs w:val="26"/>
        </w:rPr>
        <w:t>40</w:t>
      </w:r>
      <w:r>
        <w:rPr>
          <w:rFonts w:ascii="Times New Roman" w:hAnsi="Times New Roman" w:cs="Times New Roman"/>
          <w:spacing w:val="0"/>
          <w:szCs w:val="26"/>
          <w:rtl w:val="true"/>
        </w:rPr>
        <w:t>ד</w:t>
      </w:r>
      <w:r>
        <w:rPr>
          <w:rFonts w:cs="Times New Roman" w:ascii="Times New Roman" w:hAnsi="Times New Roman"/>
          <w:spacing w:val="0"/>
          <w:szCs w:val="26"/>
          <w:rtl w:val="true"/>
        </w:rPr>
        <w:t xml:space="preserve">, </w:t>
      </w:r>
      <w:r>
        <w:rPr>
          <w:rFonts w:cs="Times New Roman" w:ascii="Times New Roman" w:hAnsi="Times New Roman"/>
          <w:spacing w:val="0"/>
          <w:szCs w:val="26"/>
        </w:rPr>
        <w:t>40</w:t>
      </w:r>
      <w:r>
        <w:rPr>
          <w:rFonts w:ascii="Times New Roman" w:hAnsi="Times New Roman" w:cs="Times New Roman"/>
          <w:spacing w:val="0"/>
          <w:szCs w:val="26"/>
          <w:rtl w:val="true"/>
        </w:rPr>
        <w:t>ה</w:t>
      </w:r>
      <w:r>
        <w:rPr>
          <w:rFonts w:cs="Times New Roman" w:ascii="Times New Roman" w:hAnsi="Times New Roman"/>
          <w:spacing w:val="0"/>
          <w:szCs w:val="26"/>
          <w:rtl w:val="true"/>
        </w:rPr>
        <w:t xml:space="preserve">, </w:t>
      </w:r>
      <w:r>
        <w:rPr>
          <w:rFonts w:cs="Times New Roman" w:ascii="Times New Roman" w:hAnsi="Times New Roman"/>
          <w:spacing w:val="0"/>
          <w:szCs w:val="26"/>
        </w:rPr>
        <w:t>40</w:t>
      </w:r>
      <w:r>
        <w:rPr>
          <w:rFonts w:ascii="Times New Roman" w:hAnsi="Times New Roman" w:cs="Times New Roman"/>
          <w:spacing w:val="0"/>
          <w:szCs w:val="26"/>
          <w:rtl w:val="true"/>
        </w:rPr>
        <w:t>ו</w:t>
      </w:r>
      <w:r>
        <w:rPr>
          <w:rFonts w:cs="Times New Roman" w:ascii="Times New Roman" w:hAnsi="Times New Roman"/>
          <w:spacing w:val="0"/>
          <w:szCs w:val="26"/>
          <w:rtl w:val="true"/>
        </w:rPr>
        <w:t xml:space="preserve">, </w:t>
      </w:r>
      <w:r>
        <w:rPr>
          <w:rFonts w:cs="Times New Roman" w:ascii="Times New Roman" w:hAnsi="Times New Roman"/>
          <w:spacing w:val="0"/>
          <w:szCs w:val="26"/>
        </w:rPr>
        <w:t>40</w:t>
      </w:r>
      <w:r>
        <w:rPr>
          <w:rFonts w:ascii="Times New Roman" w:hAnsi="Times New Roman" w:cs="Times New Roman"/>
          <w:spacing w:val="0"/>
          <w:szCs w:val="26"/>
          <w:rtl w:val="true"/>
        </w:rPr>
        <w:t>ז ו</w:t>
      </w:r>
      <w:r>
        <w:rPr>
          <w:rFonts w:cs="Times New Roman" w:ascii="Times New Roman" w:hAnsi="Times New Roman"/>
          <w:spacing w:val="0"/>
          <w:szCs w:val="26"/>
          <w:rtl w:val="true"/>
        </w:rPr>
        <w:t>-</w:t>
      </w:r>
      <w:r>
        <w:rPr>
          <w:rFonts w:cs="Times New Roman" w:ascii="Times New Roman" w:hAnsi="Times New Roman"/>
          <w:spacing w:val="0"/>
          <w:szCs w:val="26"/>
        </w:rPr>
        <w:t>40</w:t>
      </w:r>
      <w:r>
        <w:rPr>
          <w:rFonts w:ascii="Times New Roman" w:hAnsi="Times New Roman" w:cs="Times New Roman"/>
          <w:spacing w:val="0"/>
          <w:szCs w:val="26"/>
          <w:rtl w:val="true"/>
        </w:rPr>
        <w:t>יא ל</w:t>
      </w:r>
      <w:hyperlink r:id="rId44">
        <w:r>
          <w:rPr>
            <w:rStyle w:val="Hyperlink"/>
            <w:rFonts w:ascii="Times New Roman" w:hAnsi="Times New Roman" w:cs="Times New Roman"/>
            <w:spacing w:val="0"/>
            <w:szCs w:val="26"/>
            <w:rtl w:val="true"/>
          </w:rPr>
          <w:t>חוק</w:t>
        </w:r>
        <w:r>
          <w:rPr>
            <w:rStyle w:val="Hyperlink"/>
            <w:rFonts w:ascii="Times New Roman" w:hAnsi="Times New Roman" w:cs="Times New Roman"/>
            <w:spacing w:val="0"/>
            <w:szCs w:val="26"/>
            <w:rtl w:val="true"/>
          </w:rPr>
          <w:t xml:space="preserve"> </w:t>
        </w:r>
        <w:r>
          <w:rPr>
            <w:rStyle w:val="Hyperlink"/>
            <w:rFonts w:ascii="Times New Roman" w:hAnsi="Times New Roman" w:cs="Times New Roman"/>
            <w:spacing w:val="0"/>
            <w:szCs w:val="26"/>
            <w:rtl w:val="true"/>
          </w:rPr>
          <w:t>העונשין</w:t>
        </w:r>
      </w:hyperlink>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שני החריגים הקבועים בחוק</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המצדיקים חריגה ממתחם הענישה – שיקום והגנה על שלום הציבור – אינם מתקיימים בענייננו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הראשון לאור הכחשת המערער את מעשיו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והשני לאור עברו הנקי והתסקיר שצופה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על אף קשייו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את השתלבותו של המערער בתעסוקה וחינוך</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עם זאת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יש להתחשב בשיקול הרתעת הרבים </w:t>
      </w:r>
      <w:r>
        <w:rPr>
          <w:rFonts w:cs="Times New Roman" w:ascii="Times New Roman" w:hAnsi="Times New Roman"/>
          <w:spacing w:val="0"/>
          <w:szCs w:val="26"/>
          <w:rtl w:val="true"/>
        </w:rPr>
        <w:t>(</w:t>
      </w:r>
      <w:r>
        <w:rPr>
          <w:rFonts w:ascii="Times New Roman" w:hAnsi="Times New Roman" w:cs="Times New Roman"/>
          <w:spacing w:val="0"/>
          <w:szCs w:val="26"/>
          <w:rtl w:val="true"/>
        </w:rPr>
        <w:t xml:space="preserve">סעיף </w:t>
      </w:r>
      <w:r>
        <w:rPr>
          <w:rFonts w:cs="Times New Roman" w:ascii="Times New Roman" w:hAnsi="Times New Roman"/>
          <w:spacing w:val="0"/>
          <w:szCs w:val="26"/>
        </w:rPr>
        <w:t>40</w:t>
      </w:r>
      <w:r>
        <w:rPr>
          <w:rFonts w:ascii="Times New Roman" w:hAnsi="Times New Roman" w:cs="Times New Roman"/>
          <w:spacing w:val="0"/>
          <w:szCs w:val="26"/>
          <w:rtl w:val="true"/>
        </w:rPr>
        <w:t>ז ל</w:t>
      </w:r>
      <w:hyperlink r:id="rId45">
        <w:r>
          <w:rPr>
            <w:rStyle w:val="Hyperlink"/>
            <w:rFonts w:ascii="Times New Roman" w:hAnsi="Times New Roman" w:cs="Times New Roman"/>
            <w:spacing w:val="0"/>
            <w:szCs w:val="26"/>
            <w:rtl w:val="true"/>
          </w:rPr>
          <w:t>חוק</w:t>
        </w:r>
        <w:r>
          <w:rPr>
            <w:rStyle w:val="Hyperlink"/>
            <w:rFonts w:ascii="Times New Roman" w:hAnsi="Times New Roman" w:cs="Times New Roman"/>
            <w:spacing w:val="0"/>
            <w:szCs w:val="26"/>
            <w:rtl w:val="true"/>
          </w:rPr>
          <w:t xml:space="preserve"> </w:t>
        </w:r>
        <w:r>
          <w:rPr>
            <w:rStyle w:val="Hyperlink"/>
            <w:rFonts w:ascii="Times New Roman" w:hAnsi="Times New Roman" w:cs="Times New Roman"/>
            <w:spacing w:val="0"/>
            <w:szCs w:val="26"/>
            <w:rtl w:val="true"/>
          </w:rPr>
          <w:t>העונשין</w:t>
        </w:r>
      </w:hyperlink>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בהקשר זה צוין</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בין היתר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כי בעניין כאברי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נקבע כי יש ביכולתם של שופטי הערכאה הדיונית להעריך כאשר בפניהם קיימת תופעה שהתגברה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כגון תופעת השוד ותופעות אחרות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ולהחמיר בענישה לגביה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גם כשאין בפניהם ראיות אמפיריות להתגברות זו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אינו מוצא לנכון לשנות מקביעה זו בענייננו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אך מדגיש</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לאור משמעות העניין לאחר תיקון </w:t>
      </w:r>
      <w:r>
        <w:rPr>
          <w:rFonts w:cs="Times New Roman" w:ascii="Times New Roman" w:hAnsi="Times New Roman"/>
          <w:spacing w:val="0"/>
          <w:szCs w:val="26"/>
        </w:rPr>
        <w:t>113</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שאין בשיקול זה כדי להשפיע על מתחם הענישה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ולהביא לכך שהעונש שייגזר יחרוג ממנו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כן חוזר ביהמ</w:t>
      </w:r>
      <w:r>
        <w:rPr>
          <w:rFonts w:cs="Times New Roman" w:ascii="Times New Roman" w:hAnsi="Times New Roman"/>
          <w:spacing w:val="0"/>
          <w:szCs w:val="26"/>
          <w:rtl w:val="true"/>
        </w:rPr>
        <w:t>"</w:t>
      </w:r>
      <w:r>
        <w:rPr>
          <w:rFonts w:ascii="Times New Roman" w:hAnsi="Times New Roman" w:cs="Times New Roman"/>
          <w:spacing w:val="0"/>
          <w:szCs w:val="26"/>
          <w:rtl w:val="true"/>
        </w:rPr>
        <w:t>ש על שכבר נפסק</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כי אין מקום להתחשבות במוצאו האתני או השתייכותו הקבוצתית של נאשם בעת קביעת עונשו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ודאי שכך הדבר גם אחרי תיקון </w:t>
      </w:r>
      <w:r>
        <w:rPr>
          <w:rFonts w:cs="Times New Roman" w:ascii="Times New Roman" w:hAnsi="Times New Roman"/>
          <w:spacing w:val="0"/>
          <w:szCs w:val="26"/>
        </w:rPr>
        <w:t>113</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בכל אחד משלביו</w:t>
      </w:r>
      <w:r>
        <w:rPr>
          <w:rFonts w:cs="Times New Roman" w:ascii="Times New Roman" w:hAnsi="Times New Roman"/>
          <w:spacing w:val="0"/>
          <w:szCs w:val="26"/>
          <w:rtl w:val="true"/>
        </w:rPr>
        <w:t xml:space="preserve">. </w:t>
      </w:r>
    </w:p>
    <w:p>
      <w:pPr>
        <w:pStyle w:val="Ruller42"/>
        <w:numPr>
          <w:ilvl w:val="0"/>
          <w:numId w:val="0"/>
        </w:numPr>
        <w:pBdr>
          <w:top w:val="single" w:sz="4" w:space="1" w:color="000000"/>
          <w:bottom w:val="single" w:sz="4" w:space="1" w:color="000000"/>
        </w:pBdr>
        <w:spacing w:lineRule="exact" w:line="320" w:before="0" w:after="120"/>
        <w:ind w:hanging="0" w:start="0" w:end="0"/>
        <w:jc w:val="both"/>
        <w:rPr>
          <w:rFonts w:ascii="Times New Roman" w:hAnsi="Times New Roman" w:cs="Times New Roman"/>
          <w:spacing w:val="0"/>
          <w:szCs w:val="26"/>
        </w:rPr>
      </w:pPr>
      <w:r>
        <w:rPr>
          <w:rFonts w:ascii="Times New Roman" w:hAnsi="Times New Roman" w:cs="Times New Roman"/>
          <w:spacing w:val="0"/>
          <w:szCs w:val="26"/>
          <w:rtl w:val="true"/>
        </w:rPr>
        <w:t>בחינת השיקולים לעיל בענייננו מעלה תמונה לא פשוטה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מעשיו של המערער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אף שכללו אלימות</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אינם ברף החמור ביותר</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ולזכותו עומדים גילו ועברו הנקי</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כמו גם נסיבות חייו</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מאידך</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לא ניתן להתעלם במסגרת גזירת העונש מהצורך בהרתעה בעבירות אלה</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 xml:space="preserve">בסופו של יום הוחלט להקל בעונש המאסר בפועל שנגזר על המערער ולהעמידו על </w:t>
      </w:r>
      <w:r>
        <w:rPr>
          <w:rFonts w:cs="Times New Roman" w:ascii="Times New Roman" w:hAnsi="Times New Roman"/>
          <w:spacing w:val="0"/>
          <w:szCs w:val="26"/>
        </w:rPr>
        <w:t>36</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חודשי מאסר בפועל</w:t>
      </w:r>
      <w:r>
        <w:rPr>
          <w:rFonts w:cs="Times New Roman" w:ascii="Times New Roman" w:hAnsi="Times New Roman"/>
          <w:spacing w:val="0"/>
          <w:szCs w:val="26"/>
          <w:rtl w:val="true"/>
        </w:rPr>
        <w:t xml:space="preserve">. </w:t>
      </w:r>
      <w:r>
        <w:rPr>
          <w:rFonts w:ascii="Times New Roman" w:hAnsi="Times New Roman" w:cs="Times New Roman"/>
          <w:spacing w:val="0"/>
          <w:szCs w:val="26"/>
          <w:rtl w:val="true"/>
        </w:rPr>
        <w:t>שאר רכיבי העונש יוותרו על כנם</w:t>
      </w:r>
      <w:r>
        <w:rPr>
          <w:rFonts w:cs="Times New Roman" w:ascii="Times New Roman" w:hAnsi="Times New Roman"/>
          <w:spacing w:val="0"/>
          <w:szCs w:val="26"/>
          <w:rtl w:val="true"/>
        </w:rPr>
        <w:t>.</w:t>
      </w:r>
    </w:p>
    <w:p>
      <w:pPr>
        <w:pStyle w:val="Normal"/>
        <w:tabs>
          <w:tab w:val="clear" w:pos="720"/>
          <w:tab w:val="left" w:pos="2552" w:leader="none"/>
        </w:tabs>
        <w:ind w:end="0"/>
        <w:jc w:val="start"/>
        <w:rPr>
          <w:rFonts w:ascii="Times New Roman" w:hAnsi="Times New Roman" w:cs="Times New Roman"/>
          <w:spacing w:val="0"/>
          <w:szCs w:val="26"/>
        </w:rPr>
      </w:pPr>
      <w:r>
        <w:rPr>
          <w:rFonts w:cs="Times New Roman"/>
          <w:spacing w:val="0"/>
          <w:szCs w:val="26"/>
          <w:rtl w:val="true"/>
        </w:rPr>
      </w:r>
      <w:bookmarkStart w:id="14" w:name="ABSTRACT_END"/>
      <w:bookmarkStart w:id="15" w:name="ABSTRACT_END"/>
      <w:bookmarkEnd w:id="15"/>
    </w:p>
    <w:p>
      <w:pPr>
        <w:pStyle w:val="Normal"/>
        <w:tabs>
          <w:tab w:val="clear" w:pos="720"/>
          <w:tab w:val="left" w:pos="2552" w:leader="none"/>
        </w:tabs>
        <w:ind w:end="0"/>
        <w:jc w:val="start"/>
        <w:rPr/>
      </w:pPr>
      <w:r>
        <w:rPr>
          <w:rtl w:val="true"/>
        </w:rPr>
      </w:r>
      <w:bookmarkStart w:id="16" w:name="Links_Start"/>
      <w:bookmarkStart w:id="17" w:name="LawTable"/>
      <w:bookmarkStart w:id="18" w:name="Links_Start"/>
      <w:bookmarkStart w:id="19" w:name="LawTable"/>
      <w:bookmarkEnd w:id="18"/>
      <w:bookmarkEnd w:id="19"/>
    </w:p>
    <w:tbl>
      <w:tblPr>
        <w:bidiVisual w:val="true"/>
        <w:tblW w:w="8522" w:type="dxa"/>
        <w:jc w:val="end"/>
        <w:tblInd w:w="0" w:type="dxa"/>
        <w:tblLayout w:type="fixed"/>
        <w:tblCellMar>
          <w:top w:w="0" w:type="dxa"/>
          <w:start w:w="108" w:type="dxa"/>
          <w:bottom w:w="0" w:type="dxa"/>
          <w:end w:w="108" w:type="dxa"/>
        </w:tblCellMar>
      </w:tblPr>
      <w:tblGrid>
        <w:gridCol w:w="8522"/>
      </w:tblGrid>
      <w:tr>
        <w:trPr/>
        <w:tc>
          <w:tcPr>
            <w:tcW w:w="8522" w:type="dxa"/>
            <w:tcBorders/>
          </w:tcPr>
          <w:p>
            <w:pPr>
              <w:pStyle w:val="DocumentHead"/>
              <w:ind w:end="0"/>
              <w:jc w:val="center"/>
              <w:rPr/>
            </w:pPr>
            <w:bookmarkStart w:id="20" w:name="PsakDin"/>
            <w:bookmarkStart w:id="21" w:name="secretary"/>
            <w:bookmarkStart w:id="22" w:name="BeginProtocol"/>
            <w:bookmarkEnd w:id="20"/>
            <w:bookmarkEnd w:id="21"/>
            <w:bookmarkEnd w:id="22"/>
            <w:r>
              <w:rPr>
                <w:rtl w:val="true"/>
              </w:rPr>
              <w:t>פסק</w:t>
            </w:r>
            <w:r>
              <w:rPr>
                <w:rtl w:val="true"/>
              </w:rPr>
              <w:t>-</w:t>
            </w:r>
            <w:r>
              <w:rPr>
                <w:rtl w:val="true"/>
              </w:rPr>
              <w:t>דין</w:t>
            </w:r>
          </w:p>
        </w:tc>
      </w:tr>
    </w:tbl>
    <w:p>
      <w:pPr>
        <w:pStyle w:val="BODYVERDICT"/>
        <w:ind w:end="0"/>
        <w:jc w:val="start"/>
        <w:rPr/>
      </w:pPr>
      <w:r>
        <w:rPr>
          <w:rtl w:val="true"/>
        </w:rPr>
      </w:r>
    </w:p>
    <w:p>
      <w:pPr>
        <w:pStyle w:val="BODYVERDICT"/>
        <w:ind w:end="0"/>
        <w:jc w:val="start"/>
        <w:rPr>
          <w:rFonts w:cs="Miriam"/>
          <w:sz w:val="24"/>
          <w:szCs w:val="24"/>
          <w:u w:val="single"/>
        </w:rPr>
      </w:pPr>
      <w:bookmarkStart w:id="23" w:name="Writer_Name"/>
      <w:bookmarkEnd w:id="23"/>
      <w:r>
        <w:rPr>
          <w:rFonts w:cs="Miriam"/>
          <w:sz w:val="24"/>
          <w:sz w:val="24"/>
          <w:szCs w:val="24"/>
          <w:u w:val="single"/>
          <w:rtl w:val="true"/>
        </w:rPr>
        <w:t>השופט</w:t>
      </w:r>
      <w:r>
        <w:rPr>
          <w:rFonts w:cs="Times New Roman"/>
          <w:sz w:val="24"/>
          <w:sz w:val="24"/>
          <w:szCs w:val="24"/>
          <w:u w:val="single"/>
          <w:rtl w:val="true"/>
        </w:rPr>
        <w:t xml:space="preserve"> </w:t>
      </w:r>
      <w:r>
        <w:rPr>
          <w:rFonts w:cs="Miriam"/>
          <w:sz w:val="24"/>
          <w:sz w:val="24"/>
          <w:szCs w:val="24"/>
          <w:u w:val="single"/>
          <w:rtl w:val="true"/>
        </w:rPr>
        <w:t>ס</w:t>
      </w:r>
      <w:r>
        <w:rPr>
          <w:rFonts w:cs="Miriam"/>
          <w:sz w:val="24"/>
          <w:szCs w:val="24"/>
          <w:u w:val="single"/>
          <w:rtl w:val="true"/>
        </w:rPr>
        <w:t xml:space="preserve">' </w:t>
      </w:r>
      <w:r>
        <w:rPr>
          <w:rFonts w:cs="Miriam"/>
          <w:sz w:val="24"/>
          <w:sz w:val="24"/>
          <w:szCs w:val="24"/>
          <w:u w:val="single"/>
          <w:rtl w:val="true"/>
        </w:rPr>
        <w:t>ג</w:t>
      </w:r>
      <w:r>
        <w:rPr>
          <w:rFonts w:cs="Miriam"/>
          <w:sz w:val="24"/>
          <w:szCs w:val="24"/>
          <w:u w:val="single"/>
          <w:rtl w:val="true"/>
        </w:rPr>
        <w:t>'</w:t>
      </w:r>
      <w:r>
        <w:rPr>
          <w:rFonts w:cs="Miriam"/>
          <w:sz w:val="24"/>
          <w:sz w:val="24"/>
          <w:szCs w:val="24"/>
          <w:u w:val="single"/>
          <w:rtl w:val="true"/>
        </w:rPr>
        <w:t>ובראן</w:t>
      </w:r>
      <w:r>
        <w:rPr>
          <w:rFonts w:cs="Miriam"/>
          <w:sz w:val="24"/>
          <w:szCs w:val="24"/>
          <w:rtl w:val="true"/>
        </w:rPr>
        <w:t>:</w:t>
      </w:r>
    </w:p>
    <w:p>
      <w:pPr>
        <w:pStyle w:val="Ruller41"/>
        <w:ind w:end="0"/>
        <w:jc w:val="center"/>
        <w:rPr>
          <w:rFonts w:cs="Miriam"/>
          <w:sz w:val="24"/>
          <w:szCs w:val="24"/>
          <w:u w:val="single"/>
        </w:rPr>
      </w:pPr>
      <w:r>
        <w:rPr>
          <w:rFonts w:cs="Miriam"/>
          <w:sz w:val="24"/>
          <w:szCs w:val="24"/>
          <w:u w:val="single"/>
          <w:rtl w:val="true"/>
        </w:rPr>
      </w:r>
      <w:bookmarkStart w:id="24" w:name="Start_Write"/>
      <w:bookmarkStart w:id="25" w:name="Start_Write"/>
      <w:bookmarkEnd w:id="25"/>
    </w:p>
    <w:p>
      <w:pPr>
        <w:pStyle w:val="Ruller42"/>
        <w:numPr>
          <w:ilvl w:val="0"/>
          <w:numId w:val="1"/>
        </w:numPr>
        <w:ind w:end="0"/>
        <w:jc w:val="both"/>
        <w:rPr/>
      </w:pPr>
      <w:r>
        <w:rPr>
          <w:rtl w:val="true"/>
        </w:rPr>
        <w:t xml:space="preserve">לפנינו ערעור על גזר דינו של בית המשפט המחוזי בתל אביב – יפו </w:t>
      </w:r>
      <w:r>
        <w:rPr>
          <w:rtl w:val="true"/>
        </w:rPr>
        <w:t>(</w:t>
      </w:r>
      <w:r>
        <w:rPr>
          <w:rtl w:val="true"/>
        </w:rPr>
        <w:t xml:space="preserve">השופט </w:t>
      </w:r>
      <w:r>
        <w:rPr>
          <w:rFonts w:cs="Miriam"/>
          <w:b/>
          <w:b/>
          <w:spacing w:val="0"/>
          <w:szCs w:val="24"/>
          <w:rtl w:val="true"/>
        </w:rPr>
        <w:t>צ</w:t>
      </w:r>
      <w:r>
        <w:rPr>
          <w:rFonts w:cs="Miriam"/>
          <w:b/>
          <w:spacing w:val="0"/>
          <w:szCs w:val="24"/>
          <w:rtl w:val="true"/>
        </w:rPr>
        <w:t xml:space="preserve">' </w:t>
      </w:r>
      <w:r>
        <w:rPr>
          <w:rFonts w:cs="Miriam"/>
          <w:b/>
          <w:b/>
          <w:spacing w:val="0"/>
          <w:szCs w:val="24"/>
          <w:rtl w:val="true"/>
        </w:rPr>
        <w:t>גורפינקל</w:t>
      </w:r>
      <w:r>
        <w:rPr>
          <w:rtl w:val="true"/>
        </w:rPr>
        <w:t xml:space="preserve">) </w:t>
      </w:r>
      <w:r>
        <w:rPr>
          <w:rtl w:val="true"/>
        </w:rPr>
        <w:t>ב</w:t>
      </w:r>
      <w:hyperlink r:id="rId46">
        <w:r>
          <w:rPr>
            <w:rStyle w:val="Hyperlink"/>
            <w:color w:val="0000FF"/>
            <w:u w:val="single"/>
            <w:rtl w:val="true"/>
          </w:rPr>
          <w:t>ת</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26136-04-12</w:t>
        </w:r>
      </w:hyperlink>
      <w:r>
        <w:rPr>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tl w:val="true"/>
        </w:rPr>
        <w:t xml:space="preserve">מיום </w:t>
      </w:r>
      <w:r>
        <w:rPr/>
        <w:t>30.12.2012</w:t>
      </w:r>
      <w:r>
        <w:rPr>
          <w:rtl w:val="true"/>
        </w:rPr>
        <w:t xml:space="preserve">, </w:t>
      </w:r>
      <w:r>
        <w:rPr>
          <w:rtl w:val="true"/>
        </w:rPr>
        <w:t>במסגרתו הושת על המערער עונש של ארבע שנות מאסר</w:t>
      </w:r>
      <w:r>
        <w:rPr>
          <w:rtl w:val="true"/>
        </w:rPr>
        <w:t xml:space="preserve">; </w:t>
      </w:r>
      <w:r>
        <w:rPr/>
        <w:t>12</w:t>
      </w:r>
      <w:r>
        <w:rPr>
          <w:rtl w:val="true"/>
        </w:rPr>
        <w:t xml:space="preserve"> </w:t>
      </w:r>
      <w:r>
        <w:rPr>
          <w:rtl w:val="true"/>
        </w:rPr>
        <w:t>חודשי מאסר על תנאי למשך שלוש שנים משחרורו</w:t>
      </w:r>
      <w:r>
        <w:rPr>
          <w:rtl w:val="true"/>
        </w:rPr>
        <w:t xml:space="preserve">, </w:t>
      </w:r>
      <w:r>
        <w:rPr>
          <w:rtl w:val="true"/>
        </w:rPr>
        <w:t>שלא יעבור עבירת שוד</w:t>
      </w:r>
      <w:r>
        <w:rPr>
          <w:rtl w:val="true"/>
        </w:rPr>
        <w:t xml:space="preserve">, </w:t>
      </w:r>
      <w:r>
        <w:rPr>
          <w:rtl w:val="true"/>
        </w:rPr>
        <w:t>עבירה של אלימות כלפי אדם אחר או עבירת רכוש מסוג פשע וכן ארבעה חודשי מאסר על תנאי למשך שלוש שנים</w:t>
      </w:r>
      <w:r>
        <w:rPr>
          <w:rtl w:val="true"/>
        </w:rPr>
        <w:t xml:space="preserve">, </w:t>
      </w:r>
      <w:r>
        <w:rPr>
          <w:rtl w:val="true"/>
        </w:rPr>
        <w:t>שלא יעבור עבירה של החזקת סכין</w:t>
      </w:r>
      <w:r>
        <w:rPr>
          <w:rtl w:val="true"/>
        </w:rPr>
        <w:t xml:space="preserve">.  </w:t>
      </w:r>
    </w:p>
    <w:p>
      <w:pPr>
        <w:pStyle w:val="Ruller42"/>
        <w:numPr>
          <w:ilvl w:val="0"/>
          <w:numId w:val="0"/>
        </w:numPr>
        <w:spacing w:lineRule="auto" w:line="480"/>
        <w:ind w:hanging="0" w:start="0" w:end="0"/>
        <w:jc w:val="both"/>
        <w:rPr/>
      </w:pPr>
      <w:r>
        <w:rPr>
          <w:rtl w:val="true"/>
        </w:rPr>
      </w:r>
    </w:p>
    <w:p>
      <w:pPr>
        <w:pStyle w:val="Ruller41"/>
        <w:ind w:end="0"/>
        <w:jc w:val="both"/>
        <w:rPr>
          <w:rFonts w:ascii="Century" w:hAnsi="Century"/>
          <w:b/>
          <w:spacing w:val="0"/>
          <w:szCs w:val="24"/>
        </w:rPr>
      </w:pPr>
      <w:r>
        <w:rPr>
          <w:rFonts w:ascii="Century" w:hAnsi="Century" w:cs="Miriam"/>
          <w:b/>
          <w:b/>
          <w:spacing w:val="0"/>
          <w:szCs w:val="24"/>
          <w:rtl w:val="true"/>
        </w:rPr>
        <w:t>כתב</w:t>
      </w:r>
      <w:r>
        <w:rPr>
          <w:rFonts w:ascii="Century" w:hAnsi="Century" w:eastAsia="Century" w:cs="Century"/>
          <w:b/>
          <w:b/>
          <w:spacing w:val="0"/>
          <w:szCs w:val="24"/>
          <w:rtl w:val="true"/>
        </w:rPr>
        <w:t xml:space="preserve"> </w:t>
      </w:r>
      <w:r>
        <w:rPr>
          <w:rFonts w:ascii="Century" w:hAnsi="Century" w:cs="Miriam"/>
          <w:b/>
          <w:b/>
          <w:spacing w:val="0"/>
          <w:szCs w:val="24"/>
          <w:rtl w:val="true"/>
        </w:rPr>
        <w:t>האישום</w:t>
      </w:r>
    </w:p>
    <w:p>
      <w:pPr>
        <w:pStyle w:val="Ruller41"/>
        <w:spacing w:lineRule="auto" w:line="240"/>
        <w:ind w:end="0"/>
        <w:jc w:val="both"/>
        <w:rPr>
          <w:rFonts w:ascii="Century" w:hAnsi="Century" w:cs="Miriam"/>
          <w:b/>
          <w:spacing w:val="0"/>
          <w:szCs w:val="24"/>
        </w:rPr>
      </w:pPr>
      <w:r>
        <w:rPr>
          <w:rFonts w:cs="Miriam" w:ascii="Century" w:hAnsi="Century"/>
          <w:b/>
          <w:spacing w:val="0"/>
          <w:szCs w:val="24"/>
          <w:rtl w:val="true"/>
        </w:rPr>
      </w:r>
    </w:p>
    <w:p>
      <w:pPr>
        <w:pStyle w:val="Ruller42"/>
        <w:numPr>
          <w:ilvl w:val="0"/>
          <w:numId w:val="1"/>
        </w:numPr>
        <w:ind w:end="0"/>
        <w:jc w:val="both"/>
        <w:rPr/>
      </w:pPr>
      <w:r>
        <w:rPr>
          <w:rtl w:val="true"/>
        </w:rPr>
        <w:t xml:space="preserve">המערער הוא מבקש מקלט בן </w:t>
      </w:r>
      <w:r>
        <w:rPr/>
        <w:t>21</w:t>
      </w:r>
      <w:r>
        <w:rPr>
          <w:rtl w:val="true"/>
        </w:rPr>
        <w:t xml:space="preserve"> </w:t>
      </w:r>
      <w:r>
        <w:rPr>
          <w:rtl w:val="true"/>
        </w:rPr>
        <w:t>מאריתראה</w:t>
      </w:r>
      <w:r>
        <w:rPr>
          <w:rtl w:val="true"/>
        </w:rPr>
        <w:t xml:space="preserve">, </w:t>
      </w:r>
      <w:r>
        <w:rPr>
          <w:rtl w:val="true"/>
        </w:rPr>
        <w:t xml:space="preserve">שהגיע לישראל בשנת </w:t>
      </w:r>
      <w:r>
        <w:rPr/>
        <w:t>2010</w:t>
      </w:r>
      <w:r>
        <w:rPr>
          <w:rtl w:val="true"/>
        </w:rPr>
        <w:t xml:space="preserve">. </w:t>
      </w:r>
      <w:r>
        <w:rPr>
          <w:rtl w:val="true"/>
        </w:rPr>
        <w:t xml:space="preserve">כתב האישום מתאר אירוע מתמשך שהתרחש ביום </w:t>
      </w:r>
      <w:r>
        <w:rPr/>
        <w:t>12.4.2012</w:t>
      </w:r>
      <w:r>
        <w:rPr>
          <w:rtl w:val="true"/>
        </w:rPr>
        <w:t xml:space="preserve"> </w:t>
      </w:r>
      <w:r>
        <w:rPr>
          <w:rtl w:val="true"/>
        </w:rPr>
        <w:t>לאחר חצות הלילה</w:t>
      </w:r>
      <w:r>
        <w:rPr>
          <w:rtl w:val="true"/>
        </w:rPr>
        <w:t xml:space="preserve">, </w:t>
      </w:r>
      <w:r>
        <w:rPr>
          <w:rtl w:val="true"/>
        </w:rPr>
        <w:t>כאשר בתחילתו</w:t>
      </w:r>
      <w:r>
        <w:rPr>
          <w:rtl w:val="true"/>
        </w:rPr>
        <w:t xml:space="preserve">, </w:t>
      </w:r>
      <w:r>
        <w:rPr>
          <w:rtl w:val="true"/>
        </w:rPr>
        <w:t>קשר המערער קשר עם שני אנשים נוספים</w:t>
      </w:r>
      <w:r>
        <w:rPr>
          <w:rtl w:val="true"/>
        </w:rPr>
        <w:t xml:space="preserve">, </w:t>
      </w:r>
      <w:r>
        <w:rPr>
          <w:rtl w:val="true"/>
        </w:rPr>
        <w:t>במטרה לשדוד אדם</w:t>
      </w:r>
      <w:r>
        <w:rPr>
          <w:rtl w:val="true"/>
        </w:rPr>
        <w:t xml:space="preserve">. </w:t>
      </w:r>
      <w:r>
        <w:rPr>
          <w:rtl w:val="true"/>
        </w:rPr>
        <w:t>כשעתיים לאחר מכן</w:t>
      </w:r>
      <w:r>
        <w:rPr>
          <w:rtl w:val="true"/>
        </w:rPr>
        <w:t xml:space="preserve">, </w:t>
      </w:r>
      <w:r>
        <w:rPr>
          <w:rtl w:val="true"/>
        </w:rPr>
        <w:t>פגש המערער במתלונן ברחוב לוינסקי בתל אביב</w:t>
      </w:r>
      <w:r>
        <w:rPr>
          <w:rtl w:val="true"/>
        </w:rPr>
        <w:t xml:space="preserve">. </w:t>
      </w:r>
      <w:r>
        <w:rPr>
          <w:rtl w:val="true"/>
        </w:rPr>
        <w:t>המערער פנה אל המתלונן והציע לו מקומות בילוי עבורו</w:t>
      </w:r>
      <w:r>
        <w:rPr>
          <w:rtl w:val="true"/>
        </w:rPr>
        <w:t xml:space="preserve">, </w:t>
      </w:r>
      <w:r>
        <w:rPr>
          <w:rtl w:val="true"/>
        </w:rPr>
        <w:t>תוך שהוא מנסה לגרום לכך שימשיך עימו לפינת הרחוב</w:t>
      </w:r>
      <w:r>
        <w:rPr>
          <w:rtl w:val="true"/>
        </w:rPr>
        <w:t xml:space="preserve">. </w:t>
      </w:r>
      <w:r>
        <w:rPr>
          <w:rtl w:val="true"/>
        </w:rPr>
        <w:t>המתלונן סירב להצעותיו של המערער והסביר לו כי בכוונתו לעצור מונית</w:t>
      </w:r>
      <w:r>
        <w:rPr>
          <w:rtl w:val="true"/>
        </w:rPr>
        <w:t xml:space="preserve">. </w:t>
      </w:r>
      <w:r>
        <w:rPr>
          <w:rtl w:val="true"/>
        </w:rPr>
        <w:t>אלא שאז</w:t>
      </w:r>
      <w:r>
        <w:rPr>
          <w:rtl w:val="true"/>
        </w:rPr>
        <w:t xml:space="preserve">, </w:t>
      </w:r>
      <w:r>
        <w:rPr>
          <w:rtl w:val="true"/>
        </w:rPr>
        <w:t>בעצת המערער</w:t>
      </w:r>
      <w:r>
        <w:rPr>
          <w:rtl w:val="true"/>
        </w:rPr>
        <w:t xml:space="preserve">, </w:t>
      </w:r>
      <w:r>
        <w:rPr>
          <w:rtl w:val="true"/>
        </w:rPr>
        <w:t>עבר המתלונן עימו לצידו השני של הכביש</w:t>
      </w:r>
      <w:r>
        <w:rPr>
          <w:rtl w:val="true"/>
        </w:rPr>
        <w:t xml:space="preserve">, </w:t>
      </w:r>
      <w:r>
        <w:rPr>
          <w:rtl w:val="true"/>
        </w:rPr>
        <w:t>שם ארבו לו שני השותפים האחרים לקשר</w:t>
      </w:r>
      <w:r>
        <w:rPr>
          <w:rtl w:val="true"/>
        </w:rPr>
        <w:t xml:space="preserve">. </w:t>
      </w:r>
      <w:r>
        <w:rPr>
          <w:rtl w:val="true"/>
        </w:rPr>
        <w:t>לאחר שחצו את הכביש</w:t>
      </w:r>
      <w:r>
        <w:rPr>
          <w:rtl w:val="true"/>
        </w:rPr>
        <w:t xml:space="preserve">, </w:t>
      </w:r>
      <w:r>
        <w:rPr>
          <w:rtl w:val="true"/>
        </w:rPr>
        <w:t>אחז המערער בידו של המתלונן וניסה</w:t>
      </w:r>
      <w:r>
        <w:rPr>
          <w:rtl w:val="true"/>
        </w:rPr>
        <w:t xml:space="preserve">, </w:t>
      </w:r>
      <w:r>
        <w:rPr>
          <w:rtl w:val="true"/>
        </w:rPr>
        <w:t>יחד עם שותפיו</w:t>
      </w:r>
      <w:r>
        <w:rPr>
          <w:rtl w:val="true"/>
        </w:rPr>
        <w:t xml:space="preserve">, </w:t>
      </w:r>
      <w:r>
        <w:rPr>
          <w:rtl w:val="true"/>
        </w:rPr>
        <w:t>לגנוב את תיקו של המתלונן</w:t>
      </w:r>
      <w:r>
        <w:rPr>
          <w:rtl w:val="true"/>
        </w:rPr>
        <w:t xml:space="preserve">. </w:t>
      </w:r>
      <w:r>
        <w:rPr>
          <w:rtl w:val="true"/>
        </w:rPr>
        <w:t>המערער ושותפיו דחפו את המתלונן</w:t>
      </w:r>
      <w:r>
        <w:rPr>
          <w:rtl w:val="true"/>
        </w:rPr>
        <w:t xml:space="preserve">, </w:t>
      </w:r>
      <w:r>
        <w:rPr>
          <w:rtl w:val="true"/>
        </w:rPr>
        <w:t>אשר התנגד למעשיהם</w:t>
      </w:r>
      <w:r>
        <w:rPr>
          <w:rtl w:val="true"/>
        </w:rPr>
        <w:t xml:space="preserve">, </w:t>
      </w:r>
      <w:r>
        <w:rPr>
          <w:rtl w:val="true"/>
        </w:rPr>
        <w:t>והפילו אותו על הרצפה</w:t>
      </w:r>
      <w:r>
        <w:rPr>
          <w:rtl w:val="true"/>
        </w:rPr>
        <w:t xml:space="preserve">. </w:t>
      </w:r>
      <w:r>
        <w:rPr>
          <w:rtl w:val="true"/>
        </w:rPr>
        <w:t>המערער הכה את המתלונן באגרופיו</w:t>
      </w:r>
      <w:r>
        <w:rPr>
          <w:rtl w:val="true"/>
        </w:rPr>
        <w:t xml:space="preserve">, </w:t>
      </w:r>
      <w:r>
        <w:rPr>
          <w:rtl w:val="true"/>
        </w:rPr>
        <w:t>במטרה לגנוב את הרכוש שעליו</w:t>
      </w:r>
      <w:r>
        <w:rPr>
          <w:rtl w:val="true"/>
        </w:rPr>
        <w:t xml:space="preserve">. </w:t>
      </w:r>
      <w:r>
        <w:rPr>
          <w:rtl w:val="true"/>
        </w:rPr>
        <w:t>במהלך התקיפה</w:t>
      </w:r>
      <w:r>
        <w:rPr>
          <w:rtl w:val="true"/>
        </w:rPr>
        <w:t xml:space="preserve">, </w:t>
      </w:r>
      <w:r>
        <w:rPr>
          <w:rtl w:val="true"/>
        </w:rPr>
        <w:t xml:space="preserve">קרעו המערער ושותפיו את כיסי מכנסיו של המתלונן וגנבו ארנק ובו </w:t>
      </w:r>
      <w:r>
        <w:rPr/>
        <w:t>500</w:t>
      </w:r>
      <w:r>
        <w:rPr>
          <w:rtl w:val="true"/>
        </w:rPr>
        <w:t xml:space="preserve"> </w:t>
      </w:r>
      <w:r>
        <w:rPr>
          <w:rtl w:val="true"/>
        </w:rPr>
        <w:t>ש</w:t>
      </w:r>
      <w:r>
        <w:rPr>
          <w:rtl w:val="true"/>
        </w:rPr>
        <w:t>"</w:t>
      </w:r>
      <w:r>
        <w:rPr>
          <w:rtl w:val="true"/>
        </w:rPr>
        <w:t>ח ועשרה דולרים</w:t>
      </w:r>
      <w:r>
        <w:rPr>
          <w:rtl w:val="true"/>
        </w:rPr>
        <w:t xml:space="preserve">; </w:t>
      </w:r>
      <w:r>
        <w:rPr>
          <w:rtl w:val="true"/>
        </w:rPr>
        <w:t xml:space="preserve">מכשיר טלפון נייד מסוג סמסונג גלקסי </w:t>
      </w:r>
      <w:r>
        <w:rPr/>
        <w:t>2</w:t>
      </w:r>
      <w:r>
        <w:rPr>
          <w:rtl w:val="true"/>
        </w:rPr>
        <w:t xml:space="preserve">; </w:t>
      </w:r>
      <w:r>
        <w:rPr>
          <w:rtl w:val="true"/>
        </w:rPr>
        <w:t>ובנוסף</w:t>
      </w:r>
      <w:r>
        <w:rPr>
          <w:rtl w:val="true"/>
        </w:rPr>
        <w:t xml:space="preserve">, </w:t>
      </w:r>
      <w:r>
        <w:rPr>
          <w:rtl w:val="true"/>
        </w:rPr>
        <w:t>גם את תיקו</w:t>
      </w:r>
      <w:r>
        <w:rPr>
          <w:rtl w:val="true"/>
        </w:rPr>
        <w:t xml:space="preserve">, </w:t>
      </w:r>
      <w:r>
        <w:rPr>
          <w:rtl w:val="true"/>
        </w:rPr>
        <w:t>שהכיל מכשיר טאבלט מסוג סמסונג ואוזניית בלוטות</w:t>
      </w:r>
      <w:r>
        <w:rPr>
          <w:rtl w:val="true"/>
        </w:rPr>
        <w:t xml:space="preserve">'. </w:t>
      </w:r>
      <w:r>
        <w:rPr>
          <w:rtl w:val="true"/>
        </w:rPr>
        <w:t>מעשי המערער ושותפיו גרמו למתלונן פצעי חבלה בשני מרפקיו ולשברים בשתיים משיניו</w:t>
      </w:r>
      <w:r>
        <w:rPr>
          <w:rtl w:val="true"/>
        </w:rPr>
        <w:t xml:space="preserve">. </w:t>
      </w:r>
      <w:r>
        <w:rPr>
          <w:rtl w:val="true"/>
        </w:rPr>
        <w:t>באותו הלילה</w:t>
      </w:r>
      <w:r>
        <w:rPr>
          <w:rtl w:val="true"/>
        </w:rPr>
        <w:t xml:space="preserve">, </w:t>
      </w:r>
      <w:r>
        <w:rPr>
          <w:rtl w:val="true"/>
        </w:rPr>
        <w:t>כשעה וחצי לאחר מכן</w:t>
      </w:r>
      <w:r>
        <w:rPr>
          <w:rtl w:val="true"/>
        </w:rPr>
        <w:t xml:space="preserve">, </w:t>
      </w:r>
      <w:r>
        <w:rPr>
          <w:rtl w:val="true"/>
        </w:rPr>
        <w:t>נתפס המערער עת הוא משליך סכין שהחזיק בו</w:t>
      </w:r>
      <w:r>
        <w:rPr>
          <w:rtl w:val="true"/>
        </w:rPr>
        <w:t xml:space="preserve">, </w:t>
      </w:r>
      <w:r>
        <w:rPr>
          <w:rtl w:val="true"/>
        </w:rPr>
        <w:t>מחוץ לתחום ביתו</w:t>
      </w:r>
      <w:r>
        <w:rPr>
          <w:rtl w:val="true"/>
        </w:rPr>
        <w:t xml:space="preserve">, </w:t>
      </w:r>
      <w:r>
        <w:rPr>
          <w:rtl w:val="true"/>
        </w:rPr>
        <w:t>לא למטרה כשרה</w:t>
      </w:r>
      <w:r>
        <w:rPr>
          <w:rtl w:val="true"/>
        </w:rPr>
        <w:t xml:space="preserve">. </w:t>
      </w:r>
      <w:r>
        <w:rPr>
          <w:rtl w:val="true"/>
        </w:rPr>
        <w:t>את הסכין השליך כשהבחין בשוטרים שקראו לו לעצור</w:t>
      </w:r>
      <w:r>
        <w:rPr>
          <w:rtl w:val="true"/>
        </w:rPr>
        <w:t xml:space="preserve">. </w:t>
      </w:r>
    </w:p>
    <w:p>
      <w:pPr>
        <w:pStyle w:val="Ruller42"/>
        <w:numPr>
          <w:ilvl w:val="0"/>
          <w:numId w:val="0"/>
        </w:numPr>
        <w:ind w:hanging="0" w:start="0" w:end="0"/>
        <w:jc w:val="both"/>
        <w:rPr/>
      </w:pPr>
      <w:r>
        <w:rPr>
          <w:rtl w:val="true"/>
        </w:rPr>
        <w:tab/>
      </w:r>
    </w:p>
    <w:p>
      <w:pPr>
        <w:pStyle w:val="Ruller42"/>
        <w:numPr>
          <w:ilvl w:val="0"/>
          <w:numId w:val="0"/>
        </w:numPr>
        <w:ind w:hanging="0" w:start="0" w:end="0"/>
        <w:jc w:val="both"/>
        <w:rPr/>
      </w:pPr>
      <w:r>
        <w:rPr>
          <w:rtl w:val="true"/>
        </w:rPr>
        <w:tab/>
      </w:r>
      <w:r>
        <w:rPr>
          <w:rtl w:val="true"/>
        </w:rPr>
        <w:t>בגין מעשים אלה</w:t>
      </w:r>
      <w:r>
        <w:rPr>
          <w:rtl w:val="true"/>
        </w:rPr>
        <w:t xml:space="preserve">, </w:t>
      </w:r>
      <w:r>
        <w:rPr>
          <w:rtl w:val="true"/>
        </w:rPr>
        <w:t xml:space="preserve">הואשם המערער בכתב אישום מיום </w:t>
      </w:r>
      <w:r>
        <w:rPr/>
        <w:t>18.4.2012</w:t>
      </w:r>
      <w:r>
        <w:rPr>
          <w:rtl w:val="true"/>
        </w:rPr>
        <w:t xml:space="preserve">, </w:t>
      </w:r>
      <w:r>
        <w:rPr>
          <w:rtl w:val="true"/>
        </w:rPr>
        <w:t>בעבירת קשירת קשר לפשע</w:t>
      </w:r>
      <w:r>
        <w:rPr>
          <w:rtl w:val="true"/>
        </w:rPr>
        <w:t xml:space="preserve">, </w:t>
      </w:r>
      <w:r>
        <w:rPr>
          <w:rtl w:val="true"/>
        </w:rPr>
        <w:t xml:space="preserve">לפי </w:t>
      </w:r>
      <w:hyperlink r:id="rId47">
        <w:r>
          <w:rPr>
            <w:rStyle w:val="Hyperlink"/>
            <w:color w:val="0000FF"/>
            <w:u w:val="single"/>
            <w:rtl w:val="true"/>
          </w:rPr>
          <w:t>סעיף</w:t>
        </w:r>
        <w:r>
          <w:rPr>
            <w:rStyle w:val="Hyperlink"/>
            <w:color w:val="0000FF"/>
            <w:u w:val="single"/>
            <w:rtl w:val="true"/>
          </w:rPr>
          <w:t xml:space="preserve"> </w:t>
        </w:r>
        <w:r>
          <w:rPr>
            <w:rStyle w:val="Hyperlink"/>
            <w:color w:val="0000FF"/>
            <w:u w:val="single"/>
          </w:rPr>
          <w:t>499</w:t>
        </w:r>
        <w:r>
          <w:rPr>
            <w:rStyle w:val="Hyperlink"/>
            <w:color w:val="0000FF"/>
            <w:u w:val="single"/>
            <w:rtl w:val="true"/>
          </w:rPr>
          <w:t>(</w:t>
        </w:r>
        <w:r>
          <w:rPr>
            <w:rStyle w:val="Hyperlink"/>
            <w:color w:val="0000FF"/>
            <w:u w:val="single"/>
            <w:rtl w:val="true"/>
          </w:rPr>
          <w:t>א</w:t>
        </w:r>
        <w:r>
          <w:rPr>
            <w:rStyle w:val="Hyperlink"/>
            <w:color w:val="0000FF"/>
            <w:u w:val="single"/>
            <w:rtl w:val="true"/>
          </w:rPr>
          <w:t>)(</w:t>
        </w:r>
        <w:r>
          <w:rPr>
            <w:rStyle w:val="Hyperlink"/>
            <w:color w:val="0000FF"/>
            <w:u w:val="single"/>
          </w:rPr>
          <w:t>1</w:t>
        </w:r>
        <w:r>
          <w:rPr>
            <w:rStyle w:val="Hyperlink"/>
            <w:color w:val="0000FF"/>
            <w:u w:val="single"/>
            <w:rtl w:val="true"/>
          </w:rPr>
          <w:t>)</w:t>
        </w:r>
      </w:hyperlink>
      <w:r>
        <w:rPr>
          <w:rtl w:val="true"/>
        </w:rPr>
        <w:t xml:space="preserve"> </w:t>
      </w:r>
      <w:r>
        <w:rPr>
          <w:rtl w:val="true"/>
        </w:rPr>
        <w:t>ל</w:t>
      </w:r>
      <w:hyperlink r:id="rId48">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r>
        <w:rPr>
          <w:rtl w:val="true"/>
        </w:rPr>
        <w:t>התשל</w:t>
      </w:r>
      <w:r>
        <w:rPr>
          <w:rtl w:val="true"/>
        </w:rPr>
        <w:t>"</w:t>
      </w:r>
      <w:r>
        <w:rPr>
          <w:rtl w:val="true"/>
        </w:rPr>
        <w:t>ז</w:t>
      </w:r>
      <w:r>
        <w:rPr>
          <w:rtl w:val="true"/>
        </w:rPr>
        <w:t>-</w:t>
      </w:r>
      <w:r>
        <w:rPr/>
        <w:t>1977</w:t>
      </w:r>
      <w:r>
        <w:rPr>
          <w:rtl w:val="true"/>
        </w:rPr>
        <w:t xml:space="preserve"> (</w:t>
      </w:r>
      <w:r>
        <w:rPr>
          <w:rtl w:val="true"/>
        </w:rPr>
        <w:t>להלן</w:t>
      </w:r>
      <w:r>
        <w:rPr>
          <w:rtl w:val="true"/>
        </w:rPr>
        <w:t xml:space="preserve">: </w:t>
      </w:r>
      <w:r>
        <w:rPr>
          <w:rFonts w:ascii="Century" w:hAnsi="Century" w:cs="Miriam"/>
          <w:b/>
          <w:b/>
          <w:spacing w:val="0"/>
          <w:sz w:val="22"/>
          <w:sz w:val="22"/>
          <w:szCs w:val="24"/>
          <w:rtl w:val="true"/>
        </w:rPr>
        <w:t>חוק</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העונשין</w:t>
      </w:r>
      <w:r>
        <w:rPr>
          <w:rFonts w:cs="Century" w:ascii="Century" w:hAnsi="Century"/>
          <w:sz w:val="22"/>
          <w:rtl w:val="true"/>
        </w:rPr>
        <w:t xml:space="preserve">); </w:t>
      </w:r>
      <w:r>
        <w:rPr>
          <w:rFonts w:ascii="Century" w:hAnsi="Century" w:cs="Century"/>
          <w:sz w:val="22"/>
          <w:sz w:val="22"/>
          <w:rtl w:val="true"/>
        </w:rPr>
        <w:t>עבירת שוד בנסיבות מחמירות</w:t>
      </w:r>
      <w:r>
        <w:rPr>
          <w:rFonts w:cs="Century" w:ascii="Century" w:hAnsi="Century"/>
          <w:sz w:val="22"/>
          <w:rtl w:val="true"/>
        </w:rPr>
        <w:t xml:space="preserve">, </w:t>
      </w:r>
      <w:r>
        <w:rPr>
          <w:rFonts w:ascii="Century" w:hAnsi="Century" w:cs="Century"/>
          <w:sz w:val="22"/>
          <w:sz w:val="22"/>
          <w:rtl w:val="true"/>
        </w:rPr>
        <w:t xml:space="preserve">לפי </w:t>
      </w:r>
      <w:hyperlink r:id="rId49">
        <w:r>
          <w:rPr>
            <w:rStyle w:val="Hyperlink"/>
            <w:rFonts w:ascii="Century" w:hAnsi="Century" w:cs="Century"/>
            <w:color w:val="0000FF"/>
            <w:sz w:val="22"/>
            <w:sz w:val="22"/>
            <w:u w:val="single"/>
            <w:rtl w:val="true"/>
          </w:rPr>
          <w:t>סעיף</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402</w:t>
        </w:r>
        <w:r>
          <w:rPr>
            <w:rStyle w:val="Hyperlink"/>
            <w:rFonts w:cs="Century" w:ascii="Century" w:hAnsi="Century"/>
            <w:color w:val="0000FF"/>
            <w:sz w:val="22"/>
            <w:u w:val="single"/>
            <w:rtl w:val="true"/>
          </w:rPr>
          <w:t>(</w:t>
        </w:r>
        <w:r>
          <w:rPr>
            <w:rStyle w:val="Hyperlink"/>
            <w:rFonts w:ascii="Century" w:hAnsi="Century" w:cs="Century"/>
            <w:color w:val="0000FF"/>
            <w:sz w:val="22"/>
            <w:sz w:val="22"/>
            <w:u w:val="single"/>
            <w:rtl w:val="true"/>
          </w:rPr>
          <w:t>ב</w:t>
        </w:r>
        <w:r>
          <w:rPr>
            <w:rStyle w:val="Hyperlink"/>
            <w:rFonts w:cs="Century" w:ascii="Century" w:hAnsi="Century"/>
            <w:color w:val="0000FF"/>
            <w:sz w:val="22"/>
            <w:u w:val="single"/>
            <w:rtl w:val="true"/>
          </w:rPr>
          <w:t>)</w:t>
        </w:r>
      </w:hyperlink>
      <w:r>
        <w:rPr>
          <w:rFonts w:cs="Century" w:ascii="Century" w:hAnsi="Century"/>
          <w:sz w:val="22"/>
          <w:rtl w:val="true"/>
        </w:rPr>
        <w:t xml:space="preserve"> </w:t>
      </w:r>
      <w:r>
        <w:rPr>
          <w:rFonts w:ascii="Century" w:hAnsi="Century" w:cs="Century"/>
          <w:sz w:val="22"/>
          <w:sz w:val="22"/>
          <w:rtl w:val="true"/>
        </w:rPr>
        <w:t>לחוק העונשין ובעבירת החזקת סכין</w:t>
      </w:r>
      <w:r>
        <w:rPr>
          <w:rFonts w:cs="Century" w:ascii="Century" w:hAnsi="Century"/>
          <w:sz w:val="22"/>
          <w:rtl w:val="true"/>
        </w:rPr>
        <w:t xml:space="preserve">, </w:t>
      </w:r>
      <w:r>
        <w:rPr>
          <w:rFonts w:ascii="Century" w:hAnsi="Century" w:cs="Century"/>
          <w:sz w:val="22"/>
          <w:sz w:val="22"/>
          <w:rtl w:val="true"/>
        </w:rPr>
        <w:t xml:space="preserve">לפי </w:t>
      </w:r>
      <w:hyperlink r:id="rId50">
        <w:r>
          <w:rPr>
            <w:rStyle w:val="Hyperlink"/>
            <w:rFonts w:ascii="Century" w:hAnsi="Century" w:cs="Century"/>
            <w:color w:val="0000FF"/>
            <w:sz w:val="22"/>
            <w:sz w:val="22"/>
            <w:u w:val="single"/>
            <w:rtl w:val="true"/>
          </w:rPr>
          <w:t>סעיף</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186</w:t>
        </w:r>
        <w:r>
          <w:rPr>
            <w:rStyle w:val="Hyperlink"/>
            <w:rFonts w:cs="Century" w:ascii="Century" w:hAnsi="Century"/>
            <w:color w:val="0000FF"/>
            <w:sz w:val="22"/>
            <w:u w:val="single"/>
            <w:rtl w:val="true"/>
          </w:rPr>
          <w:t>(</w:t>
        </w:r>
        <w:r>
          <w:rPr>
            <w:rStyle w:val="Hyperlink"/>
            <w:rFonts w:ascii="Century" w:hAnsi="Century" w:cs="Century"/>
            <w:color w:val="0000FF"/>
            <w:sz w:val="22"/>
            <w:sz w:val="22"/>
            <w:u w:val="single"/>
            <w:rtl w:val="true"/>
          </w:rPr>
          <w:t>א</w:t>
        </w:r>
        <w:r>
          <w:rPr>
            <w:rStyle w:val="Hyperlink"/>
            <w:rFonts w:cs="Century" w:ascii="Century" w:hAnsi="Century"/>
            <w:color w:val="0000FF"/>
            <w:sz w:val="22"/>
            <w:u w:val="single"/>
            <w:rtl w:val="true"/>
          </w:rPr>
          <w:t>)</w:t>
        </w:r>
      </w:hyperlink>
      <w:r>
        <w:rPr>
          <w:rFonts w:cs="Century" w:ascii="Century" w:hAnsi="Century"/>
          <w:sz w:val="22"/>
          <w:rtl w:val="true"/>
        </w:rPr>
        <w:t xml:space="preserve"> </w:t>
      </w:r>
      <w:r>
        <w:rPr>
          <w:rFonts w:ascii="Century" w:hAnsi="Century" w:cs="Century"/>
          <w:sz w:val="22"/>
          <w:sz w:val="22"/>
          <w:rtl w:val="true"/>
        </w:rPr>
        <w:t>לחוק העונשין</w:t>
      </w:r>
      <w:r>
        <w:rPr>
          <w:rFonts w:cs="Century" w:ascii="Century" w:hAnsi="Century"/>
          <w:sz w:val="22"/>
          <w:rtl w:val="true"/>
        </w:rPr>
        <w:t xml:space="preserve">. </w:t>
      </w:r>
    </w:p>
    <w:p>
      <w:pPr>
        <w:pStyle w:val="Ruller41"/>
        <w:spacing w:lineRule="auto" w:line="480"/>
        <w:ind w:end="0"/>
        <w:jc w:val="both"/>
        <w:rPr/>
      </w:pPr>
      <w:r>
        <w:rPr>
          <w:rtl w:val="true"/>
        </w:rPr>
      </w:r>
    </w:p>
    <w:p>
      <w:pPr>
        <w:pStyle w:val="Ruller41"/>
        <w:ind w:end="0"/>
        <w:jc w:val="both"/>
        <w:rPr>
          <w:rFonts w:ascii="Century" w:hAnsi="Century"/>
          <w:b/>
          <w:spacing w:val="0"/>
          <w:szCs w:val="24"/>
        </w:rPr>
      </w:pPr>
      <w:r>
        <w:rPr>
          <w:rFonts w:ascii="Century" w:hAnsi="Century" w:cs="Miriam"/>
          <w:b/>
          <w:b/>
          <w:spacing w:val="0"/>
          <w:szCs w:val="24"/>
          <w:rtl w:val="true"/>
        </w:rPr>
        <w:t>פסק</w:t>
      </w:r>
      <w:r>
        <w:rPr>
          <w:rFonts w:ascii="Century" w:hAnsi="Century" w:eastAsia="Century" w:cs="Century"/>
          <w:b/>
          <w:b/>
          <w:spacing w:val="0"/>
          <w:szCs w:val="24"/>
          <w:rtl w:val="true"/>
        </w:rPr>
        <w:t xml:space="preserve"> </w:t>
      </w:r>
      <w:r>
        <w:rPr>
          <w:rFonts w:ascii="Century" w:hAnsi="Century" w:cs="Miriam"/>
          <w:b/>
          <w:b/>
          <w:spacing w:val="0"/>
          <w:szCs w:val="24"/>
          <w:rtl w:val="true"/>
        </w:rPr>
        <w:t>הדין</w:t>
      </w:r>
      <w:r>
        <w:rPr>
          <w:rFonts w:ascii="Century" w:hAnsi="Century" w:eastAsia="Century" w:cs="Century"/>
          <w:b/>
          <w:b/>
          <w:spacing w:val="0"/>
          <w:szCs w:val="24"/>
          <w:rtl w:val="true"/>
        </w:rPr>
        <w:t xml:space="preserve"> </w:t>
      </w:r>
      <w:r>
        <w:rPr>
          <w:rFonts w:ascii="Century" w:hAnsi="Century" w:cs="Miriam"/>
          <w:b/>
          <w:b/>
          <w:spacing w:val="0"/>
          <w:szCs w:val="24"/>
          <w:rtl w:val="true"/>
        </w:rPr>
        <w:t>של</w:t>
      </w:r>
      <w:r>
        <w:rPr>
          <w:rFonts w:ascii="Century" w:hAnsi="Century" w:eastAsia="Century" w:cs="Century"/>
          <w:b/>
          <w:b/>
          <w:spacing w:val="0"/>
          <w:szCs w:val="24"/>
          <w:rtl w:val="true"/>
        </w:rPr>
        <w:t xml:space="preserve"> </w:t>
      </w:r>
      <w:r>
        <w:rPr>
          <w:rFonts w:ascii="Century" w:hAnsi="Century" w:cs="Miriam"/>
          <w:b/>
          <w:b/>
          <w:spacing w:val="0"/>
          <w:szCs w:val="24"/>
          <w:rtl w:val="true"/>
        </w:rPr>
        <w:t>בית</w:t>
      </w:r>
      <w:r>
        <w:rPr>
          <w:rFonts w:ascii="Century" w:hAnsi="Century" w:eastAsia="Century" w:cs="Century"/>
          <w:b/>
          <w:b/>
          <w:spacing w:val="0"/>
          <w:szCs w:val="24"/>
          <w:rtl w:val="true"/>
        </w:rPr>
        <w:t xml:space="preserve"> </w:t>
      </w:r>
      <w:r>
        <w:rPr>
          <w:rFonts w:ascii="Century" w:hAnsi="Century" w:cs="Miriam"/>
          <w:b/>
          <w:b/>
          <w:spacing w:val="0"/>
          <w:szCs w:val="24"/>
          <w:rtl w:val="true"/>
        </w:rPr>
        <w:t>המשפט</w:t>
      </w:r>
      <w:r>
        <w:rPr>
          <w:rFonts w:ascii="Century" w:hAnsi="Century" w:eastAsia="Century" w:cs="Century"/>
          <w:b/>
          <w:b/>
          <w:spacing w:val="0"/>
          <w:szCs w:val="24"/>
          <w:rtl w:val="true"/>
        </w:rPr>
        <w:t xml:space="preserve"> </w:t>
      </w:r>
      <w:r>
        <w:rPr>
          <w:rFonts w:ascii="Century" w:hAnsi="Century" w:cs="Miriam"/>
          <w:b/>
          <w:b/>
          <w:spacing w:val="0"/>
          <w:szCs w:val="24"/>
          <w:rtl w:val="true"/>
        </w:rPr>
        <w:t>המחוזי</w:t>
      </w:r>
    </w:p>
    <w:p>
      <w:pPr>
        <w:pStyle w:val="Ruller41"/>
        <w:spacing w:lineRule="auto" w:line="240"/>
        <w:ind w:end="0"/>
        <w:jc w:val="both"/>
        <w:rPr>
          <w:rFonts w:ascii="Century" w:hAnsi="Century" w:cs="Miriam"/>
          <w:b/>
          <w:spacing w:val="0"/>
          <w:szCs w:val="24"/>
        </w:rPr>
      </w:pPr>
      <w:r>
        <w:rPr>
          <w:rFonts w:cs="Miriam" w:ascii="Century" w:hAnsi="Century"/>
          <w:b/>
          <w:spacing w:val="0"/>
          <w:szCs w:val="24"/>
          <w:rtl w:val="true"/>
        </w:rPr>
      </w:r>
    </w:p>
    <w:p>
      <w:pPr>
        <w:pStyle w:val="Ruller42"/>
        <w:numPr>
          <w:ilvl w:val="0"/>
          <w:numId w:val="1"/>
        </w:numPr>
        <w:ind w:end="0"/>
        <w:jc w:val="both"/>
        <w:rPr/>
      </w:pPr>
      <w:r>
        <w:rPr>
          <w:rtl w:val="true"/>
        </w:rPr>
        <w:t>בית המשפט המחוזי הרשיע</w:t>
      </w:r>
      <w:r>
        <w:rPr>
          <w:rtl w:val="true"/>
        </w:rPr>
        <w:t xml:space="preserve">, </w:t>
      </w:r>
      <w:r>
        <w:rPr>
          <w:rtl w:val="true"/>
        </w:rPr>
        <w:t xml:space="preserve">ביום </w:t>
      </w:r>
      <w:r>
        <w:rPr/>
        <w:t>13.9.2012</w:t>
      </w:r>
      <w:r>
        <w:rPr>
          <w:rtl w:val="true"/>
        </w:rPr>
        <w:t xml:space="preserve">, </w:t>
      </w:r>
      <w:r>
        <w:rPr>
          <w:rtl w:val="true"/>
        </w:rPr>
        <w:t>את המערער בעבירות שיוחסו לו בכתב האישום</w:t>
      </w:r>
      <w:r>
        <w:rPr>
          <w:rtl w:val="true"/>
        </w:rPr>
        <w:t xml:space="preserve">. </w:t>
      </w:r>
      <w:r>
        <w:rPr>
          <w:rtl w:val="true"/>
        </w:rPr>
        <w:t>בית המשפט קבע בהכרעת דינו כי התביעה הוכיחה מעבר לספק סביר כי המערער ביצע את המיוחס לו בכתב האישום</w:t>
      </w:r>
      <w:r>
        <w:rPr>
          <w:rtl w:val="true"/>
        </w:rPr>
        <w:t xml:space="preserve">. </w:t>
      </w:r>
      <w:r>
        <w:rPr>
          <w:rtl w:val="true"/>
        </w:rPr>
        <w:t xml:space="preserve">ביום </w:t>
      </w:r>
      <w:r>
        <w:rPr/>
        <w:t>21.10.2013</w:t>
      </w:r>
      <w:r>
        <w:rPr>
          <w:rtl w:val="true"/>
        </w:rPr>
        <w:t xml:space="preserve">, </w:t>
      </w:r>
      <w:r>
        <w:rPr>
          <w:rtl w:val="true"/>
        </w:rPr>
        <w:t>לבקשת המערער</w:t>
      </w:r>
      <w:r>
        <w:rPr>
          <w:rtl w:val="true"/>
        </w:rPr>
        <w:t xml:space="preserve">, </w:t>
      </w:r>
      <w:r>
        <w:rPr>
          <w:rtl w:val="true"/>
        </w:rPr>
        <w:t>הורה בית המשפט על קבלת תסקיר שירות מבחן אודותיו</w:t>
      </w:r>
      <w:r>
        <w:rPr>
          <w:rtl w:val="true"/>
        </w:rPr>
        <w:t xml:space="preserve">. </w:t>
      </w:r>
      <w:r>
        <w:rPr>
          <w:rtl w:val="true"/>
        </w:rPr>
        <w:t xml:space="preserve">התסקיר התקבל ביום </w:t>
      </w:r>
      <w:r>
        <w:rPr/>
        <w:t>18.12.2013</w:t>
      </w:r>
      <w:r>
        <w:rPr>
          <w:rtl w:val="true"/>
        </w:rPr>
        <w:t xml:space="preserve"> </w:t>
      </w:r>
      <w:r>
        <w:rPr>
          <w:rtl w:val="true"/>
        </w:rPr>
        <w:t>ולא כלל המלצה טיפולית לאור הכחשתו של המערער את המיוחס לו</w:t>
      </w:r>
      <w:r>
        <w:rPr>
          <w:rtl w:val="true"/>
        </w:rPr>
        <w:t>.</w:t>
      </w:r>
    </w:p>
    <w:p>
      <w:pPr>
        <w:pStyle w:val="Ruller42"/>
        <w:numPr>
          <w:ilvl w:val="0"/>
          <w:numId w:val="0"/>
        </w:numPr>
        <w:spacing w:lineRule="auto" w:line="240"/>
        <w:ind w:hanging="0" w:start="0" w:end="0"/>
        <w:jc w:val="both"/>
        <w:rPr/>
      </w:pPr>
      <w:r>
        <w:rPr>
          <w:rtl w:val="true"/>
        </w:rPr>
      </w:r>
    </w:p>
    <w:p>
      <w:pPr>
        <w:pStyle w:val="Ruller42"/>
        <w:numPr>
          <w:ilvl w:val="0"/>
          <w:numId w:val="1"/>
        </w:numPr>
        <w:ind w:end="0"/>
        <w:jc w:val="both"/>
        <w:rPr/>
      </w:pPr>
      <w:r>
        <w:rPr>
          <w:rtl w:val="true"/>
        </w:rPr>
        <w:t xml:space="preserve">ביום </w:t>
      </w:r>
      <w:r>
        <w:rPr/>
        <w:t>30.12.2012</w:t>
      </w:r>
      <w:r>
        <w:rPr>
          <w:rtl w:val="true"/>
        </w:rPr>
        <w:t xml:space="preserve"> </w:t>
      </w:r>
      <w:r>
        <w:rPr>
          <w:rtl w:val="true"/>
        </w:rPr>
        <w:t>נגזר דינו של המערער</w:t>
      </w:r>
      <w:r>
        <w:rPr>
          <w:rtl w:val="true"/>
        </w:rPr>
        <w:t xml:space="preserve">. </w:t>
      </w:r>
      <w:r>
        <w:rPr>
          <w:rtl w:val="true"/>
        </w:rPr>
        <w:t>בגזר הדין קבע בית המשפט המחוזי את מתחם הענישה הראוי לעבירות מהסוג שבהן הורשע המערער</w:t>
      </w:r>
      <w:r>
        <w:rPr>
          <w:rtl w:val="true"/>
        </w:rPr>
        <w:t xml:space="preserve">. </w:t>
      </w:r>
      <w:r>
        <w:rPr>
          <w:rtl w:val="true"/>
        </w:rPr>
        <w:t>בית המשפט המחוזי הפנה בגזר דינו לחמישה גזרי דין שניתנו בגין עבירות שוד בנסיבות דומות לעניינו של המערער</w:t>
      </w:r>
      <w:r>
        <w:rPr>
          <w:rtl w:val="true"/>
        </w:rPr>
        <w:t xml:space="preserve">, </w:t>
      </w:r>
      <w:r>
        <w:rPr>
          <w:rtl w:val="true"/>
        </w:rPr>
        <w:t>שם נקבע מתחם ענישה בין שלוש לשש שנות מאסר בפועל ונגזרו עונשים של ארבע שנות מאסר בפועל</w:t>
      </w:r>
      <w:r>
        <w:rPr>
          <w:rtl w:val="true"/>
        </w:rPr>
        <w:t xml:space="preserve">. </w:t>
      </w:r>
      <w:r>
        <w:rPr>
          <w:rtl w:val="true"/>
        </w:rPr>
        <w:t>בהמשך</w:t>
      </w:r>
      <w:r>
        <w:rPr>
          <w:rtl w:val="true"/>
        </w:rPr>
        <w:t xml:space="preserve">, </w:t>
      </w:r>
      <w:r>
        <w:rPr>
          <w:rtl w:val="true"/>
        </w:rPr>
        <w:t>בחן בית המשפט המחוזי שני גזרי דין נוספים אשר עניינם הגיע לבית משפט זה</w:t>
      </w:r>
      <w:r>
        <w:rPr>
          <w:rtl w:val="true"/>
        </w:rPr>
        <w:t xml:space="preserve">, </w:t>
      </w:r>
      <w:r>
        <w:rPr>
          <w:rtl w:val="true"/>
        </w:rPr>
        <w:t>ומצא שוב</w:t>
      </w:r>
      <w:r>
        <w:rPr>
          <w:rtl w:val="true"/>
        </w:rPr>
        <w:t xml:space="preserve">, </w:t>
      </w:r>
      <w:r>
        <w:rPr>
          <w:rtl w:val="true"/>
        </w:rPr>
        <w:t>כי מתחם הענישה לעבירות שבוצעו על ידי המערער נע בין שלוש לשש שנות מאסר בפועל</w:t>
      </w:r>
      <w:r>
        <w:rPr>
          <w:rtl w:val="true"/>
        </w:rPr>
        <w:t xml:space="preserve">, </w:t>
      </w:r>
      <w:r>
        <w:rPr>
          <w:rtl w:val="true"/>
        </w:rPr>
        <w:t>והעונש הראוי הוא ארבע שנות מאסר בפועל</w:t>
      </w:r>
      <w:r>
        <w:rPr>
          <w:rtl w:val="true"/>
        </w:rPr>
        <w:t xml:space="preserve">. </w:t>
      </w:r>
      <w:r>
        <w:rPr>
          <w:rtl w:val="true"/>
        </w:rPr>
        <w:t>מנקודה זו בחן בית המשפט את נסיבותיו הספציפיות של המערער</w:t>
      </w:r>
      <w:r>
        <w:rPr>
          <w:rtl w:val="true"/>
        </w:rPr>
        <w:t xml:space="preserve">, </w:t>
      </w:r>
      <w:r>
        <w:rPr>
          <w:rtl w:val="true"/>
        </w:rPr>
        <w:t>ושקל מחד את מעשיו החמורים</w:t>
      </w:r>
      <w:r>
        <w:rPr>
          <w:rtl w:val="true"/>
        </w:rPr>
        <w:t xml:space="preserve">, </w:t>
      </w:r>
      <w:r>
        <w:rPr>
          <w:rtl w:val="true"/>
        </w:rPr>
        <w:t>שגרמו לפגיעות במתלונן</w:t>
      </w:r>
      <w:r>
        <w:rPr>
          <w:rtl w:val="true"/>
        </w:rPr>
        <w:t xml:space="preserve">, </w:t>
      </w:r>
      <w:r>
        <w:rPr>
          <w:rtl w:val="true"/>
        </w:rPr>
        <w:t>ומאידך</w:t>
      </w:r>
      <w:r>
        <w:rPr>
          <w:rtl w:val="true"/>
        </w:rPr>
        <w:t xml:space="preserve">, </w:t>
      </w:r>
      <w:r>
        <w:rPr>
          <w:rtl w:val="true"/>
        </w:rPr>
        <w:t>את גילו הצעיר ועברו הנקי</w:t>
      </w:r>
      <w:r>
        <w:rPr>
          <w:rtl w:val="true"/>
        </w:rPr>
        <w:t xml:space="preserve">. </w:t>
      </w:r>
      <w:r>
        <w:rPr>
          <w:rtl w:val="true"/>
        </w:rPr>
        <w:t>בית המשפט המחוזי הדגיש גם שהוא אינו מחמיר עם המערער בגלל מוצאו</w:t>
      </w:r>
      <w:r>
        <w:rPr>
          <w:rtl w:val="true"/>
        </w:rPr>
        <w:t xml:space="preserve">, </w:t>
      </w:r>
      <w:r>
        <w:rPr>
          <w:rtl w:val="true"/>
        </w:rPr>
        <w:t>אבחנה שבפסיקת בית משפט זה נקבע שאינה ראויה</w:t>
      </w:r>
      <w:r>
        <w:rPr>
          <w:rtl w:val="true"/>
        </w:rPr>
        <w:t xml:space="preserve">, </w:t>
      </w:r>
      <w:r>
        <w:rPr>
          <w:rtl w:val="true"/>
        </w:rPr>
        <w:t>אלא שהמתחם שנקבע הוא מתחם הענישה הרלוונטי לכל עבירות השוד בנסיבות דומות לאלה שבעניינו של המערער</w:t>
      </w:r>
      <w:r>
        <w:rPr>
          <w:rtl w:val="true"/>
        </w:rPr>
        <w:t xml:space="preserve">. </w:t>
      </w:r>
      <w:r>
        <w:rPr>
          <w:rtl w:val="true"/>
        </w:rPr>
        <w:t>לבסוף</w:t>
      </w:r>
      <w:r>
        <w:rPr>
          <w:rtl w:val="true"/>
        </w:rPr>
        <w:t xml:space="preserve">, </w:t>
      </w:r>
      <w:r>
        <w:rPr>
          <w:rtl w:val="true"/>
        </w:rPr>
        <w:t>גזר בית המשפט המחוזי את דינו של המערער</w:t>
      </w:r>
      <w:r>
        <w:rPr>
          <w:rtl w:val="true"/>
        </w:rPr>
        <w:t xml:space="preserve">, </w:t>
      </w:r>
      <w:r>
        <w:rPr>
          <w:rtl w:val="true"/>
        </w:rPr>
        <w:t xml:space="preserve">כמפורט בסעיף </w:t>
      </w:r>
      <w:r>
        <w:rPr/>
        <w:t>1</w:t>
      </w:r>
      <w:r>
        <w:rPr>
          <w:rtl w:val="true"/>
        </w:rPr>
        <w:t xml:space="preserve"> </w:t>
      </w:r>
      <w:r>
        <w:rPr>
          <w:rtl w:val="true"/>
        </w:rPr>
        <w:t>לעיל</w:t>
      </w:r>
      <w:r>
        <w:rPr>
          <w:rtl w:val="true"/>
        </w:rPr>
        <w:t xml:space="preserve">. </w:t>
      </w:r>
    </w:p>
    <w:p>
      <w:pPr>
        <w:pStyle w:val="Ruller41"/>
        <w:spacing w:lineRule="auto" w:line="480"/>
        <w:ind w:end="0"/>
        <w:jc w:val="both"/>
        <w:rPr/>
      </w:pPr>
      <w:r>
        <w:rPr>
          <w:rtl w:val="true"/>
        </w:rPr>
      </w:r>
    </w:p>
    <w:p>
      <w:pPr>
        <w:pStyle w:val="Ruller41"/>
        <w:ind w:end="0"/>
        <w:jc w:val="both"/>
        <w:rPr>
          <w:rFonts w:ascii="Century" w:hAnsi="Century"/>
          <w:b/>
          <w:spacing w:val="0"/>
          <w:szCs w:val="24"/>
        </w:rPr>
      </w:pPr>
      <w:r>
        <w:rPr>
          <w:rFonts w:ascii="Century" w:hAnsi="Century" w:cs="Miriam"/>
          <w:b/>
          <w:b/>
          <w:spacing w:val="0"/>
          <w:szCs w:val="24"/>
          <w:rtl w:val="true"/>
        </w:rPr>
        <w:t>טענות</w:t>
      </w:r>
      <w:r>
        <w:rPr>
          <w:rFonts w:ascii="Century" w:hAnsi="Century" w:eastAsia="Century" w:cs="Century"/>
          <w:b/>
          <w:b/>
          <w:spacing w:val="0"/>
          <w:szCs w:val="24"/>
          <w:rtl w:val="true"/>
        </w:rPr>
        <w:t xml:space="preserve"> </w:t>
      </w:r>
      <w:r>
        <w:rPr>
          <w:rFonts w:ascii="Century" w:hAnsi="Century" w:cs="Miriam"/>
          <w:b/>
          <w:b/>
          <w:spacing w:val="0"/>
          <w:szCs w:val="24"/>
          <w:rtl w:val="true"/>
        </w:rPr>
        <w:t>המערער</w:t>
      </w:r>
    </w:p>
    <w:p>
      <w:pPr>
        <w:pStyle w:val="Ruller42"/>
        <w:numPr>
          <w:ilvl w:val="0"/>
          <w:numId w:val="0"/>
        </w:numPr>
        <w:spacing w:lineRule="auto" w:line="240"/>
        <w:ind w:hanging="0" w:start="0" w:end="0"/>
        <w:jc w:val="both"/>
        <w:rPr>
          <w:rFonts w:eastAsia="Garamond"/>
        </w:rPr>
      </w:pPr>
      <w:r>
        <w:rPr>
          <w:rFonts w:eastAsia="Garamond"/>
          <w:rtl w:val="true"/>
        </w:rPr>
        <w:t xml:space="preserve"> </w:t>
      </w:r>
    </w:p>
    <w:p>
      <w:pPr>
        <w:pStyle w:val="Ruller42"/>
        <w:numPr>
          <w:ilvl w:val="0"/>
          <w:numId w:val="1"/>
        </w:numPr>
        <w:ind w:end="0"/>
        <w:jc w:val="both"/>
        <w:rPr>
          <w:rFonts w:ascii="Century" w:hAnsi="Century" w:cs="Century"/>
          <w:sz w:val="22"/>
        </w:rPr>
      </w:pPr>
      <w:r>
        <w:rPr>
          <w:rFonts w:ascii="Century" w:hAnsi="Century" w:cs="Century"/>
          <w:sz w:val="22"/>
          <w:sz w:val="22"/>
          <w:rtl w:val="true"/>
        </w:rPr>
        <w:t>למערער טענות בשני מישורים</w:t>
      </w:r>
      <w:r>
        <w:rPr>
          <w:rFonts w:cs="Century" w:ascii="Century" w:hAnsi="Century"/>
          <w:sz w:val="22"/>
          <w:rtl w:val="true"/>
        </w:rPr>
        <w:t xml:space="preserve">: </w:t>
      </w:r>
      <w:r>
        <w:rPr>
          <w:rFonts w:ascii="Century" w:hAnsi="Century" w:cs="Century"/>
          <w:sz w:val="22"/>
          <w:sz w:val="22"/>
          <w:rtl w:val="true"/>
        </w:rPr>
        <w:t>מישור קביעת מתחם הענישה לעבירות בהן הורשע ומישור קביעת עונשו בגדרי מתחם זה</w:t>
      </w:r>
      <w:r>
        <w:rPr>
          <w:rFonts w:cs="Century" w:ascii="Century" w:hAnsi="Century"/>
          <w:sz w:val="22"/>
          <w:rtl w:val="true"/>
        </w:rPr>
        <w:t xml:space="preserve">. </w:t>
      </w:r>
    </w:p>
    <w:p>
      <w:pPr>
        <w:pStyle w:val="Ruller41"/>
        <w:ind w:end="0"/>
        <w:jc w:val="both"/>
        <w:rPr>
          <w:rFonts w:ascii="Century" w:hAnsi="Century" w:cs="Century"/>
          <w:sz w:val="22"/>
        </w:rPr>
      </w:pPr>
      <w:r>
        <w:rPr>
          <w:rFonts w:cs="Century" w:ascii="Century" w:hAnsi="Century"/>
          <w:sz w:val="22"/>
          <w:rtl w:val="true"/>
        </w:rPr>
      </w:r>
    </w:p>
    <w:p>
      <w:pPr>
        <w:pStyle w:val="Ruller42"/>
        <w:numPr>
          <w:ilvl w:val="0"/>
          <w:numId w:val="1"/>
        </w:numPr>
        <w:ind w:end="0"/>
        <w:jc w:val="both"/>
        <w:rPr>
          <w:rFonts w:ascii="Century" w:hAnsi="Century" w:cs="Century"/>
          <w:sz w:val="22"/>
        </w:rPr>
      </w:pPr>
      <w:r>
        <w:rPr>
          <w:rFonts w:ascii="Century" w:hAnsi="Century" w:cs="Miriam"/>
          <w:b/>
          <w:b/>
          <w:spacing w:val="0"/>
          <w:sz w:val="22"/>
          <w:sz w:val="22"/>
          <w:szCs w:val="24"/>
          <w:rtl w:val="true"/>
        </w:rPr>
        <w:t>לעניין</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קביעת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מתחם</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הענישה</w:t>
      </w:r>
      <w:r>
        <w:rPr>
          <w:rFonts w:cs="Century" w:ascii="Century" w:hAnsi="Century"/>
          <w:sz w:val="22"/>
          <w:rtl w:val="true"/>
        </w:rPr>
        <w:t xml:space="preserve">, </w:t>
      </w:r>
      <w:r>
        <w:rPr>
          <w:rFonts w:ascii="Century" w:hAnsi="Century" w:cs="Century"/>
          <w:sz w:val="22"/>
          <w:sz w:val="22"/>
          <w:rtl w:val="true"/>
        </w:rPr>
        <w:t>טען המערער כי מתחם הענישה שבית המשפט המחוזי קבע אינו מתאים לעבירות בהן הורשע</w:t>
      </w:r>
      <w:r>
        <w:rPr>
          <w:rFonts w:cs="Century" w:ascii="Century" w:hAnsi="Century"/>
          <w:sz w:val="22"/>
          <w:rtl w:val="true"/>
        </w:rPr>
        <w:t xml:space="preserve">, </w:t>
      </w:r>
      <w:r>
        <w:rPr>
          <w:rFonts w:ascii="Century" w:hAnsi="Century" w:cs="Century"/>
          <w:sz w:val="22"/>
          <w:sz w:val="22"/>
          <w:rtl w:val="true"/>
        </w:rPr>
        <w:t xml:space="preserve">וכי מתחם הענישה לא נבנה כנדרש על פי תיקון </w:t>
      </w:r>
      <w:r>
        <w:rPr>
          <w:rFonts w:cs="Century" w:ascii="Century" w:hAnsi="Century"/>
          <w:sz w:val="22"/>
        </w:rPr>
        <w:t>113</w:t>
      </w:r>
      <w:r>
        <w:rPr>
          <w:rFonts w:cs="Century" w:ascii="Century" w:hAnsi="Century"/>
          <w:sz w:val="22"/>
          <w:rtl w:val="true"/>
        </w:rPr>
        <w:t xml:space="preserve"> </w:t>
      </w:r>
      <w:r>
        <w:rPr>
          <w:rFonts w:ascii="Century" w:hAnsi="Century" w:cs="Century"/>
          <w:sz w:val="22"/>
          <w:sz w:val="22"/>
          <w:rtl w:val="true"/>
        </w:rPr>
        <w:t>ל</w:t>
      </w:r>
      <w:hyperlink r:id="rId51">
        <w:r>
          <w:rPr>
            <w:rStyle w:val="Hyperlink"/>
            <w:rFonts w:ascii="Century" w:hAnsi="Century" w:cs="Century"/>
            <w:color w:val="0000FF"/>
            <w:sz w:val="22"/>
            <w:sz w:val="22"/>
            <w:u w:val="single"/>
            <w:rtl w:val="true"/>
          </w:rPr>
          <w:t>חוק</w:t>
        </w:r>
        <w:r>
          <w:rPr>
            <w:rStyle w:val="Hyperlink"/>
            <w:rFonts w:ascii="Century" w:hAnsi="Century" w:cs="Century"/>
            <w:color w:val="0000FF"/>
            <w:sz w:val="22"/>
            <w:sz w:val="22"/>
            <w:u w:val="single"/>
            <w:rtl w:val="true"/>
          </w:rPr>
          <w:t xml:space="preserve"> </w:t>
        </w:r>
        <w:r>
          <w:rPr>
            <w:rStyle w:val="Hyperlink"/>
            <w:rFonts w:ascii="Century" w:hAnsi="Century" w:cs="Century"/>
            <w:color w:val="0000FF"/>
            <w:sz w:val="22"/>
            <w:sz w:val="22"/>
            <w:u w:val="single"/>
            <w:rtl w:val="true"/>
          </w:rPr>
          <w:t>העונשין</w:t>
        </w:r>
      </w:hyperlink>
      <w:r>
        <w:rPr>
          <w:rFonts w:cs="Century" w:ascii="Century" w:hAnsi="Century"/>
          <w:sz w:val="22"/>
          <w:rtl w:val="true"/>
        </w:rPr>
        <w:t xml:space="preserve">. </w:t>
      </w:r>
      <w:r>
        <w:rPr>
          <w:rFonts w:ascii="Century" w:hAnsi="Century" w:cs="Century"/>
          <w:sz w:val="22"/>
          <w:sz w:val="22"/>
          <w:rtl w:val="true"/>
        </w:rPr>
        <w:t>בית המשפט המחוזי</w:t>
      </w:r>
      <w:r>
        <w:rPr>
          <w:rFonts w:cs="Century" w:ascii="Century" w:hAnsi="Century"/>
          <w:sz w:val="22"/>
          <w:rtl w:val="true"/>
        </w:rPr>
        <w:t xml:space="preserve">, </w:t>
      </w:r>
      <w:r>
        <w:rPr>
          <w:rFonts w:ascii="Century" w:hAnsi="Century" w:cs="Century"/>
          <w:sz w:val="22"/>
          <w:sz w:val="22"/>
          <w:rtl w:val="true"/>
        </w:rPr>
        <w:t>כך טען המערער</w:t>
      </w:r>
      <w:r>
        <w:rPr>
          <w:rFonts w:cs="Century" w:ascii="Century" w:hAnsi="Century"/>
          <w:sz w:val="22"/>
          <w:rtl w:val="true"/>
        </w:rPr>
        <w:t xml:space="preserve">, </w:t>
      </w:r>
      <w:r>
        <w:rPr>
          <w:rFonts w:ascii="Century" w:hAnsi="Century" w:cs="Century"/>
          <w:sz w:val="22"/>
          <w:sz w:val="22"/>
          <w:rtl w:val="true"/>
        </w:rPr>
        <w:t>השווה בין עניינו לגזרי דין אחרים</w:t>
      </w:r>
      <w:r>
        <w:rPr>
          <w:rFonts w:cs="Century" w:ascii="Century" w:hAnsi="Century"/>
          <w:sz w:val="22"/>
          <w:rtl w:val="true"/>
        </w:rPr>
        <w:t xml:space="preserve">, </w:t>
      </w:r>
      <w:r>
        <w:rPr>
          <w:rFonts w:ascii="Century" w:hAnsi="Century" w:cs="Century"/>
          <w:sz w:val="22"/>
          <w:sz w:val="22"/>
          <w:rtl w:val="true"/>
        </w:rPr>
        <w:t>שכל המשותף ביניהם הוא שהנאשמים כולם מבקשי מקלט מאפריקה</w:t>
      </w:r>
      <w:r>
        <w:rPr>
          <w:rFonts w:cs="Century" w:ascii="Century" w:hAnsi="Century"/>
          <w:sz w:val="22"/>
          <w:rtl w:val="true"/>
        </w:rPr>
        <w:t xml:space="preserve">, </w:t>
      </w:r>
      <w:r>
        <w:rPr>
          <w:rFonts w:ascii="Century" w:hAnsi="Century" w:cs="Century"/>
          <w:sz w:val="22"/>
          <w:sz w:val="22"/>
          <w:rtl w:val="true"/>
        </w:rPr>
        <w:t>השוהים בישראל מתוקף אשרת שהייה זמנית</w:t>
      </w:r>
      <w:r>
        <w:rPr>
          <w:rFonts w:cs="Century" w:ascii="Century" w:hAnsi="Century"/>
          <w:sz w:val="22"/>
          <w:rtl w:val="true"/>
        </w:rPr>
        <w:t xml:space="preserve">, </w:t>
      </w:r>
      <w:r>
        <w:rPr>
          <w:rFonts w:ascii="Century" w:hAnsi="Century" w:cs="Century"/>
          <w:sz w:val="22"/>
          <w:sz w:val="22"/>
          <w:rtl w:val="true"/>
        </w:rPr>
        <w:t>מנהלים את חייהם במתחם התחנה המרכזית בתל אביב</w:t>
      </w:r>
      <w:r>
        <w:rPr>
          <w:rFonts w:cs="Century" w:ascii="Century" w:hAnsi="Century"/>
          <w:sz w:val="22"/>
          <w:rtl w:val="true"/>
        </w:rPr>
        <w:t xml:space="preserve">, </w:t>
      </w:r>
      <w:r>
        <w:rPr>
          <w:rFonts w:ascii="Century" w:hAnsi="Century" w:cs="Century"/>
          <w:sz w:val="22"/>
          <w:sz w:val="22"/>
          <w:rtl w:val="true"/>
        </w:rPr>
        <w:t>והורשעו בעבירות שוד בתום הליך הוכחות</w:t>
      </w:r>
      <w:r>
        <w:rPr>
          <w:rFonts w:cs="Century" w:ascii="Century" w:hAnsi="Century"/>
          <w:sz w:val="22"/>
          <w:rtl w:val="true"/>
        </w:rPr>
        <w:t xml:space="preserve">. </w:t>
      </w:r>
      <w:r>
        <w:rPr>
          <w:rFonts w:ascii="Century" w:hAnsi="Century" w:cs="Century"/>
          <w:sz w:val="22"/>
          <w:sz w:val="22"/>
          <w:rtl w:val="true"/>
        </w:rPr>
        <w:t>לטענת המערער</w:t>
      </w:r>
      <w:r>
        <w:rPr>
          <w:rFonts w:cs="Century" w:ascii="Century" w:hAnsi="Century"/>
          <w:sz w:val="22"/>
          <w:rtl w:val="true"/>
        </w:rPr>
        <w:t xml:space="preserve">, </w:t>
      </w:r>
      <w:r>
        <w:rPr>
          <w:rFonts w:ascii="Century" w:hAnsi="Century" w:cs="Century"/>
          <w:sz w:val="22"/>
          <w:sz w:val="22"/>
          <w:rtl w:val="true"/>
        </w:rPr>
        <w:t>אין בדמיון זה כדי להורות שמתחם הענישה בעבירות אלו צריך להיות זהה גם בעניינו</w:t>
      </w:r>
      <w:r>
        <w:rPr>
          <w:rFonts w:cs="Century" w:ascii="Century" w:hAnsi="Century"/>
          <w:sz w:val="22"/>
          <w:rtl w:val="true"/>
        </w:rPr>
        <w:t xml:space="preserve">. </w:t>
      </w:r>
      <w:r>
        <w:rPr>
          <w:rFonts w:ascii="Century" w:hAnsi="Century" w:cs="Century"/>
          <w:sz w:val="22"/>
          <w:sz w:val="22"/>
          <w:rtl w:val="true"/>
        </w:rPr>
        <w:t>לצורך המחשת טענתו עמד על ההבדלים בין הנסיבות בגזרי הדין השונים</w:t>
      </w:r>
      <w:r>
        <w:rPr>
          <w:rFonts w:cs="Century" w:ascii="Century" w:hAnsi="Century"/>
          <w:sz w:val="22"/>
          <w:rtl w:val="true"/>
        </w:rPr>
        <w:t xml:space="preserve">. </w:t>
      </w:r>
      <w:r>
        <w:rPr>
          <w:rFonts w:ascii="Century" w:hAnsi="Century" w:cs="Century"/>
          <w:sz w:val="22"/>
          <w:sz w:val="22"/>
          <w:rtl w:val="true"/>
        </w:rPr>
        <w:t>עוד טען המערער</w:t>
      </w:r>
      <w:r>
        <w:rPr>
          <w:rFonts w:cs="Century" w:ascii="Century" w:hAnsi="Century"/>
          <w:sz w:val="22"/>
          <w:rtl w:val="true"/>
        </w:rPr>
        <w:t xml:space="preserve">, </w:t>
      </w:r>
      <w:r>
        <w:rPr>
          <w:rFonts w:ascii="Century" w:hAnsi="Century" w:cs="Century"/>
          <w:sz w:val="22"/>
          <w:sz w:val="22"/>
          <w:rtl w:val="true"/>
        </w:rPr>
        <w:t>כי לאור אופן בניית המתחם</w:t>
      </w:r>
      <w:r>
        <w:rPr>
          <w:rFonts w:cs="Century" w:ascii="Century" w:hAnsi="Century"/>
          <w:sz w:val="22"/>
          <w:rtl w:val="true"/>
        </w:rPr>
        <w:t xml:space="preserve">, </w:t>
      </w:r>
      <w:r>
        <w:rPr>
          <w:rFonts w:ascii="Century" w:hAnsi="Century" w:cs="Century"/>
          <w:sz w:val="22"/>
          <w:sz w:val="22"/>
          <w:rtl w:val="true"/>
        </w:rPr>
        <w:t>נראה כי בית המשפט המחוזי התחשב בצורך בהרתעת הרבים</w:t>
      </w:r>
      <w:r>
        <w:rPr>
          <w:rFonts w:cs="Century" w:ascii="Century" w:hAnsi="Century"/>
          <w:sz w:val="22"/>
          <w:rtl w:val="true"/>
        </w:rPr>
        <w:t xml:space="preserve">, </w:t>
      </w:r>
      <w:r>
        <w:rPr>
          <w:rFonts w:ascii="Century" w:hAnsi="Century" w:cs="Century"/>
          <w:sz w:val="22"/>
          <w:sz w:val="22"/>
          <w:rtl w:val="true"/>
        </w:rPr>
        <w:t>התחשבות שמקומה</w:t>
      </w:r>
      <w:r>
        <w:rPr>
          <w:rFonts w:cs="Century" w:ascii="Century" w:hAnsi="Century"/>
          <w:sz w:val="22"/>
          <w:rtl w:val="true"/>
        </w:rPr>
        <w:t xml:space="preserve">, </w:t>
      </w:r>
      <w:r>
        <w:rPr>
          <w:rFonts w:ascii="Century" w:hAnsi="Century" w:cs="Century"/>
          <w:sz w:val="22"/>
          <w:sz w:val="22"/>
          <w:rtl w:val="true"/>
        </w:rPr>
        <w:t xml:space="preserve">על פי </w:t>
      </w:r>
      <w:hyperlink r:id="rId52">
        <w:r>
          <w:rPr>
            <w:rStyle w:val="Hyperlink"/>
            <w:rFonts w:ascii="Century" w:hAnsi="Century" w:cs="Century"/>
            <w:color w:val="0000FF"/>
            <w:sz w:val="22"/>
            <w:sz w:val="22"/>
            <w:u w:val="single"/>
            <w:rtl w:val="true"/>
          </w:rPr>
          <w:t>סעיף</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40</w:t>
        </w:r>
        <w:r>
          <w:rPr>
            <w:rStyle w:val="Hyperlink"/>
            <w:rFonts w:ascii="Century" w:hAnsi="Century" w:cs="Century"/>
            <w:color w:val="0000FF"/>
            <w:sz w:val="22"/>
            <w:sz w:val="22"/>
            <w:u w:val="single"/>
            <w:rtl w:val="true"/>
          </w:rPr>
          <w:t>ז</w:t>
        </w:r>
      </w:hyperlink>
      <w:r>
        <w:rPr>
          <w:rFonts w:ascii="Century" w:hAnsi="Century" w:cs="Century"/>
          <w:sz w:val="22"/>
          <w:sz w:val="22"/>
          <w:rtl w:val="true"/>
        </w:rPr>
        <w:t xml:space="preserve"> ל</w:t>
      </w:r>
      <w:hyperlink r:id="rId53">
        <w:r>
          <w:rPr>
            <w:rStyle w:val="Hyperlink"/>
            <w:rFonts w:ascii="Century" w:hAnsi="Century" w:cs="Century"/>
            <w:color w:val="0000FF"/>
            <w:sz w:val="22"/>
            <w:sz w:val="22"/>
            <w:u w:val="single"/>
            <w:rtl w:val="true"/>
          </w:rPr>
          <w:t>חוק</w:t>
        </w:r>
        <w:r>
          <w:rPr>
            <w:rStyle w:val="Hyperlink"/>
            <w:rFonts w:ascii="Century" w:hAnsi="Century" w:cs="Century"/>
            <w:color w:val="0000FF"/>
            <w:sz w:val="22"/>
            <w:sz w:val="22"/>
            <w:u w:val="single"/>
            <w:rtl w:val="true"/>
          </w:rPr>
          <w:t xml:space="preserve"> </w:t>
        </w:r>
        <w:r>
          <w:rPr>
            <w:rStyle w:val="Hyperlink"/>
            <w:rFonts w:ascii="Century" w:hAnsi="Century" w:cs="Century"/>
            <w:color w:val="0000FF"/>
            <w:sz w:val="22"/>
            <w:sz w:val="22"/>
            <w:u w:val="single"/>
            <w:rtl w:val="true"/>
          </w:rPr>
          <w:t>העונשין</w:t>
        </w:r>
      </w:hyperlink>
      <w:r>
        <w:rPr>
          <w:rFonts w:cs="Century" w:ascii="Century" w:hAnsi="Century"/>
          <w:sz w:val="22"/>
          <w:rtl w:val="true"/>
        </w:rPr>
        <w:t xml:space="preserve">, </w:t>
      </w:r>
      <w:r>
        <w:rPr>
          <w:rFonts w:ascii="Century" w:hAnsi="Century" w:cs="Century"/>
          <w:sz w:val="22"/>
          <w:sz w:val="22"/>
          <w:rtl w:val="true"/>
        </w:rPr>
        <w:t>בשלב גזירת עונשו של הנאשם</w:t>
      </w:r>
      <w:r>
        <w:rPr>
          <w:rFonts w:cs="Century" w:ascii="Century" w:hAnsi="Century"/>
          <w:sz w:val="22"/>
          <w:rtl w:val="true"/>
        </w:rPr>
        <w:t xml:space="preserve">, </w:t>
      </w:r>
      <w:r>
        <w:rPr>
          <w:rFonts w:ascii="Century" w:hAnsi="Century" w:cs="Century"/>
          <w:sz w:val="22"/>
          <w:sz w:val="22"/>
          <w:rtl w:val="true"/>
        </w:rPr>
        <w:t>לאחר שנקבע המתחם</w:t>
      </w:r>
      <w:r>
        <w:rPr>
          <w:rFonts w:cs="Century" w:ascii="Century" w:hAnsi="Century"/>
          <w:sz w:val="22"/>
          <w:rtl w:val="true"/>
        </w:rPr>
        <w:t xml:space="preserve">. </w:t>
      </w:r>
      <w:r>
        <w:rPr>
          <w:rFonts w:ascii="Century" w:hAnsi="Century" w:cs="Century"/>
          <w:sz w:val="22"/>
          <w:sz w:val="22"/>
          <w:rtl w:val="true"/>
        </w:rPr>
        <w:t>טענה זאת תמך המערער בגזר דין אחר שיצא תחת ידי אותו המותב</w:t>
      </w:r>
      <w:r>
        <w:rPr>
          <w:rFonts w:cs="Century" w:ascii="Century" w:hAnsi="Century"/>
          <w:sz w:val="22"/>
          <w:rtl w:val="true"/>
        </w:rPr>
        <w:t xml:space="preserve">, </w:t>
      </w:r>
      <w:r>
        <w:rPr>
          <w:rFonts w:ascii="Century" w:hAnsi="Century" w:cs="Century"/>
          <w:sz w:val="22"/>
          <w:sz w:val="22"/>
          <w:rtl w:val="true"/>
        </w:rPr>
        <w:t>בו נקבע כי מתחם הענישה לעבירות אלה</w:t>
      </w:r>
      <w:r>
        <w:rPr>
          <w:rFonts w:cs="Century" w:ascii="Century" w:hAnsi="Century"/>
          <w:sz w:val="22"/>
          <w:rtl w:val="true"/>
        </w:rPr>
        <w:t xml:space="preserve">, </w:t>
      </w:r>
      <w:r>
        <w:rPr>
          <w:rFonts w:ascii="Century" w:hAnsi="Century" w:cs="Century"/>
          <w:sz w:val="22"/>
          <w:sz w:val="22"/>
          <w:rtl w:val="true"/>
        </w:rPr>
        <w:t>כשמדובר בנאשם שאינו מבקש מקלט</w:t>
      </w:r>
      <w:r>
        <w:rPr>
          <w:rFonts w:cs="Century" w:ascii="Century" w:hAnsi="Century"/>
          <w:sz w:val="22"/>
          <w:rtl w:val="true"/>
        </w:rPr>
        <w:t xml:space="preserve">, </w:t>
      </w:r>
      <w:r>
        <w:rPr>
          <w:rFonts w:ascii="Century" w:hAnsi="Century" w:cs="Century"/>
          <w:sz w:val="22"/>
          <w:sz w:val="22"/>
          <w:rtl w:val="true"/>
        </w:rPr>
        <w:t>נע בין שלוש לארבע שנים בלבד</w:t>
      </w:r>
      <w:r>
        <w:rPr>
          <w:rFonts w:cs="Century" w:ascii="Century" w:hAnsi="Century"/>
          <w:sz w:val="22"/>
          <w:rtl w:val="true"/>
        </w:rPr>
        <w:t xml:space="preserve">. </w:t>
      </w:r>
      <w:r>
        <w:rPr>
          <w:rtl w:val="true"/>
        </w:rPr>
        <w:t>המערער הוסיף</w:t>
      </w:r>
      <w:r>
        <w:rPr>
          <w:rtl w:val="true"/>
        </w:rPr>
        <w:t xml:space="preserve">, </w:t>
      </w:r>
      <w:r>
        <w:rPr>
          <w:rtl w:val="true"/>
        </w:rPr>
        <w:t>כי מתחם הענישה שנקבע הוא מחמיר ביחס לעבירות שנעברו</w:t>
      </w:r>
      <w:r>
        <w:rPr>
          <w:rtl w:val="true"/>
        </w:rPr>
        <w:t xml:space="preserve">, </w:t>
      </w:r>
      <w:r>
        <w:rPr>
          <w:rtl w:val="true"/>
        </w:rPr>
        <w:t>שאינן מן החמורות</w:t>
      </w:r>
      <w:r>
        <w:rPr>
          <w:rtl w:val="true"/>
        </w:rPr>
        <w:t xml:space="preserve">, </w:t>
      </w:r>
      <w:r>
        <w:rPr>
          <w:rtl w:val="true"/>
        </w:rPr>
        <w:t xml:space="preserve">וכי היה מקום לקבוע מתחם </w:t>
      </w:r>
      <w:r>
        <w:rPr>
          <w:rtl w:val="true"/>
        </w:rPr>
        <w:t>"</w:t>
      </w:r>
      <w:r>
        <w:rPr>
          <w:rtl w:val="true"/>
        </w:rPr>
        <w:t>מרוכך</w:t>
      </w:r>
      <w:r>
        <w:rPr>
          <w:rtl w:val="true"/>
        </w:rPr>
        <w:t xml:space="preserve">" </w:t>
      </w:r>
      <w:r>
        <w:rPr>
          <w:rtl w:val="true"/>
        </w:rPr>
        <w:t>יותר</w:t>
      </w:r>
      <w:r>
        <w:rPr>
          <w:rtl w:val="true"/>
        </w:rPr>
        <w:t xml:space="preserve">. </w:t>
      </w:r>
    </w:p>
    <w:p>
      <w:pPr>
        <w:pStyle w:val="Ruller41"/>
        <w:spacing w:lineRule="auto" w:line="240"/>
        <w:ind w:end="0"/>
        <w:jc w:val="both"/>
        <w:rPr>
          <w:rFonts w:ascii="Century" w:hAnsi="Century" w:cs="Century"/>
          <w:sz w:val="22"/>
        </w:rPr>
      </w:pPr>
      <w:r>
        <w:rPr>
          <w:rFonts w:cs="Century" w:ascii="Century" w:hAnsi="Century"/>
          <w:sz w:val="22"/>
          <w:rtl w:val="true"/>
        </w:rPr>
      </w:r>
    </w:p>
    <w:p>
      <w:pPr>
        <w:pStyle w:val="Ruller42"/>
        <w:numPr>
          <w:ilvl w:val="0"/>
          <w:numId w:val="1"/>
        </w:numPr>
        <w:ind w:end="0"/>
        <w:jc w:val="both"/>
        <w:rPr/>
      </w:pPr>
      <w:r>
        <w:rPr>
          <w:rFonts w:ascii="Century" w:hAnsi="Century" w:cs="Miriam"/>
          <w:b/>
          <w:b/>
          <w:spacing w:val="0"/>
          <w:sz w:val="22"/>
          <w:sz w:val="22"/>
          <w:szCs w:val="24"/>
          <w:rtl w:val="true"/>
        </w:rPr>
        <w:t>לעניין</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גזירת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העונש</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במתחם</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הענישה</w:t>
      </w:r>
      <w:r>
        <w:rPr>
          <w:rFonts w:cs="Century" w:ascii="Century" w:hAnsi="Century"/>
          <w:sz w:val="22"/>
          <w:rtl w:val="true"/>
        </w:rPr>
        <w:t>,</w:t>
      </w:r>
      <w:r>
        <w:rPr>
          <w:rtl w:val="true"/>
        </w:rPr>
        <w:t xml:space="preserve"> </w:t>
      </w:r>
      <w:r>
        <w:rPr>
          <w:rtl w:val="true"/>
        </w:rPr>
        <w:t>טען המערער כי בית המשפט התעלם מתסקיר שירות המבחן</w:t>
      </w:r>
      <w:r>
        <w:rPr>
          <w:rtl w:val="true"/>
        </w:rPr>
        <w:t xml:space="preserve">, </w:t>
      </w:r>
      <w:r>
        <w:rPr>
          <w:rtl w:val="true"/>
        </w:rPr>
        <w:t>ולא שקל את נסיבותיו האישיות</w:t>
      </w:r>
      <w:r>
        <w:rPr>
          <w:rtl w:val="true"/>
        </w:rPr>
        <w:t xml:space="preserve">, </w:t>
      </w:r>
      <w:r>
        <w:rPr>
          <w:rtl w:val="true"/>
        </w:rPr>
        <w:t>בכללן גילו</w:t>
      </w:r>
      <w:r>
        <w:rPr>
          <w:rtl w:val="true"/>
        </w:rPr>
        <w:t xml:space="preserve">, </w:t>
      </w:r>
      <w:r>
        <w:rPr>
          <w:rtl w:val="true"/>
        </w:rPr>
        <w:t>נסיבות חייו והיעדרן של הרשעות קודמות</w:t>
      </w:r>
      <w:r>
        <w:rPr>
          <w:rtl w:val="true"/>
        </w:rPr>
        <w:t xml:space="preserve">. </w:t>
      </w:r>
    </w:p>
    <w:p>
      <w:pPr>
        <w:pStyle w:val="Ruller41"/>
        <w:spacing w:lineRule="auto" w:line="240"/>
        <w:ind w:end="0"/>
        <w:jc w:val="both"/>
        <w:rPr>
          <w:rFonts w:ascii="Century" w:hAnsi="Century" w:cs="Miriam"/>
          <w:b/>
          <w:spacing w:val="0"/>
          <w:szCs w:val="24"/>
        </w:rPr>
      </w:pPr>
      <w:r>
        <w:rPr>
          <w:rFonts w:cs="Miriam" w:ascii="Century" w:hAnsi="Century"/>
          <w:b/>
          <w:spacing w:val="0"/>
          <w:szCs w:val="24"/>
          <w:rtl w:val="true"/>
        </w:rPr>
      </w:r>
    </w:p>
    <w:p>
      <w:pPr>
        <w:pStyle w:val="Ruller42"/>
        <w:numPr>
          <w:ilvl w:val="0"/>
          <w:numId w:val="1"/>
        </w:numPr>
        <w:ind w:end="0"/>
        <w:jc w:val="both"/>
        <w:rPr/>
      </w:pPr>
      <w:r>
        <w:rPr>
          <w:rtl w:val="true"/>
        </w:rPr>
        <w:t>במהלך הדיון לפנינו חזר בא כוחו של המערער על נימוקי הערעור והדגיש את העובדה כי קביעת המתחם נעשתה בעיקרה בגלל מוצאו של המערער</w:t>
      </w:r>
      <w:r>
        <w:rPr>
          <w:rtl w:val="true"/>
        </w:rPr>
        <w:t xml:space="preserve">, </w:t>
      </w:r>
      <w:r>
        <w:rPr>
          <w:rtl w:val="true"/>
        </w:rPr>
        <w:t>תוך שעמד על כך שבמקרים האחרים אליהם הושווה המערער נעברו עבירות בנסיבות חמורות יותר</w:t>
      </w:r>
      <w:r>
        <w:rPr>
          <w:rtl w:val="true"/>
        </w:rPr>
        <w:t xml:space="preserve">, </w:t>
      </w:r>
      <w:r>
        <w:rPr>
          <w:rtl w:val="true"/>
        </w:rPr>
        <w:t>ועל כן יש מקום להקל בעונשו</w:t>
      </w:r>
      <w:r>
        <w:rPr>
          <w:rtl w:val="true"/>
        </w:rPr>
        <w:t xml:space="preserve">.  </w:t>
      </w:r>
    </w:p>
    <w:p>
      <w:pPr>
        <w:pStyle w:val="Ruller41"/>
        <w:spacing w:lineRule="auto" w:line="480"/>
        <w:ind w:end="0"/>
        <w:jc w:val="both"/>
        <w:rPr/>
      </w:pPr>
      <w:r>
        <w:rPr>
          <w:rtl w:val="true"/>
        </w:rPr>
      </w:r>
    </w:p>
    <w:p>
      <w:pPr>
        <w:pStyle w:val="Ruller41"/>
        <w:ind w:end="0"/>
        <w:jc w:val="both"/>
        <w:rPr>
          <w:rFonts w:ascii="Century" w:hAnsi="Century"/>
          <w:b/>
          <w:spacing w:val="0"/>
          <w:szCs w:val="24"/>
        </w:rPr>
      </w:pPr>
      <w:r>
        <w:rPr>
          <w:rFonts w:ascii="Century" w:hAnsi="Century" w:cs="Miriam"/>
          <w:b/>
          <w:b/>
          <w:spacing w:val="0"/>
          <w:szCs w:val="24"/>
          <w:rtl w:val="true"/>
        </w:rPr>
        <w:t>תשובת</w:t>
      </w:r>
      <w:r>
        <w:rPr>
          <w:rFonts w:ascii="Century" w:hAnsi="Century" w:eastAsia="Century" w:cs="Century"/>
          <w:b/>
          <w:b/>
          <w:spacing w:val="0"/>
          <w:szCs w:val="24"/>
          <w:rtl w:val="true"/>
        </w:rPr>
        <w:t xml:space="preserve"> </w:t>
      </w:r>
      <w:r>
        <w:rPr>
          <w:rFonts w:ascii="Century" w:hAnsi="Century" w:cs="Miriam"/>
          <w:b/>
          <w:b/>
          <w:spacing w:val="0"/>
          <w:szCs w:val="24"/>
          <w:rtl w:val="true"/>
        </w:rPr>
        <w:t>המשיבה</w:t>
      </w:r>
    </w:p>
    <w:p>
      <w:pPr>
        <w:pStyle w:val="Ruller41"/>
        <w:spacing w:lineRule="auto" w:line="240"/>
        <w:ind w:end="0"/>
        <w:jc w:val="both"/>
        <w:rPr>
          <w:rFonts w:ascii="Century" w:hAnsi="Century" w:cs="Miriam"/>
          <w:b/>
          <w:spacing w:val="0"/>
          <w:szCs w:val="24"/>
        </w:rPr>
      </w:pPr>
      <w:r>
        <w:rPr>
          <w:rFonts w:cs="Miriam" w:ascii="Century" w:hAnsi="Century"/>
          <w:b/>
          <w:spacing w:val="0"/>
          <w:szCs w:val="24"/>
          <w:rtl w:val="true"/>
        </w:rPr>
      </w:r>
    </w:p>
    <w:p>
      <w:pPr>
        <w:pStyle w:val="Ruller42"/>
        <w:numPr>
          <w:ilvl w:val="0"/>
          <w:numId w:val="1"/>
        </w:numPr>
        <w:ind w:end="0"/>
        <w:jc w:val="both"/>
        <w:rPr/>
      </w:pPr>
      <w:r>
        <w:rPr>
          <w:rtl w:val="true"/>
        </w:rPr>
        <w:t>המשיבה סמכה את ידיה על גזר דינו של בית המשפט המחוזי וביקשה לדחות את הערעור</w:t>
      </w:r>
      <w:r>
        <w:rPr>
          <w:rtl w:val="true"/>
        </w:rPr>
        <w:t xml:space="preserve">. </w:t>
      </w:r>
      <w:r>
        <w:rPr>
          <w:rtl w:val="true"/>
        </w:rPr>
        <w:t>לטענתה</w:t>
      </w:r>
      <w:r>
        <w:rPr>
          <w:rtl w:val="true"/>
        </w:rPr>
        <w:t xml:space="preserve">, </w:t>
      </w:r>
      <w:r>
        <w:rPr>
          <w:rtl w:val="true"/>
        </w:rPr>
        <w:t>נסיבות מעשיו של המערער חמורות ממקרים אחרים</w:t>
      </w:r>
      <w:r>
        <w:rPr>
          <w:rtl w:val="true"/>
        </w:rPr>
        <w:t xml:space="preserve">, </w:t>
      </w:r>
      <w:r>
        <w:rPr>
          <w:rtl w:val="true"/>
        </w:rPr>
        <w:t>והנזקים שנגרמו למתלונן</w:t>
      </w:r>
      <w:r>
        <w:rPr>
          <w:rtl w:val="true"/>
        </w:rPr>
        <w:t xml:space="preserve">, </w:t>
      </w:r>
      <w:r>
        <w:rPr>
          <w:rtl w:val="true"/>
        </w:rPr>
        <w:t>יחד עם נסיבות האירוע</w:t>
      </w:r>
      <w:r>
        <w:rPr>
          <w:rtl w:val="true"/>
        </w:rPr>
        <w:t xml:space="preserve">, </w:t>
      </w:r>
      <w:r>
        <w:rPr>
          <w:rtl w:val="true"/>
        </w:rPr>
        <w:t>ותופעת השוד המתרחבת</w:t>
      </w:r>
      <w:r>
        <w:rPr>
          <w:rtl w:val="true"/>
        </w:rPr>
        <w:t xml:space="preserve">, </w:t>
      </w:r>
      <w:r>
        <w:rPr>
          <w:rtl w:val="true"/>
        </w:rPr>
        <w:t>מצדיקים כולם את גזר הדין שהושת על המערער</w:t>
      </w:r>
      <w:r>
        <w:rPr>
          <w:rtl w:val="true"/>
        </w:rPr>
        <w:t>.</w:t>
      </w:r>
    </w:p>
    <w:p>
      <w:pPr>
        <w:pStyle w:val="Ruller41"/>
        <w:spacing w:lineRule="auto" w:line="480"/>
        <w:ind w:end="0"/>
        <w:jc w:val="both"/>
        <w:rPr/>
      </w:pPr>
      <w:r>
        <w:rPr>
          <w:rtl w:val="true"/>
        </w:rPr>
      </w:r>
    </w:p>
    <w:p>
      <w:pPr>
        <w:pStyle w:val="Ruller41"/>
        <w:ind w:end="0"/>
        <w:jc w:val="both"/>
        <w:rPr>
          <w:rFonts w:ascii="Century" w:hAnsi="Century"/>
          <w:b/>
          <w:spacing w:val="0"/>
          <w:szCs w:val="24"/>
        </w:rPr>
      </w:pPr>
      <w:r>
        <w:rPr>
          <w:rFonts w:ascii="Century" w:hAnsi="Century" w:cs="Miriam"/>
          <w:b/>
          <w:b/>
          <w:spacing w:val="0"/>
          <w:szCs w:val="24"/>
          <w:rtl w:val="true"/>
        </w:rPr>
        <w:t>תסקיר</w:t>
      </w:r>
      <w:r>
        <w:rPr>
          <w:rFonts w:ascii="Century" w:hAnsi="Century" w:eastAsia="Century" w:cs="Century"/>
          <w:b/>
          <w:b/>
          <w:spacing w:val="0"/>
          <w:szCs w:val="24"/>
          <w:rtl w:val="true"/>
        </w:rPr>
        <w:t xml:space="preserve"> </w:t>
      </w:r>
      <w:r>
        <w:rPr>
          <w:rFonts w:ascii="Century" w:hAnsi="Century" w:cs="Miriam"/>
          <w:b/>
          <w:b/>
          <w:spacing w:val="0"/>
          <w:szCs w:val="24"/>
          <w:rtl w:val="true"/>
        </w:rPr>
        <w:t>שירות</w:t>
      </w:r>
      <w:r>
        <w:rPr>
          <w:rFonts w:ascii="Century" w:hAnsi="Century" w:eastAsia="Century" w:cs="Century"/>
          <w:b/>
          <w:b/>
          <w:spacing w:val="0"/>
          <w:szCs w:val="24"/>
          <w:rtl w:val="true"/>
        </w:rPr>
        <w:t xml:space="preserve"> </w:t>
      </w:r>
      <w:r>
        <w:rPr>
          <w:rFonts w:ascii="Century" w:hAnsi="Century" w:cs="Miriam"/>
          <w:b/>
          <w:b/>
          <w:spacing w:val="0"/>
          <w:szCs w:val="24"/>
          <w:rtl w:val="true"/>
        </w:rPr>
        <w:t>המבחן</w:t>
      </w:r>
    </w:p>
    <w:p>
      <w:pPr>
        <w:pStyle w:val="Ruller41"/>
        <w:ind w:end="0"/>
        <w:jc w:val="both"/>
        <w:rPr>
          <w:rFonts w:ascii="Century" w:hAnsi="Century" w:cs="Miriam"/>
          <w:b/>
          <w:spacing w:val="0"/>
          <w:szCs w:val="24"/>
        </w:rPr>
      </w:pPr>
      <w:r>
        <w:rPr>
          <w:rFonts w:cs="Miriam" w:ascii="Century" w:hAnsi="Century"/>
          <w:b/>
          <w:spacing w:val="0"/>
          <w:szCs w:val="24"/>
          <w:rtl w:val="true"/>
        </w:rPr>
      </w:r>
    </w:p>
    <w:p>
      <w:pPr>
        <w:pStyle w:val="Ruller42"/>
        <w:numPr>
          <w:ilvl w:val="0"/>
          <w:numId w:val="1"/>
        </w:numPr>
        <w:ind w:end="0"/>
        <w:jc w:val="both"/>
        <w:rPr/>
      </w:pPr>
      <w:r>
        <w:rPr>
          <w:rtl w:val="true"/>
        </w:rPr>
        <w:t xml:space="preserve">ביום </w:t>
      </w:r>
      <w:r>
        <w:rPr/>
        <w:t>13.11.2013</w:t>
      </w:r>
      <w:r>
        <w:rPr>
          <w:rtl w:val="true"/>
        </w:rPr>
        <w:t xml:space="preserve"> </w:t>
      </w:r>
      <w:r>
        <w:rPr>
          <w:rtl w:val="true"/>
        </w:rPr>
        <w:t>הוגש תסקיר משלים בעניינו של המערער</w:t>
      </w:r>
      <w:r>
        <w:rPr>
          <w:rtl w:val="true"/>
        </w:rPr>
        <w:t xml:space="preserve">. </w:t>
      </w:r>
      <w:r>
        <w:rPr>
          <w:rtl w:val="true"/>
        </w:rPr>
        <w:t xml:space="preserve">מהתסקיר עולה כי המערער הועבר בתקופת מאסרו פעמיים למסגרות כליאה אחרות </w:t>
      </w:r>
      <w:r>
        <w:rPr>
          <w:rtl w:val="true"/>
        </w:rPr>
        <w:t>(</w:t>
      </w:r>
      <w:r>
        <w:rPr>
          <w:rtl w:val="true"/>
        </w:rPr>
        <w:t xml:space="preserve">בחודשים יוני ואוקטובר </w:t>
      </w:r>
      <w:r>
        <w:rPr/>
        <w:t>2013</w:t>
      </w:r>
      <w:r>
        <w:rPr>
          <w:rtl w:val="true"/>
        </w:rPr>
        <w:t xml:space="preserve">), </w:t>
      </w:r>
      <w:r>
        <w:rPr>
          <w:rtl w:val="true"/>
        </w:rPr>
        <w:t>בעקבות סכסוכים עם אסירים אחרים</w:t>
      </w:r>
      <w:r>
        <w:rPr>
          <w:rtl w:val="true"/>
        </w:rPr>
        <w:t xml:space="preserve">. </w:t>
      </w:r>
      <w:r>
        <w:rPr>
          <w:rtl w:val="true"/>
        </w:rPr>
        <w:t>עוד נכתב בתסקיר כי המערער לא למד או עבד במסגרת מאסרו עד כה</w:t>
      </w:r>
      <w:r>
        <w:rPr>
          <w:rtl w:val="true"/>
        </w:rPr>
        <w:t xml:space="preserve">, </w:t>
      </w:r>
      <w:r>
        <w:rPr>
          <w:rtl w:val="true"/>
        </w:rPr>
        <w:t>אך גורמי הטיפול התרשמו כי הוא יציב ומאורגן נפשית</w:t>
      </w:r>
      <w:r>
        <w:rPr>
          <w:rtl w:val="true"/>
        </w:rPr>
        <w:t xml:space="preserve">. </w:t>
      </w:r>
      <w:r>
        <w:rPr>
          <w:rtl w:val="true"/>
        </w:rPr>
        <w:t>ממסגרת הכליאה הנוכחית בה נמצא המערער</w:t>
      </w:r>
      <w:r>
        <w:rPr>
          <w:rtl w:val="true"/>
        </w:rPr>
        <w:t xml:space="preserve">, </w:t>
      </w:r>
      <w:r>
        <w:rPr>
          <w:rtl w:val="true"/>
        </w:rPr>
        <w:t>אליה הועבר בחודש אוקטובר השנה</w:t>
      </w:r>
      <w:r>
        <w:rPr>
          <w:rtl w:val="true"/>
        </w:rPr>
        <w:t xml:space="preserve">, </w:t>
      </w:r>
      <w:r>
        <w:rPr>
          <w:rtl w:val="true"/>
        </w:rPr>
        <w:t>נמסר כי הוא עתיד להשתלב בתעסוקה וחינוך</w:t>
      </w:r>
      <w:r>
        <w:rPr>
          <w:rtl w:val="true"/>
        </w:rPr>
        <w:t xml:space="preserve">, </w:t>
      </w:r>
      <w:r>
        <w:rPr>
          <w:rtl w:val="true"/>
        </w:rPr>
        <w:t>והוא מגלה רצון להיעזר ולהשתלב בתוכניות השונות</w:t>
      </w:r>
      <w:r>
        <w:rPr>
          <w:rtl w:val="true"/>
        </w:rPr>
        <w:t xml:space="preserve">. </w:t>
      </w:r>
    </w:p>
    <w:p>
      <w:pPr>
        <w:pStyle w:val="Ruller41"/>
        <w:spacing w:lineRule="auto" w:line="480"/>
        <w:ind w:end="0"/>
        <w:jc w:val="both"/>
        <w:rPr>
          <w:rFonts w:ascii="Garamond" w:hAnsi="Garamond" w:cs="Garamond"/>
          <w:sz w:val="24"/>
        </w:rPr>
      </w:pPr>
      <w:r>
        <w:rPr>
          <w:rFonts w:cs="Garamond" w:ascii="Garamond" w:hAnsi="Garamond"/>
          <w:sz w:val="24"/>
          <w:rtl w:val="true"/>
        </w:rPr>
      </w:r>
    </w:p>
    <w:p>
      <w:pPr>
        <w:pStyle w:val="Ruller41"/>
        <w:ind w:end="0"/>
        <w:jc w:val="both"/>
        <w:rPr>
          <w:rFonts w:ascii="Century" w:hAnsi="Century"/>
          <w:b/>
          <w:spacing w:val="0"/>
          <w:szCs w:val="24"/>
        </w:rPr>
      </w:pPr>
      <w:r>
        <w:rPr>
          <w:rFonts w:ascii="Century" w:hAnsi="Century" w:cs="Miriam"/>
          <w:b/>
          <w:b/>
          <w:spacing w:val="0"/>
          <w:szCs w:val="24"/>
          <w:rtl w:val="true"/>
        </w:rPr>
        <w:t>דיון</w:t>
      </w:r>
      <w:r>
        <w:rPr>
          <w:rFonts w:ascii="Century" w:hAnsi="Century" w:eastAsia="Century" w:cs="Century"/>
          <w:b/>
          <w:b/>
          <w:spacing w:val="0"/>
          <w:szCs w:val="24"/>
          <w:rtl w:val="true"/>
        </w:rPr>
        <w:t xml:space="preserve"> </w:t>
      </w:r>
      <w:r>
        <w:rPr>
          <w:rFonts w:ascii="Century" w:hAnsi="Century" w:cs="Miriam"/>
          <w:b/>
          <w:b/>
          <w:spacing w:val="0"/>
          <w:szCs w:val="24"/>
          <w:rtl w:val="true"/>
        </w:rPr>
        <w:t>והכרעה</w:t>
      </w:r>
    </w:p>
    <w:p>
      <w:pPr>
        <w:pStyle w:val="Ruller41"/>
        <w:spacing w:lineRule="auto" w:line="240"/>
        <w:ind w:end="0"/>
        <w:jc w:val="both"/>
        <w:rPr>
          <w:rFonts w:ascii="Century" w:hAnsi="Century" w:cs="Miriam"/>
          <w:b/>
          <w:spacing w:val="0"/>
          <w:szCs w:val="24"/>
        </w:rPr>
      </w:pPr>
      <w:r>
        <w:rPr>
          <w:rFonts w:cs="Miriam" w:ascii="Century" w:hAnsi="Century"/>
          <w:b/>
          <w:spacing w:val="0"/>
          <w:szCs w:val="24"/>
          <w:rtl w:val="true"/>
        </w:rPr>
      </w:r>
    </w:p>
    <w:p>
      <w:pPr>
        <w:pStyle w:val="Ruller42"/>
        <w:numPr>
          <w:ilvl w:val="0"/>
          <w:numId w:val="1"/>
        </w:numPr>
        <w:ind w:end="0"/>
        <w:jc w:val="both"/>
        <w:rPr/>
      </w:pPr>
      <w:r>
        <w:rPr>
          <w:rtl w:val="true"/>
        </w:rPr>
        <w:t>לאחר שעיינתי בהודעת הערעור</w:t>
      </w:r>
      <w:r>
        <w:rPr>
          <w:rtl w:val="true"/>
        </w:rPr>
        <w:t xml:space="preserve">, </w:t>
      </w:r>
      <w:r>
        <w:rPr>
          <w:rtl w:val="true"/>
        </w:rPr>
        <w:t>בהכרעת הדין</w:t>
      </w:r>
      <w:r>
        <w:rPr>
          <w:rtl w:val="true"/>
        </w:rPr>
        <w:t xml:space="preserve">, </w:t>
      </w:r>
      <w:r>
        <w:rPr>
          <w:rtl w:val="true"/>
        </w:rPr>
        <w:t>ובגזר הדין של בית המשפט המחוזי</w:t>
      </w:r>
      <w:r>
        <w:rPr>
          <w:rtl w:val="true"/>
        </w:rPr>
        <w:t xml:space="preserve">, </w:t>
      </w:r>
      <w:r>
        <w:rPr>
          <w:rtl w:val="true"/>
        </w:rPr>
        <w:t>ולאחר ששמעתי את טענות הצדדים</w:t>
      </w:r>
      <w:r>
        <w:rPr>
          <w:rtl w:val="true"/>
        </w:rPr>
        <w:t xml:space="preserve">, </w:t>
      </w:r>
      <w:r>
        <w:rPr>
          <w:rtl w:val="true"/>
        </w:rPr>
        <w:t>הגעתי לכלל מסקנה כי דין הערעור להתקבל באופן חלקי</w:t>
      </w:r>
      <w:r>
        <w:rPr>
          <w:rtl w:val="true"/>
        </w:rPr>
        <w:t xml:space="preserve">, </w:t>
      </w:r>
      <w:r>
        <w:rPr>
          <w:rtl w:val="true"/>
        </w:rPr>
        <w:t>כפי שיפורט להלן</w:t>
      </w:r>
      <w:r>
        <w:rPr>
          <w:rtl w:val="true"/>
        </w:rPr>
        <w:t xml:space="preserve">, </w:t>
      </w:r>
      <w:r>
        <w:rPr>
          <w:rtl w:val="true"/>
        </w:rPr>
        <w:t>וכך אמליץ לחבריי לעשות</w:t>
      </w:r>
      <w:r>
        <w:rPr>
          <w:rtl w:val="true"/>
        </w:rPr>
        <w:t xml:space="preserve">.  </w:t>
      </w:r>
    </w:p>
    <w:p>
      <w:pPr>
        <w:pStyle w:val="Ruller42"/>
        <w:numPr>
          <w:ilvl w:val="0"/>
          <w:numId w:val="0"/>
        </w:numPr>
        <w:ind w:hanging="0" w:start="0" w:end="0"/>
        <w:jc w:val="both"/>
        <w:rPr/>
      </w:pPr>
      <w:r>
        <w:rPr>
          <w:rtl w:val="true"/>
        </w:rPr>
      </w:r>
    </w:p>
    <w:p>
      <w:pPr>
        <w:pStyle w:val="Ruller42"/>
        <w:numPr>
          <w:ilvl w:val="0"/>
          <w:numId w:val="1"/>
        </w:numPr>
        <w:ind w:end="0"/>
        <w:jc w:val="both"/>
        <w:rPr/>
      </w:pPr>
      <w:r>
        <w:rPr>
          <w:rtl w:val="true"/>
        </w:rPr>
        <w:t>כידוע</w:t>
      </w:r>
      <w:r>
        <w:rPr>
          <w:rtl w:val="true"/>
        </w:rPr>
        <w:t xml:space="preserve">, </w:t>
      </w:r>
      <w:r>
        <w:rPr>
          <w:rtl w:val="true"/>
        </w:rPr>
        <w:t>אין ערכאת הערעור מתערבת בחומרת העונש שנקבע על ידי הערכאה הדיונית</w:t>
      </w:r>
      <w:r>
        <w:rPr>
          <w:rtl w:val="true"/>
        </w:rPr>
        <w:t xml:space="preserve">, </w:t>
      </w:r>
      <w:r>
        <w:rPr>
          <w:rtl w:val="true"/>
        </w:rPr>
        <w:t xml:space="preserve">אלא במקרים חריגים </w:t>
      </w:r>
      <w:r>
        <w:rPr>
          <w:rtl w:val="true"/>
        </w:rPr>
        <w:t>(</w:t>
      </w:r>
      <w:hyperlink r:id="rId54">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3091/08</w:t>
        </w:r>
      </w:hyperlink>
      <w:r>
        <w:rPr>
          <w:rtl w:val="true"/>
        </w:rPr>
        <w:t xml:space="preserve"> </w:t>
      </w:r>
      <w:r>
        <w:rPr>
          <w:rFonts w:ascii="Century" w:hAnsi="Century" w:cs="Miriam"/>
          <w:b/>
          <w:b/>
          <w:spacing w:val="0"/>
          <w:szCs w:val="24"/>
          <w:rtl w:val="true"/>
        </w:rPr>
        <w:t>טרייגר</w:t>
      </w:r>
      <w:r>
        <w:rPr>
          <w:rFonts w:ascii="Century" w:hAnsi="Century" w:eastAsia="Century" w:cs="Century"/>
          <w:b/>
          <w:b/>
          <w:spacing w:val="0"/>
          <w:szCs w:val="24"/>
          <w:rtl w:val="true"/>
        </w:rPr>
        <w:t xml:space="preserve"> </w:t>
      </w:r>
      <w:r>
        <w:rPr>
          <w:rFonts w:ascii="Century" w:hAnsi="Century" w:cs="Miriam"/>
          <w:b/>
          <w:b/>
          <w:spacing w:val="0"/>
          <w:szCs w:val="24"/>
          <w:rtl w:val="true"/>
        </w:rPr>
        <w:t>נ</w:t>
      </w:r>
      <w:r>
        <w:rPr>
          <w:rFonts w:cs="Miriam" w:ascii="Century" w:hAnsi="Century"/>
          <w:b/>
          <w:spacing w:val="0"/>
          <w:szCs w:val="24"/>
          <w:rtl w:val="true"/>
        </w:rPr>
        <w:t xml:space="preserve">' </w:t>
      </w:r>
      <w:r>
        <w:rPr>
          <w:rFonts w:ascii="Century" w:hAnsi="Century" w:cs="Miriam"/>
          <w:b/>
          <w:b/>
          <w:spacing w:val="0"/>
          <w:szCs w:val="24"/>
          <w:rtl w:val="true"/>
        </w:rPr>
        <w:t>מדינת</w:t>
      </w:r>
      <w:r>
        <w:rPr>
          <w:rFonts w:ascii="Century" w:hAnsi="Century" w:eastAsia="Century" w:cs="Century"/>
          <w:b/>
          <w:b/>
          <w:spacing w:val="0"/>
          <w:szCs w:val="24"/>
          <w:rtl w:val="true"/>
        </w:rPr>
        <w:t xml:space="preserve"> </w:t>
      </w:r>
      <w:r>
        <w:rPr>
          <w:rFonts w:ascii="Century" w:hAnsi="Century" w:cs="Miriam"/>
          <w:b/>
          <w:b/>
          <w:spacing w:val="0"/>
          <w:szCs w:val="24"/>
          <w:rtl w:val="true"/>
        </w:rPr>
        <w:t>ישראל</w:t>
      </w:r>
      <w:r>
        <w:rPr>
          <w:rFonts w:ascii="Century" w:hAnsi="Century" w:eastAsia="Century" w:cs="Century"/>
          <w:b/>
          <w:b/>
          <w:spacing w:val="0"/>
          <w:szCs w:val="24"/>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cs="Century" w:ascii="Century" w:hAnsi="Century"/>
          <w:rtl w:val="true"/>
        </w:rPr>
        <w:t>(</w:t>
      </w:r>
      <w:r>
        <w:rPr>
          <w:rFonts w:cs="Century" w:ascii="Century" w:hAnsi="Century"/>
        </w:rPr>
        <w:t>29.1.2009</w:t>
      </w:r>
      <w:r>
        <w:rPr>
          <w:rFonts w:cs="Century" w:ascii="Century" w:hAnsi="Century"/>
          <w:rtl w:val="true"/>
        </w:rPr>
        <w:t xml:space="preserve">); </w:t>
      </w:r>
      <w:hyperlink r:id="rId55">
        <w:r>
          <w:rPr>
            <w:rStyle w:val="Hyperlink"/>
            <w:rFonts w:ascii="Century" w:hAnsi="Century" w:cs="Century"/>
            <w:color w:val="0000FF"/>
            <w:u w:val="single"/>
            <w:rtl w:val="true"/>
          </w:rPr>
          <w:t>ע</w:t>
        </w:r>
        <w:r>
          <w:rPr>
            <w:rStyle w:val="Hyperlink"/>
            <w:rFonts w:cs="Century" w:ascii="Century" w:hAnsi="Century"/>
            <w:color w:val="0000FF"/>
            <w:u w:val="single"/>
            <w:rtl w:val="true"/>
          </w:rPr>
          <w:t>"</w:t>
        </w:r>
        <w:r>
          <w:rPr>
            <w:rStyle w:val="Hyperlink"/>
            <w:rFonts w:ascii="Century" w:hAnsi="Century" w:cs="Century"/>
            <w:color w:val="0000FF"/>
            <w:u w:val="single"/>
            <w:rtl w:val="true"/>
          </w:rPr>
          <w:t>פ</w:t>
        </w:r>
        <w:r>
          <w:rPr>
            <w:rStyle w:val="Hyperlink"/>
            <w:rFonts w:ascii="Century" w:hAnsi="Century" w:cs="Century"/>
            <w:color w:val="0000FF"/>
            <w:u w:val="single"/>
            <w:rtl w:val="true"/>
          </w:rPr>
          <w:t xml:space="preserve"> </w:t>
        </w:r>
        <w:r>
          <w:rPr>
            <w:rStyle w:val="Hyperlink"/>
            <w:rFonts w:cs="Century" w:ascii="Century" w:hAnsi="Century"/>
            <w:color w:val="0000FF"/>
            <w:u w:val="single"/>
          </w:rPr>
          <w:t>7563/08</w:t>
        </w:r>
      </w:hyperlink>
      <w:r>
        <w:rPr>
          <w:rFonts w:cs="Century" w:ascii="Century" w:hAnsi="Century"/>
          <w:rtl w:val="true"/>
        </w:rPr>
        <w:t xml:space="preserve"> </w:t>
      </w:r>
      <w:r>
        <w:rPr>
          <w:rFonts w:ascii="Century" w:hAnsi="Century" w:cs="Miriam"/>
          <w:b/>
          <w:b/>
          <w:spacing w:val="0"/>
          <w:szCs w:val="24"/>
          <w:rtl w:val="true"/>
        </w:rPr>
        <w:t>אבו</w:t>
      </w:r>
      <w:r>
        <w:rPr>
          <w:rFonts w:ascii="Century" w:hAnsi="Century" w:eastAsia="Century" w:cs="Century"/>
          <w:b/>
          <w:b/>
          <w:spacing w:val="0"/>
          <w:szCs w:val="24"/>
          <w:rtl w:val="true"/>
        </w:rPr>
        <w:t xml:space="preserve"> </w:t>
      </w:r>
      <w:r>
        <w:rPr>
          <w:rFonts w:ascii="Century" w:hAnsi="Century" w:cs="Miriam"/>
          <w:b/>
          <w:b/>
          <w:spacing w:val="0"/>
          <w:szCs w:val="24"/>
          <w:rtl w:val="true"/>
        </w:rPr>
        <w:t>סביח</w:t>
      </w:r>
      <w:r>
        <w:rPr>
          <w:rFonts w:ascii="Century" w:hAnsi="Century" w:eastAsia="Century" w:cs="Century"/>
          <w:b/>
          <w:b/>
          <w:spacing w:val="0"/>
          <w:szCs w:val="24"/>
          <w:rtl w:val="true"/>
        </w:rPr>
        <w:t xml:space="preserve"> </w:t>
      </w:r>
      <w:r>
        <w:rPr>
          <w:rFonts w:ascii="Century" w:hAnsi="Century" w:cs="Miriam"/>
          <w:b/>
          <w:b/>
          <w:spacing w:val="0"/>
          <w:szCs w:val="24"/>
          <w:rtl w:val="true"/>
        </w:rPr>
        <w:t>נ</w:t>
      </w:r>
      <w:r>
        <w:rPr>
          <w:rFonts w:cs="Miriam" w:ascii="Century" w:hAnsi="Century"/>
          <w:b/>
          <w:spacing w:val="0"/>
          <w:szCs w:val="24"/>
          <w:rtl w:val="true"/>
        </w:rPr>
        <w:t xml:space="preserve">' </w:t>
      </w:r>
      <w:r>
        <w:rPr>
          <w:rFonts w:ascii="Century" w:hAnsi="Century" w:cs="Miriam"/>
          <w:b/>
          <w:b/>
          <w:spacing w:val="0"/>
          <w:szCs w:val="24"/>
          <w:rtl w:val="true"/>
        </w:rPr>
        <w:t>מדינת</w:t>
      </w:r>
      <w:r>
        <w:rPr>
          <w:rFonts w:ascii="Century" w:hAnsi="Century" w:eastAsia="Century" w:cs="Century"/>
          <w:b/>
          <w:b/>
          <w:spacing w:val="0"/>
          <w:szCs w:val="24"/>
          <w:rtl w:val="true"/>
        </w:rPr>
        <w:t xml:space="preserve"> </w:t>
      </w:r>
      <w:r>
        <w:rPr>
          <w:rFonts w:ascii="Century" w:hAnsi="Century" w:cs="Miriam"/>
          <w:b/>
          <w:b/>
          <w:spacing w:val="0"/>
          <w:szCs w:val="24"/>
          <w:rtl w:val="true"/>
        </w:rPr>
        <w:t>ישראל</w:t>
      </w:r>
      <w:r>
        <w:rPr>
          <w:rFonts w:ascii="Century" w:hAnsi="Century" w:eastAsia="Century" w:cs="Century"/>
          <w:b/>
          <w:b/>
          <w:spacing w:val="0"/>
          <w:szCs w:val="24"/>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cs="Century" w:ascii="Century" w:hAnsi="Century"/>
          <w:rtl w:val="true"/>
        </w:rPr>
        <w:t>(</w:t>
      </w:r>
      <w:r>
        <w:rPr>
          <w:rFonts w:cs="Century" w:ascii="Century" w:hAnsi="Century"/>
        </w:rPr>
        <w:t>4.3.2009</w:t>
      </w:r>
      <w:r>
        <w:rPr>
          <w:rFonts w:cs="Century" w:ascii="Century" w:hAnsi="Century"/>
          <w:rtl w:val="true"/>
        </w:rPr>
        <w:t xml:space="preserve">); </w:t>
      </w:r>
      <w:hyperlink r:id="rId56">
        <w:r>
          <w:rPr>
            <w:rStyle w:val="Hyperlink"/>
            <w:rFonts w:ascii="Century" w:hAnsi="Century" w:cs="Century"/>
            <w:color w:val="0000FF"/>
            <w:u w:val="single"/>
            <w:rtl w:val="true"/>
          </w:rPr>
          <w:t>ע</w:t>
        </w:r>
        <w:r>
          <w:rPr>
            <w:rStyle w:val="Hyperlink"/>
            <w:rFonts w:cs="Century" w:ascii="Century" w:hAnsi="Century"/>
            <w:color w:val="0000FF"/>
            <w:u w:val="single"/>
            <w:rtl w:val="true"/>
          </w:rPr>
          <w:t>"</w:t>
        </w:r>
        <w:r>
          <w:rPr>
            <w:rStyle w:val="Hyperlink"/>
            <w:rFonts w:ascii="Century" w:hAnsi="Century" w:cs="Century"/>
            <w:color w:val="0000FF"/>
            <w:u w:val="single"/>
            <w:rtl w:val="true"/>
          </w:rPr>
          <w:t>פ</w:t>
        </w:r>
        <w:r>
          <w:rPr>
            <w:rStyle w:val="Hyperlink"/>
            <w:rFonts w:ascii="Century" w:hAnsi="Century" w:cs="Century"/>
            <w:color w:val="0000FF"/>
            <w:u w:val="single"/>
            <w:rtl w:val="true"/>
          </w:rPr>
          <w:t xml:space="preserve"> </w:t>
        </w:r>
        <w:r>
          <w:rPr>
            <w:rStyle w:val="Hyperlink"/>
            <w:rFonts w:cs="Century" w:ascii="Century" w:hAnsi="Century"/>
            <w:color w:val="0000FF"/>
            <w:u w:val="single"/>
          </w:rPr>
          <w:t>7439/08</w:t>
        </w:r>
      </w:hyperlink>
      <w:r>
        <w:rPr>
          <w:rFonts w:cs="Century" w:ascii="Century" w:hAnsi="Century"/>
          <w:rtl w:val="true"/>
        </w:rPr>
        <w:t xml:space="preserve"> </w:t>
      </w:r>
      <w:r>
        <w:rPr>
          <w:rFonts w:ascii="Century" w:hAnsi="Century" w:cs="Miriam"/>
          <w:b/>
          <w:b/>
          <w:spacing w:val="0"/>
          <w:szCs w:val="24"/>
          <w:rtl w:val="true"/>
        </w:rPr>
        <w:t>פלוני</w:t>
      </w:r>
      <w:r>
        <w:rPr>
          <w:rFonts w:ascii="Century" w:hAnsi="Century" w:eastAsia="Century" w:cs="Century"/>
          <w:b/>
          <w:b/>
          <w:spacing w:val="0"/>
          <w:szCs w:val="24"/>
          <w:rtl w:val="true"/>
        </w:rPr>
        <w:t xml:space="preserve"> </w:t>
      </w:r>
      <w:r>
        <w:rPr>
          <w:rFonts w:ascii="Century" w:hAnsi="Century" w:cs="Miriam"/>
          <w:b/>
          <w:b/>
          <w:spacing w:val="0"/>
          <w:szCs w:val="24"/>
          <w:rtl w:val="true"/>
        </w:rPr>
        <w:t>נ</w:t>
      </w:r>
      <w:r>
        <w:rPr>
          <w:rFonts w:cs="Miriam" w:ascii="Century" w:hAnsi="Century"/>
          <w:b/>
          <w:spacing w:val="0"/>
          <w:szCs w:val="24"/>
          <w:rtl w:val="true"/>
        </w:rPr>
        <w:t xml:space="preserve">' </w:t>
      </w:r>
      <w:r>
        <w:rPr>
          <w:rFonts w:ascii="Century" w:hAnsi="Century" w:cs="Miriam"/>
          <w:b/>
          <w:b/>
          <w:spacing w:val="0"/>
          <w:szCs w:val="24"/>
          <w:rtl w:val="true"/>
        </w:rPr>
        <w:t>מדינת</w:t>
      </w:r>
      <w:r>
        <w:rPr>
          <w:rFonts w:ascii="Century" w:hAnsi="Century" w:eastAsia="Century" w:cs="Century"/>
          <w:b/>
          <w:b/>
          <w:spacing w:val="0"/>
          <w:szCs w:val="24"/>
          <w:rtl w:val="true"/>
        </w:rPr>
        <w:t xml:space="preserve"> </w:t>
      </w:r>
      <w:r>
        <w:rPr>
          <w:rFonts w:ascii="Century" w:hAnsi="Century" w:cs="Miriam"/>
          <w:b/>
          <w:b/>
          <w:spacing w:val="0"/>
          <w:szCs w:val="24"/>
          <w:rtl w:val="true"/>
        </w:rPr>
        <w:t>ישראל</w:t>
      </w:r>
      <w:r>
        <w:rPr>
          <w:rFonts w:ascii="Century" w:hAnsi="Century" w:eastAsia="Century" w:cs="Century"/>
          <w:b/>
          <w:b/>
          <w:spacing w:val="0"/>
          <w:szCs w:val="24"/>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cs="Century" w:ascii="Century" w:hAnsi="Century"/>
          <w:rtl w:val="true"/>
        </w:rPr>
        <w:t>(</w:t>
      </w:r>
      <w:r>
        <w:rPr>
          <w:rFonts w:cs="Century" w:ascii="Century" w:hAnsi="Century"/>
        </w:rPr>
        <w:t>4.3.2009</w:t>
      </w:r>
      <w:r>
        <w:rPr>
          <w:rFonts w:cs="Century" w:ascii="Century" w:hAnsi="Century"/>
          <w:rtl w:val="true"/>
        </w:rPr>
        <w:t>)</w:t>
      </w:r>
      <w:r>
        <w:rPr>
          <w:rtl w:val="true"/>
        </w:rPr>
        <w:t xml:space="preserve">; </w:t>
      </w:r>
      <w:hyperlink r:id="rId57">
        <w:r>
          <w:rPr>
            <w:rStyle w:val="Hyperlink"/>
            <w:rtl w:val="true"/>
          </w:rPr>
          <w:t>ע</w:t>
        </w:r>
        <w:r>
          <w:rPr>
            <w:rStyle w:val="Hyperlink"/>
            <w:rtl w:val="true"/>
          </w:rPr>
          <w:t>''</w:t>
        </w:r>
        <w:r>
          <w:rPr>
            <w:rStyle w:val="Hyperlink"/>
            <w:rtl w:val="true"/>
          </w:rPr>
          <w:t xml:space="preserve">פ </w:t>
        </w:r>
        <w:r>
          <w:rPr>
            <w:rStyle w:val="Hyperlink"/>
          </w:rPr>
          <w:t>9437/08</w:t>
        </w:r>
      </w:hyperlink>
      <w:r>
        <w:rPr>
          <w:rtl w:val="true"/>
        </w:rPr>
        <w:t xml:space="preserve"> </w:t>
      </w:r>
      <w:r>
        <w:rPr>
          <w:rFonts w:cs="Miriam"/>
          <w:szCs w:val="24"/>
          <w:rtl w:val="true"/>
        </w:rPr>
        <w:t>אלגריסי</w:t>
      </w:r>
      <w:r>
        <w:rPr>
          <w:rFonts w:eastAsia="Garamond"/>
          <w:szCs w:val="24"/>
          <w:rtl w:val="true"/>
        </w:rPr>
        <w:t xml:space="preserve"> </w:t>
      </w:r>
      <w:r>
        <w:rPr>
          <w:rFonts w:cs="Miriam"/>
          <w:szCs w:val="24"/>
          <w:rtl w:val="true"/>
        </w:rPr>
        <w:t>נ</w:t>
      </w:r>
      <w:r>
        <w:rPr>
          <w:rFonts w:cs="Miriam"/>
          <w:szCs w:val="24"/>
          <w:rtl w:val="true"/>
        </w:rPr>
        <w:t xml:space="preserve">' </w:t>
      </w:r>
      <w:r>
        <w:rPr>
          <w:rFonts w:cs="Miriam"/>
          <w:szCs w:val="24"/>
          <w:rtl w:val="true"/>
        </w:rPr>
        <w:t>מדינת</w:t>
      </w:r>
      <w:r>
        <w:rPr>
          <w:rFonts w:eastAsia="Garamond"/>
          <w:szCs w:val="24"/>
          <w:rtl w:val="true"/>
        </w:rPr>
        <w:t xml:space="preserve"> </w:t>
      </w:r>
      <w:r>
        <w:rPr>
          <w:rFonts w:cs="Miriam"/>
          <w:szCs w:val="24"/>
          <w:rtl w:val="true"/>
        </w:rPr>
        <w:t>ישראל</w:t>
      </w:r>
      <w:r>
        <w:rPr>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tl w:val="true"/>
        </w:rPr>
        <w:t>(</w:t>
      </w:r>
      <w:r>
        <w:rPr/>
        <w:t>12.5.2009</w:t>
      </w:r>
      <w:r>
        <w:rPr>
          <w:rtl w:val="true"/>
        </w:rPr>
        <w:t xml:space="preserve">); </w:t>
      </w:r>
      <w:hyperlink r:id="rId58">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5931/11</w:t>
        </w:r>
      </w:hyperlink>
      <w:r>
        <w:rPr>
          <w:rtl w:val="true"/>
        </w:rPr>
        <w:t xml:space="preserve"> </w:t>
      </w:r>
      <w:r>
        <w:rPr>
          <w:rFonts w:ascii="Century" w:hAnsi="Century" w:cs="Miriam"/>
          <w:b/>
          <w:b/>
          <w:spacing w:val="0"/>
          <w:sz w:val="22"/>
          <w:sz w:val="22"/>
          <w:szCs w:val="24"/>
          <w:rtl w:val="true"/>
        </w:rPr>
        <w:t>עבדולייב</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ascii="Century" w:hAnsi="Century" w:eastAsia="Century" w:cs="Century"/>
          <w:b/>
          <w:b/>
          <w:spacing w:val="0"/>
          <w:sz w:val="22"/>
          <w:sz w:val="22"/>
          <w:szCs w:val="24"/>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cs="Century" w:ascii="Century" w:hAnsi="Century"/>
          <w:sz w:val="22"/>
          <w:rtl w:val="true"/>
        </w:rPr>
        <w:t>(</w:t>
      </w:r>
      <w:r>
        <w:rPr>
          <w:rFonts w:cs="Century" w:ascii="Century" w:hAnsi="Century"/>
          <w:sz w:val="22"/>
        </w:rPr>
        <w:t>22.10.2013</w:t>
      </w:r>
      <w:r>
        <w:rPr>
          <w:rFonts w:cs="Century" w:ascii="Century" w:hAnsi="Century"/>
          <w:sz w:val="22"/>
          <w:rtl w:val="true"/>
        </w:rPr>
        <w:t>)</w:t>
      </w:r>
      <w:r>
        <w:rPr>
          <w:rtl w:val="true"/>
        </w:rPr>
        <w:t xml:space="preserve">). </w:t>
      </w:r>
      <w:r>
        <w:rPr>
          <w:rtl w:val="true"/>
        </w:rPr>
        <w:t xml:space="preserve">הדברים נכונים גם לאחר כניסתו לתוקף של תיקון </w:t>
      </w:r>
      <w:r>
        <w:rPr/>
        <w:t>113</w:t>
      </w:r>
      <w:r>
        <w:rPr>
          <w:rtl w:val="true"/>
        </w:rPr>
        <w:t xml:space="preserve"> </w:t>
      </w:r>
      <w:r>
        <w:rPr>
          <w:rtl w:val="true"/>
        </w:rPr>
        <w:t>ל</w:t>
      </w:r>
      <w:hyperlink r:id="rId59">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r>
        <w:rPr>
          <w:rtl w:val="true"/>
        </w:rPr>
        <w:t>ואף במקרים בהם לא נקבע מתחם ענישה הולם</w:t>
      </w:r>
      <w:r>
        <w:rPr>
          <w:rtl w:val="true"/>
        </w:rPr>
        <w:t xml:space="preserve">, </w:t>
      </w:r>
      <w:r>
        <w:rPr>
          <w:rtl w:val="true"/>
        </w:rPr>
        <w:t xml:space="preserve">כנדרש על פי החוק </w:t>
      </w:r>
      <w:r>
        <w:rPr>
          <w:rtl w:val="true"/>
        </w:rPr>
        <w:t>(</w:t>
      </w:r>
      <w:r>
        <w:rPr>
          <w:rtl w:val="true"/>
        </w:rPr>
        <w:t>ראו</w:t>
      </w:r>
      <w:r>
        <w:rPr>
          <w:rtl w:val="true"/>
        </w:rPr>
        <w:t xml:space="preserve">: </w:t>
      </w:r>
      <w:hyperlink r:id="rId60">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2357/13</w:t>
        </w:r>
      </w:hyperlink>
      <w:r>
        <w:rPr>
          <w:rtl w:val="true"/>
        </w:rPr>
        <w:t xml:space="preserve"> </w:t>
      </w:r>
      <w:r>
        <w:rPr>
          <w:rFonts w:ascii="Century" w:hAnsi="Century" w:cs="Miriam"/>
          <w:b/>
          <w:b/>
          <w:spacing w:val="0"/>
          <w:sz w:val="22"/>
          <w:sz w:val="22"/>
          <w:szCs w:val="24"/>
          <w:rtl w:val="true"/>
        </w:rPr>
        <w:t>רוש</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cs="Century" w:ascii="Century" w:hAnsi="Century"/>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ascii="Century" w:hAnsi="Century" w:cs="Century"/>
          <w:sz w:val="22"/>
          <w:sz w:val="22"/>
          <w:rtl w:val="true"/>
        </w:rPr>
        <w:t>פסקאות ט</w:t>
      </w:r>
      <w:r>
        <w:rPr>
          <w:rFonts w:cs="Century" w:ascii="Century" w:hAnsi="Century"/>
          <w:sz w:val="22"/>
          <w:rtl w:val="true"/>
        </w:rPr>
        <w:t>"</w:t>
      </w:r>
      <w:r>
        <w:rPr>
          <w:rFonts w:ascii="Century" w:hAnsi="Century" w:cs="Century"/>
          <w:sz w:val="22"/>
          <w:sz w:val="22"/>
          <w:rtl w:val="true"/>
        </w:rPr>
        <w:t>ו</w:t>
      </w:r>
      <w:r>
        <w:rPr>
          <w:rFonts w:cs="Century" w:ascii="Century" w:hAnsi="Century"/>
          <w:sz w:val="22"/>
          <w:rtl w:val="true"/>
        </w:rPr>
        <w:t>-</w:t>
      </w:r>
      <w:r>
        <w:rPr>
          <w:rFonts w:ascii="Century" w:hAnsi="Century" w:cs="Century"/>
          <w:sz w:val="22"/>
          <w:sz w:val="22"/>
          <w:rtl w:val="true"/>
        </w:rPr>
        <w:t>ט</w:t>
      </w:r>
      <w:r>
        <w:rPr>
          <w:rFonts w:cs="Century" w:ascii="Century" w:hAnsi="Century"/>
          <w:sz w:val="22"/>
          <w:rtl w:val="true"/>
        </w:rPr>
        <w:t>"</w:t>
      </w:r>
      <w:r>
        <w:rPr>
          <w:rFonts w:ascii="Century" w:hAnsi="Century" w:cs="Century"/>
          <w:sz w:val="22"/>
          <w:sz w:val="22"/>
          <w:rtl w:val="true"/>
        </w:rPr>
        <w:t xml:space="preserve">ז לפסק דינו של השופט </w:t>
      </w:r>
      <w:r>
        <w:rPr>
          <w:rFonts w:ascii="Century" w:hAnsi="Century" w:cs="Miriam"/>
          <w:b/>
          <w:b/>
          <w:spacing w:val="0"/>
          <w:sz w:val="22"/>
          <w:sz w:val="22"/>
          <w:szCs w:val="24"/>
          <w:rtl w:val="true"/>
        </w:rPr>
        <w:t>א</w:t>
      </w:r>
      <w:r>
        <w:rPr>
          <w:rFonts w:cs="Miriam" w:ascii="Century" w:hAnsi="Century"/>
          <w:b/>
          <w:spacing w:val="0"/>
          <w:sz w:val="22"/>
          <w:szCs w:val="24"/>
          <w:rtl w:val="true"/>
        </w:rPr>
        <w:t xml:space="preserve">' </w:t>
      </w:r>
      <w:r>
        <w:rPr>
          <w:rFonts w:ascii="Century" w:hAnsi="Century" w:cs="Miriam"/>
          <w:b/>
          <w:b/>
          <w:spacing w:val="0"/>
          <w:sz w:val="22"/>
          <w:sz w:val="22"/>
          <w:szCs w:val="24"/>
          <w:rtl w:val="true"/>
        </w:rPr>
        <w:t>רובינשטיין</w:t>
      </w:r>
      <w:r>
        <w:rPr>
          <w:rFonts w:ascii="Century" w:hAnsi="Century" w:cs="Century"/>
          <w:sz w:val="22"/>
          <w:sz w:val="22"/>
          <w:rtl w:val="true"/>
        </w:rPr>
        <w:t xml:space="preserve"> </w:t>
      </w:r>
      <w:r>
        <w:rPr>
          <w:rFonts w:cs="Century" w:ascii="Century" w:hAnsi="Century"/>
          <w:sz w:val="22"/>
          <w:rtl w:val="true"/>
        </w:rPr>
        <w:t>(</w:t>
      </w:r>
      <w:r>
        <w:rPr/>
        <w:t>6.10.2013</w:t>
      </w:r>
      <w:r>
        <w:rPr>
          <w:rtl w:val="true"/>
        </w:rPr>
        <w:t xml:space="preserve">); </w:t>
      </w:r>
      <w:hyperlink r:id="rId61">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1846/13</w:t>
        </w:r>
      </w:hyperlink>
      <w:r>
        <w:rPr>
          <w:rtl w:val="true"/>
        </w:rPr>
        <w:t xml:space="preserve"> </w:t>
      </w:r>
      <w:r>
        <w:rPr>
          <w:rFonts w:ascii="Century" w:hAnsi="Century" w:cs="Miriam"/>
          <w:b/>
          <w:b/>
          <w:spacing w:val="0"/>
          <w:sz w:val="22"/>
          <w:sz w:val="22"/>
          <w:szCs w:val="24"/>
          <w:rtl w:val="true"/>
        </w:rPr>
        <w:t>עמאש</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cs="Century" w:ascii="Century" w:hAnsi="Century"/>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ascii="Century" w:hAnsi="Century" w:cs="Century"/>
          <w:sz w:val="22"/>
          <w:sz w:val="22"/>
          <w:rtl w:val="true"/>
        </w:rPr>
        <w:t>פסקאו</w:t>
      </w:r>
      <w:r>
        <w:rPr>
          <w:rFonts w:ascii="Century" w:hAnsi="Century" w:cs="Century"/>
          <w:sz w:val="22"/>
          <w:sz w:val="22"/>
          <w:rtl w:val="true"/>
        </w:rPr>
        <w:t>ת</w:t>
      </w:r>
      <w:r>
        <w:rPr>
          <w:rFonts w:ascii="Century" w:hAnsi="Century" w:cs="Century"/>
          <w:sz w:val="22"/>
          <w:sz w:val="22"/>
          <w:rtl w:val="true"/>
        </w:rPr>
        <w:t xml:space="preserve"> </w:t>
      </w:r>
      <w:r>
        <w:rPr>
          <w:rFonts w:cs="Century" w:ascii="Century" w:hAnsi="Century"/>
          <w:sz w:val="22"/>
        </w:rPr>
        <w:t>11-10</w:t>
      </w:r>
      <w:r>
        <w:rPr>
          <w:rFonts w:cs="Century" w:ascii="Century" w:hAnsi="Century"/>
          <w:sz w:val="22"/>
          <w:rtl w:val="true"/>
        </w:rPr>
        <w:t xml:space="preserve"> </w:t>
      </w:r>
      <w:r>
        <w:rPr>
          <w:rFonts w:ascii="Century" w:hAnsi="Century" w:cs="Century"/>
          <w:sz w:val="22"/>
          <w:sz w:val="22"/>
          <w:rtl w:val="true"/>
        </w:rPr>
        <w:t xml:space="preserve">לפסק דינו של השופט </w:t>
      </w:r>
      <w:r>
        <w:rPr>
          <w:rFonts w:ascii="Century" w:hAnsi="Century" w:cs="Miriam"/>
          <w:b/>
          <w:b/>
          <w:spacing w:val="0"/>
          <w:sz w:val="22"/>
          <w:sz w:val="22"/>
          <w:szCs w:val="24"/>
          <w:rtl w:val="true"/>
        </w:rPr>
        <w:t>ח</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מלצר</w:t>
      </w:r>
      <w:r>
        <w:rPr>
          <w:rFonts w:ascii="Century" w:hAnsi="Century" w:cs="Century"/>
          <w:sz w:val="22"/>
          <w:sz w:val="22"/>
          <w:rtl w:val="true"/>
        </w:rPr>
        <w:t xml:space="preserve"> </w:t>
      </w:r>
      <w:r>
        <w:rPr>
          <w:rFonts w:cs="Century" w:ascii="Century" w:hAnsi="Century"/>
          <w:sz w:val="22"/>
          <w:rtl w:val="true"/>
        </w:rPr>
        <w:t>(</w:t>
      </w:r>
      <w:r>
        <w:rPr>
          <w:rFonts w:cs="Century" w:ascii="Century" w:hAnsi="Century"/>
          <w:sz w:val="22"/>
        </w:rPr>
        <w:t>1.12.2013</w:t>
      </w:r>
      <w:r>
        <w:rPr>
          <w:rFonts w:cs="Century" w:ascii="Century" w:hAnsi="Century"/>
          <w:sz w:val="22"/>
          <w:rtl w:val="true"/>
        </w:rPr>
        <w:t xml:space="preserve">); </w:t>
      </w:r>
      <w:r>
        <w:rPr>
          <w:rFonts w:ascii="Century" w:hAnsi="Century" w:cs="Century"/>
          <w:sz w:val="22"/>
          <w:sz w:val="22"/>
          <w:rtl w:val="true"/>
        </w:rPr>
        <w:t>אך ראו גם פסיקת בית משפט זה מהעת האחרונה המבקרת את פסקי הדין בערכאות הנמוכות שאינם פועלים על פי הוראות התיקון</w:t>
      </w:r>
      <w:r>
        <w:rPr>
          <w:rFonts w:cs="Century" w:ascii="Century" w:hAnsi="Century"/>
          <w:sz w:val="22"/>
          <w:rtl w:val="true"/>
        </w:rPr>
        <w:t xml:space="preserve">: </w:t>
      </w:r>
      <w:hyperlink r:id="rId62">
        <w:r>
          <w:rPr>
            <w:rStyle w:val="Hyperlink"/>
            <w:rFonts w:ascii="Century" w:hAnsi="Century" w:cs="Century"/>
            <w:color w:val="0000FF"/>
            <w:sz w:val="22"/>
            <w:sz w:val="22"/>
            <w:u w:val="single"/>
            <w:rtl w:val="true"/>
          </w:rPr>
          <w:t>ע</w:t>
        </w:r>
        <w:r>
          <w:rPr>
            <w:rStyle w:val="Hyperlink"/>
            <w:rFonts w:cs="Century" w:ascii="Century" w:hAnsi="Century"/>
            <w:color w:val="0000FF"/>
            <w:sz w:val="22"/>
            <w:u w:val="single"/>
            <w:rtl w:val="true"/>
          </w:rPr>
          <w:t>"</w:t>
        </w:r>
        <w:r>
          <w:rPr>
            <w:rStyle w:val="Hyperlink"/>
            <w:rFonts w:ascii="Century" w:hAnsi="Century" w:cs="Century"/>
            <w:color w:val="0000FF"/>
            <w:sz w:val="22"/>
            <w:sz w:val="22"/>
            <w:u w:val="single"/>
            <w:rtl w:val="true"/>
          </w:rPr>
          <w:t>פ</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4815/13</w:t>
        </w:r>
      </w:hyperlink>
      <w:r>
        <w:rPr>
          <w:rFonts w:cs="Century" w:ascii="Century" w:hAnsi="Century"/>
          <w:sz w:val="22"/>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אלעוקבי</w:t>
      </w:r>
      <w:r>
        <w:rPr>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tl w:val="true"/>
        </w:rPr>
        <w:t>פסקאו</w:t>
      </w:r>
      <w:r>
        <w:rPr>
          <w:rtl w:val="true"/>
        </w:rPr>
        <w:t>ת</w:t>
      </w:r>
      <w:r>
        <w:rPr>
          <w:rtl w:val="true"/>
        </w:rPr>
        <w:t xml:space="preserve"> </w:t>
      </w:r>
      <w:r>
        <w:rPr/>
        <w:t>12-11</w:t>
      </w:r>
      <w:r>
        <w:rPr>
          <w:rtl w:val="true"/>
        </w:rPr>
        <w:t xml:space="preserve"> </w:t>
      </w:r>
      <w:r>
        <w:rPr>
          <w:rtl w:val="true"/>
        </w:rPr>
        <w:t xml:space="preserve">לפסק דינו של השופט </w:t>
      </w:r>
      <w:r>
        <w:rPr>
          <w:rFonts w:ascii="Century" w:hAnsi="Century" w:cs="Miriam"/>
          <w:b/>
          <w:b/>
          <w:spacing w:val="0"/>
          <w:sz w:val="22"/>
          <w:sz w:val="22"/>
          <w:szCs w:val="24"/>
          <w:rtl w:val="true"/>
        </w:rPr>
        <w:t>א</w:t>
      </w:r>
      <w:r>
        <w:rPr>
          <w:rFonts w:cs="Miriam" w:ascii="Century" w:hAnsi="Century"/>
          <w:b/>
          <w:spacing w:val="0"/>
          <w:sz w:val="22"/>
          <w:szCs w:val="24"/>
          <w:rtl w:val="true"/>
        </w:rPr>
        <w:t xml:space="preserve">' </w:t>
      </w:r>
      <w:r>
        <w:rPr>
          <w:rFonts w:ascii="Century" w:hAnsi="Century" w:cs="Miriam"/>
          <w:b/>
          <w:b/>
          <w:spacing w:val="0"/>
          <w:sz w:val="22"/>
          <w:sz w:val="22"/>
          <w:szCs w:val="24"/>
          <w:rtl w:val="true"/>
        </w:rPr>
        <w:t>שהם</w:t>
      </w:r>
      <w:r>
        <w:rPr>
          <w:rFonts w:ascii="Century" w:hAnsi="Century" w:cs="Century"/>
          <w:sz w:val="22"/>
          <w:sz w:val="22"/>
          <w:rtl w:val="true"/>
        </w:rPr>
        <w:t xml:space="preserve"> </w:t>
      </w:r>
      <w:r>
        <w:rPr>
          <w:rFonts w:cs="Century" w:ascii="Century" w:hAnsi="Century"/>
          <w:sz w:val="22"/>
          <w:rtl w:val="true"/>
        </w:rPr>
        <w:t>(</w:t>
      </w:r>
      <w:r>
        <w:rPr>
          <w:rFonts w:cs="Century" w:ascii="Century" w:hAnsi="Century"/>
          <w:sz w:val="22"/>
        </w:rPr>
        <w:t>1.1.2014</w:t>
      </w:r>
      <w:r>
        <w:rPr>
          <w:rFonts w:cs="Century" w:ascii="Century" w:hAnsi="Century"/>
          <w:sz w:val="22"/>
          <w:rtl w:val="true"/>
        </w:rPr>
        <w:t>);</w:t>
      </w:r>
      <w:r>
        <w:rPr>
          <w:rFonts w:cs="Miriam" w:ascii="Century" w:hAnsi="Century"/>
          <w:b/>
          <w:spacing w:val="0"/>
          <w:sz w:val="22"/>
          <w:szCs w:val="24"/>
          <w:rtl w:val="true"/>
        </w:rPr>
        <w:t xml:space="preserve"> </w:t>
      </w:r>
      <w:hyperlink r:id="rId63">
        <w:r>
          <w:rPr>
            <w:rStyle w:val="Hyperlink"/>
            <w:rFonts w:ascii="Century" w:hAnsi="Century" w:cs="Century"/>
            <w:color w:val="0000FF"/>
            <w:sz w:val="22"/>
            <w:sz w:val="22"/>
            <w:u w:val="single"/>
            <w:rtl w:val="true"/>
          </w:rPr>
          <w:t>ע</w:t>
        </w:r>
        <w:r>
          <w:rPr>
            <w:rStyle w:val="Hyperlink"/>
            <w:rFonts w:cs="Century" w:ascii="Century" w:hAnsi="Century"/>
            <w:color w:val="0000FF"/>
            <w:sz w:val="22"/>
            <w:u w:val="single"/>
            <w:rtl w:val="true"/>
          </w:rPr>
          <w:t>"</w:t>
        </w:r>
        <w:r>
          <w:rPr>
            <w:rStyle w:val="Hyperlink"/>
            <w:rFonts w:ascii="Century" w:hAnsi="Century" w:cs="Century"/>
            <w:color w:val="0000FF"/>
            <w:sz w:val="22"/>
            <w:sz w:val="22"/>
            <w:u w:val="single"/>
            <w:rtl w:val="true"/>
          </w:rPr>
          <w:t>פ</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5653/13</w:t>
        </w:r>
      </w:hyperlink>
      <w:r>
        <w:rPr>
          <w:rFonts w:cs="Century" w:ascii="Century" w:hAnsi="Century"/>
          <w:sz w:val="22"/>
          <w:rtl w:val="true"/>
        </w:rPr>
        <w:t xml:space="preserve"> </w:t>
      </w:r>
      <w:r>
        <w:rPr>
          <w:rFonts w:ascii="Century" w:hAnsi="Century" w:cs="Miriam"/>
          <w:b/>
          <w:b/>
          <w:spacing w:val="0"/>
          <w:sz w:val="22"/>
          <w:sz w:val="22"/>
          <w:szCs w:val="24"/>
          <w:rtl w:val="true"/>
        </w:rPr>
        <w:t>ביידון</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cs="Century" w:ascii="Century" w:hAnsi="Century"/>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ascii="Century" w:hAnsi="Century" w:cs="Century"/>
          <w:sz w:val="22"/>
          <w:sz w:val="22"/>
          <w:rtl w:val="true"/>
        </w:rPr>
        <w:t xml:space="preserve">פסקה </w:t>
      </w:r>
      <w:r>
        <w:rPr>
          <w:rFonts w:cs="Century" w:ascii="Century" w:hAnsi="Century"/>
          <w:sz w:val="22"/>
        </w:rPr>
        <w:t>18</w:t>
      </w:r>
      <w:r>
        <w:rPr>
          <w:rFonts w:cs="Century" w:ascii="Century" w:hAnsi="Century"/>
          <w:sz w:val="22"/>
          <w:rtl w:val="true"/>
        </w:rPr>
        <w:t xml:space="preserve"> </w:t>
      </w:r>
      <w:r>
        <w:rPr>
          <w:rFonts w:ascii="Century" w:hAnsi="Century" w:cs="Century"/>
          <w:sz w:val="22"/>
          <w:sz w:val="22"/>
          <w:rtl w:val="true"/>
        </w:rPr>
        <w:t xml:space="preserve">לפסק דינו של השופט </w:t>
      </w:r>
      <w:r>
        <w:rPr>
          <w:rFonts w:ascii="Century" w:hAnsi="Century" w:cs="Miriam"/>
          <w:b/>
          <w:b/>
          <w:spacing w:val="0"/>
          <w:sz w:val="22"/>
          <w:sz w:val="22"/>
          <w:szCs w:val="24"/>
          <w:rtl w:val="true"/>
        </w:rPr>
        <w:t>צ</w:t>
      </w:r>
      <w:r>
        <w:rPr>
          <w:rFonts w:cs="Miriam" w:ascii="Century" w:hAnsi="Century"/>
          <w:b/>
          <w:spacing w:val="0"/>
          <w:sz w:val="22"/>
          <w:szCs w:val="24"/>
          <w:rtl w:val="true"/>
        </w:rPr>
        <w:t xml:space="preserve">' </w:t>
      </w:r>
      <w:r>
        <w:rPr>
          <w:rFonts w:ascii="Century" w:hAnsi="Century" w:cs="Miriam"/>
          <w:b/>
          <w:b/>
          <w:spacing w:val="0"/>
          <w:sz w:val="22"/>
          <w:sz w:val="22"/>
          <w:szCs w:val="24"/>
          <w:rtl w:val="true"/>
        </w:rPr>
        <w:t>זילברטל</w:t>
      </w:r>
      <w:r>
        <w:rPr>
          <w:rFonts w:ascii="Century" w:hAnsi="Century" w:eastAsia="Century" w:cs="Century"/>
          <w:b/>
          <w:b/>
          <w:spacing w:val="0"/>
          <w:sz w:val="22"/>
          <w:sz w:val="22"/>
          <w:szCs w:val="24"/>
          <w:rtl w:val="true"/>
        </w:rPr>
        <w:t xml:space="preserve"> </w:t>
      </w:r>
      <w:r>
        <w:rPr>
          <w:rFonts w:cs="Century" w:ascii="Century" w:hAnsi="Century"/>
          <w:sz w:val="22"/>
          <w:rtl w:val="true"/>
        </w:rPr>
        <w:t>(</w:t>
      </w:r>
      <w:r>
        <w:rPr>
          <w:rFonts w:cs="Century" w:ascii="Century" w:hAnsi="Century"/>
          <w:sz w:val="22"/>
        </w:rPr>
        <w:t>2.1.2014</w:t>
      </w:r>
      <w:r>
        <w:rPr>
          <w:rFonts w:cs="Century" w:ascii="Century" w:hAnsi="Century"/>
          <w:sz w:val="22"/>
          <w:rtl w:val="true"/>
        </w:rPr>
        <w:t>) (</w:t>
      </w:r>
      <w:r>
        <w:rPr>
          <w:rFonts w:ascii="Century" w:hAnsi="Century" w:cs="Century"/>
          <w:sz w:val="22"/>
          <w:sz w:val="22"/>
          <w:rtl w:val="true"/>
        </w:rPr>
        <w:t>להלן</w:t>
      </w:r>
      <w:r>
        <w:rPr>
          <w:rFonts w:cs="Century" w:ascii="Century" w:hAnsi="Century"/>
          <w:sz w:val="22"/>
          <w:rtl w:val="true"/>
        </w:rPr>
        <w:t xml:space="preserve">: </w:t>
      </w:r>
      <w:r>
        <w:rPr>
          <w:rFonts w:ascii="Century" w:hAnsi="Century" w:cs="Century"/>
          <w:sz w:val="22"/>
          <w:sz w:val="22"/>
          <w:rtl w:val="true"/>
        </w:rPr>
        <w:t xml:space="preserve">עניין </w:t>
      </w:r>
      <w:r>
        <w:rPr>
          <w:rFonts w:ascii="Century" w:hAnsi="Century" w:cs="Miriam"/>
          <w:b/>
          <w:b/>
          <w:spacing w:val="0"/>
          <w:sz w:val="22"/>
          <w:sz w:val="22"/>
          <w:szCs w:val="24"/>
          <w:rtl w:val="true"/>
        </w:rPr>
        <w:t>ביידון</w:t>
      </w:r>
      <w:r>
        <w:rPr>
          <w:rFonts w:cs="Century" w:ascii="Century" w:hAnsi="Century"/>
          <w:sz w:val="22"/>
          <w:rtl w:val="true"/>
        </w:rPr>
        <w:t>)).</w:t>
      </w:r>
      <w:r>
        <w:rPr>
          <w:rFonts w:cs="Miriam" w:ascii="Century" w:hAnsi="Century"/>
          <w:b/>
          <w:spacing w:val="0"/>
          <w:sz w:val="22"/>
          <w:szCs w:val="24"/>
          <w:rtl w:val="true"/>
        </w:rPr>
        <w:t xml:space="preserve"> </w:t>
      </w:r>
      <w:r>
        <w:rPr>
          <w:rtl w:val="true"/>
        </w:rPr>
        <w:t>עם זאת</w:t>
      </w:r>
      <w:r>
        <w:rPr>
          <w:rtl w:val="true"/>
        </w:rPr>
        <w:t xml:space="preserve">, </w:t>
      </w:r>
      <w:r>
        <w:rPr>
          <w:rtl w:val="true"/>
        </w:rPr>
        <w:t>מצאנו כי מקרה זה נמנה על אותם מקרים חריגים המצדיקים את התערבותנו</w:t>
      </w:r>
      <w:r>
        <w:rPr>
          <w:rtl w:val="true"/>
        </w:rPr>
        <w:t xml:space="preserve">, </w:t>
      </w:r>
      <w:r>
        <w:rPr>
          <w:rtl w:val="true"/>
        </w:rPr>
        <w:t>וזאת מאחר שנפלה שגגה בקביעת מתחם העונש על ידי בית המשפט המחוזי</w:t>
      </w:r>
      <w:r>
        <w:rPr>
          <w:rtl w:val="true"/>
        </w:rPr>
        <w:t xml:space="preserve">, </w:t>
      </w:r>
      <w:r>
        <w:rPr>
          <w:rtl w:val="true"/>
        </w:rPr>
        <w:t xml:space="preserve">אשר </w:t>
      </w:r>
      <w:r>
        <w:rPr>
          <w:rFonts w:ascii="Century" w:hAnsi="Century" w:cs="Miriam"/>
          <w:b/>
          <w:b/>
          <w:spacing w:val="0"/>
          <w:sz w:val="22"/>
          <w:sz w:val="22"/>
          <w:szCs w:val="24"/>
          <w:rtl w:val="true"/>
        </w:rPr>
        <w:t>השפיעה</w:t>
      </w:r>
      <w:r>
        <w:rPr>
          <w:rtl w:val="true"/>
        </w:rPr>
        <w:t xml:space="preserve"> על גזירת העונש של המערער</w:t>
      </w:r>
      <w:r>
        <w:rPr>
          <w:rtl w:val="true"/>
        </w:rPr>
        <w:t xml:space="preserve">, </w:t>
      </w:r>
      <w:r>
        <w:rPr>
          <w:rtl w:val="true"/>
        </w:rPr>
        <w:t>והביאה להחמרה יתרה עימו</w:t>
      </w:r>
      <w:r>
        <w:rPr>
          <w:rtl w:val="true"/>
        </w:rPr>
        <w:t xml:space="preserve">. </w:t>
      </w:r>
    </w:p>
    <w:p>
      <w:pPr>
        <w:pStyle w:val="Ruller41"/>
        <w:spacing w:lineRule="auto" w:line="480"/>
        <w:ind w:end="0"/>
        <w:jc w:val="both"/>
        <w:rPr/>
      </w:pPr>
      <w:r>
        <w:rPr>
          <w:rtl w:val="true"/>
        </w:rPr>
      </w:r>
    </w:p>
    <w:p>
      <w:pPr>
        <w:pStyle w:val="Ruller41"/>
        <w:ind w:end="0"/>
        <w:jc w:val="both"/>
        <w:rPr>
          <w:rFonts w:ascii="Century" w:hAnsi="Century"/>
          <w:b/>
          <w:spacing w:val="0"/>
          <w:szCs w:val="24"/>
        </w:rPr>
      </w:pPr>
      <w:r>
        <w:rPr>
          <w:rFonts w:ascii="Century" w:hAnsi="Century" w:cs="Miriam"/>
          <w:b/>
          <w:b/>
          <w:spacing w:val="0"/>
          <w:szCs w:val="24"/>
          <w:rtl w:val="true"/>
        </w:rPr>
        <w:t>קביעות</w:t>
      </w:r>
      <w:r>
        <w:rPr>
          <w:rFonts w:ascii="Century" w:hAnsi="Century" w:eastAsia="Century" w:cs="Century"/>
          <w:b/>
          <w:b/>
          <w:spacing w:val="0"/>
          <w:szCs w:val="24"/>
          <w:rtl w:val="true"/>
        </w:rPr>
        <w:t xml:space="preserve"> </w:t>
      </w:r>
      <w:r>
        <w:rPr>
          <w:rFonts w:ascii="Century" w:hAnsi="Century" w:cs="Miriam"/>
          <w:b/>
          <w:b/>
          <w:spacing w:val="0"/>
          <w:szCs w:val="24"/>
          <w:rtl w:val="true"/>
        </w:rPr>
        <w:t>בית</w:t>
      </w:r>
      <w:r>
        <w:rPr>
          <w:rFonts w:ascii="Century" w:hAnsi="Century" w:eastAsia="Century" w:cs="Century"/>
          <w:b/>
          <w:b/>
          <w:spacing w:val="0"/>
          <w:szCs w:val="24"/>
          <w:rtl w:val="true"/>
        </w:rPr>
        <w:t xml:space="preserve"> </w:t>
      </w:r>
      <w:r>
        <w:rPr>
          <w:rFonts w:ascii="Century" w:hAnsi="Century" w:cs="Miriam"/>
          <w:b/>
          <w:b/>
          <w:spacing w:val="0"/>
          <w:szCs w:val="24"/>
          <w:rtl w:val="true"/>
        </w:rPr>
        <w:t>המשפט</w:t>
      </w:r>
      <w:r>
        <w:rPr>
          <w:rFonts w:ascii="Century" w:hAnsi="Century" w:eastAsia="Century" w:cs="Century"/>
          <w:b/>
          <w:b/>
          <w:spacing w:val="0"/>
          <w:szCs w:val="24"/>
          <w:rtl w:val="true"/>
        </w:rPr>
        <w:t xml:space="preserve"> </w:t>
      </w:r>
      <w:r>
        <w:rPr>
          <w:rFonts w:ascii="Century" w:hAnsi="Century" w:cs="Miriam"/>
          <w:b/>
          <w:b/>
          <w:spacing w:val="0"/>
          <w:szCs w:val="24"/>
          <w:rtl w:val="true"/>
        </w:rPr>
        <w:t>המחוזי</w:t>
      </w:r>
    </w:p>
    <w:p>
      <w:pPr>
        <w:pStyle w:val="Ruller42"/>
        <w:numPr>
          <w:ilvl w:val="0"/>
          <w:numId w:val="0"/>
        </w:numPr>
        <w:spacing w:lineRule="auto" w:line="240"/>
        <w:ind w:hanging="0" w:start="0" w:end="0"/>
        <w:jc w:val="both"/>
        <w:rPr>
          <w:rFonts w:ascii="Century" w:hAnsi="Century" w:cs="Miriam"/>
          <w:b/>
          <w:spacing w:val="0"/>
          <w:szCs w:val="24"/>
        </w:rPr>
      </w:pPr>
      <w:r>
        <w:rPr>
          <w:rFonts w:cs="Miriam" w:ascii="Century" w:hAnsi="Century"/>
          <w:b/>
          <w:spacing w:val="0"/>
          <w:szCs w:val="24"/>
          <w:rtl w:val="true"/>
        </w:rPr>
      </w:r>
    </w:p>
    <w:p>
      <w:pPr>
        <w:pStyle w:val="Ruller42"/>
        <w:numPr>
          <w:ilvl w:val="0"/>
          <w:numId w:val="1"/>
        </w:numPr>
        <w:ind w:end="0"/>
        <w:jc w:val="both"/>
        <w:rPr/>
      </w:pPr>
      <w:r>
        <w:rPr>
          <w:rtl w:val="true"/>
        </w:rPr>
        <w:t>המערער הורשע בביצוע שלוש עבירות קשורות</w:t>
      </w:r>
      <w:r>
        <w:rPr>
          <w:rtl w:val="true"/>
        </w:rPr>
        <w:t xml:space="preserve">: </w:t>
      </w:r>
      <w:r>
        <w:rPr>
          <w:rtl w:val="true"/>
        </w:rPr>
        <w:t>קשירת קשר</w:t>
      </w:r>
      <w:r>
        <w:rPr>
          <w:rtl w:val="true"/>
        </w:rPr>
        <w:t xml:space="preserve">, </w:t>
      </w:r>
      <w:r>
        <w:rPr>
          <w:rtl w:val="true"/>
        </w:rPr>
        <w:t>שוד בנסיבות מחמירות והחזקת סכין</w:t>
      </w:r>
      <w:r>
        <w:rPr>
          <w:rtl w:val="true"/>
        </w:rPr>
        <w:t xml:space="preserve">. </w:t>
      </w:r>
      <w:r>
        <w:rPr>
          <w:rtl w:val="true"/>
        </w:rPr>
        <w:t xml:space="preserve">בית המשפט המחוזי קבע כי </w:t>
      </w:r>
      <w:r>
        <w:rPr>
          <w:rtl w:val="true"/>
        </w:rPr>
        <w:t>"</w:t>
      </w:r>
      <w:r>
        <w:rPr>
          <w:rtl w:val="true"/>
        </w:rPr>
        <w:t>טווח הענישה הראוי</w:t>
      </w:r>
      <w:r>
        <w:rPr>
          <w:rtl w:val="true"/>
        </w:rPr>
        <w:t>" (</w:t>
      </w:r>
      <w:r>
        <w:rPr>
          <w:rtl w:val="true"/>
        </w:rPr>
        <w:t>כך במקור</w:t>
      </w:r>
      <w:r>
        <w:rPr>
          <w:rtl w:val="true"/>
        </w:rPr>
        <w:t xml:space="preserve">) </w:t>
      </w:r>
      <w:r>
        <w:rPr>
          <w:rtl w:val="true"/>
        </w:rPr>
        <w:t>של עבירות שוד בנסיבות דומות לאלה של המערער הוא בין שלוש לשש שנות מאסר בפועל</w:t>
      </w:r>
      <w:r>
        <w:rPr>
          <w:rtl w:val="true"/>
        </w:rPr>
        <w:t xml:space="preserve">. </w:t>
      </w:r>
      <w:r>
        <w:rPr>
          <w:rtl w:val="true"/>
        </w:rPr>
        <w:t>לקביעה זו הגיע בית המשפט המחוזי במספר שלבים</w:t>
      </w:r>
      <w:r>
        <w:rPr>
          <w:rtl w:val="true"/>
        </w:rPr>
        <w:t xml:space="preserve">: </w:t>
      </w:r>
      <w:r>
        <w:rPr>
          <w:rFonts w:ascii="Times New Roman" w:hAnsi="Times New Roman" w:cs="Times New Roman"/>
          <w:sz w:val="22"/>
          <w:sz w:val="22"/>
          <w:rtl w:val="true"/>
        </w:rPr>
        <w:t>ראשית</w:t>
      </w:r>
      <w:r>
        <w:rPr>
          <w:rtl w:val="true"/>
        </w:rPr>
        <w:t xml:space="preserve">, </w:t>
      </w:r>
      <w:r>
        <w:rPr>
          <w:rtl w:val="true"/>
        </w:rPr>
        <w:t>הציג מספר גזרי דין</w:t>
      </w:r>
      <w:r>
        <w:rPr>
          <w:rtl w:val="true"/>
        </w:rPr>
        <w:t xml:space="preserve">, </w:t>
      </w:r>
      <w:r>
        <w:rPr>
          <w:rtl w:val="true"/>
        </w:rPr>
        <w:t xml:space="preserve">בהן נדונו עבירות שוד עם נסיבות דומות </w:t>
      </w:r>
      <w:r>
        <w:rPr>
          <w:rtl w:val="true"/>
        </w:rPr>
        <w:t>(</w:t>
      </w:r>
      <w:r>
        <w:rPr>
          <w:rtl w:val="true"/>
        </w:rPr>
        <w:t>לכאורה</w:t>
      </w:r>
      <w:r>
        <w:rPr>
          <w:rtl w:val="true"/>
        </w:rPr>
        <w:t xml:space="preserve">), </w:t>
      </w:r>
      <w:r>
        <w:rPr>
          <w:rtl w:val="true"/>
        </w:rPr>
        <w:t>ונקבע מתחם זה</w:t>
      </w:r>
      <w:r>
        <w:rPr>
          <w:rtl w:val="true"/>
        </w:rPr>
        <w:t xml:space="preserve">; </w:t>
      </w:r>
      <w:r>
        <w:rPr>
          <w:rFonts w:ascii="Century" w:hAnsi="Century" w:cs="Century"/>
          <w:sz w:val="22"/>
          <w:sz w:val="22"/>
          <w:rtl w:val="true"/>
        </w:rPr>
        <w:t>שנית</w:t>
      </w:r>
      <w:r>
        <w:rPr>
          <w:rtl w:val="true"/>
        </w:rPr>
        <w:t xml:space="preserve">, </w:t>
      </w:r>
      <w:r>
        <w:rPr>
          <w:rtl w:val="true"/>
        </w:rPr>
        <w:t>בחן את נסיבות העבירה אל מול גילו הצעיר של המערער ועברו הפלילי הנקי</w:t>
      </w:r>
      <w:r>
        <w:rPr>
          <w:rtl w:val="true"/>
        </w:rPr>
        <w:t xml:space="preserve">; </w:t>
      </w:r>
      <w:r>
        <w:rPr>
          <w:rtl w:val="true"/>
        </w:rPr>
        <w:t>שלישית</w:t>
      </w:r>
      <w:r>
        <w:rPr>
          <w:rtl w:val="true"/>
        </w:rPr>
        <w:t xml:space="preserve">, </w:t>
      </w:r>
      <w:r>
        <w:rPr>
          <w:rtl w:val="true"/>
        </w:rPr>
        <w:t>שלל בית המשפט את שיקול מוצאו של המערער או היותו מבקש מקלט</w:t>
      </w:r>
      <w:r>
        <w:rPr>
          <w:rtl w:val="true"/>
        </w:rPr>
        <w:t xml:space="preserve">, </w:t>
      </w:r>
      <w:r>
        <w:rPr>
          <w:rtl w:val="true"/>
        </w:rPr>
        <w:t>כשיקול המשפיע על טווח זה</w:t>
      </w:r>
      <w:r>
        <w:rPr>
          <w:rtl w:val="true"/>
        </w:rPr>
        <w:t xml:space="preserve">. </w:t>
      </w:r>
      <w:r>
        <w:rPr>
          <w:rtl w:val="true"/>
        </w:rPr>
        <w:t>בקובעו קביעות אלה</w:t>
      </w:r>
      <w:r>
        <w:rPr>
          <w:rtl w:val="true"/>
        </w:rPr>
        <w:t xml:space="preserve">, </w:t>
      </w:r>
      <w:r>
        <w:rPr>
          <w:rtl w:val="true"/>
        </w:rPr>
        <w:t>בית המשפט המחוזי קבע את מתחם העונש ההולם</w:t>
      </w:r>
      <w:r>
        <w:rPr>
          <w:rtl w:val="true"/>
        </w:rPr>
        <w:t xml:space="preserve">, </w:t>
      </w:r>
      <w:r>
        <w:rPr>
          <w:rtl w:val="true"/>
        </w:rPr>
        <w:t xml:space="preserve">שלא על פי הוראת </w:t>
      </w:r>
      <w:hyperlink r:id="rId64">
        <w:r>
          <w:rPr>
            <w:rStyle w:val="Hyperlink"/>
            <w:color w:val="0000FF"/>
            <w:u w:val="single"/>
            <w:rtl w:val="true"/>
          </w:rPr>
          <w:t>סעיפים</w:t>
        </w:r>
        <w:r>
          <w:rPr>
            <w:rStyle w:val="Hyperlink"/>
            <w:color w:val="0000FF"/>
            <w:u w:val="single"/>
            <w:rtl w:val="true"/>
          </w:rPr>
          <w:t xml:space="preserve"> </w:t>
        </w:r>
        <w:r>
          <w:rPr>
            <w:rStyle w:val="Hyperlink"/>
            <w:color w:val="0000FF"/>
            <w:u w:val="single"/>
          </w:rPr>
          <w:t>40</w:t>
        </w:r>
        <w:r>
          <w:rPr>
            <w:rStyle w:val="Hyperlink"/>
            <w:color w:val="0000FF"/>
            <w:u w:val="single"/>
            <w:rtl w:val="true"/>
          </w:rPr>
          <w:t>ג</w:t>
        </w:r>
      </w:hyperlink>
      <w:r>
        <w:rPr>
          <w:rtl w:val="true"/>
        </w:rPr>
        <w:t xml:space="preserve"> ו</w:t>
      </w:r>
      <w:r>
        <w:rPr>
          <w:rtl w:val="true"/>
        </w:rPr>
        <w:t>-</w:t>
      </w:r>
      <w:hyperlink r:id="rId65">
        <w:r>
          <w:rPr>
            <w:rStyle w:val="Hyperlink"/>
            <w:color w:val="0000FF"/>
            <w:u w:val="single"/>
          </w:rPr>
          <w:t>40</w:t>
        </w:r>
        <w:r>
          <w:rPr>
            <w:rStyle w:val="Hyperlink"/>
            <w:color w:val="0000FF"/>
            <w:u w:val="single"/>
            <w:rtl w:val="true"/>
          </w:rPr>
          <w:t>יג</w:t>
        </w:r>
      </w:hyperlink>
      <w:r>
        <w:rPr>
          <w:rtl w:val="true"/>
        </w:rPr>
        <w:t xml:space="preserve"> ל</w:t>
      </w:r>
      <w:hyperlink r:id="rId66">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r>
        <w:rPr>
          <w:rtl w:val="true"/>
        </w:rPr>
        <w:t>תוך שהוא מתמקד בעיקר במדיניות הענישה הנהוגה ובנסיבות חיצוניות לעבירה</w:t>
      </w:r>
      <w:r>
        <w:rPr>
          <w:rtl w:val="true"/>
        </w:rPr>
        <w:t xml:space="preserve">, </w:t>
      </w:r>
      <w:r>
        <w:rPr>
          <w:rtl w:val="true"/>
        </w:rPr>
        <w:t>שמקומן לא בשלב קביעת המתחם</w:t>
      </w:r>
      <w:r>
        <w:rPr>
          <w:rtl w:val="true"/>
        </w:rPr>
        <w:t xml:space="preserve">, </w:t>
      </w:r>
      <w:r>
        <w:rPr>
          <w:rtl w:val="true"/>
        </w:rPr>
        <w:t>אלא בשלב גזירת העונש</w:t>
      </w:r>
      <w:r>
        <w:rPr>
          <w:rtl w:val="true"/>
        </w:rPr>
        <w:t xml:space="preserve">. </w:t>
      </w:r>
    </w:p>
    <w:p>
      <w:pPr>
        <w:pStyle w:val="Ruller41"/>
        <w:ind w:end="0"/>
        <w:jc w:val="both"/>
        <w:rPr/>
      </w:pPr>
      <w:r>
        <w:rPr>
          <w:rtl w:val="true"/>
        </w:rPr>
      </w:r>
    </w:p>
    <w:p>
      <w:pPr>
        <w:pStyle w:val="Ruller42"/>
        <w:numPr>
          <w:ilvl w:val="0"/>
          <w:numId w:val="1"/>
        </w:numPr>
        <w:ind w:end="0"/>
        <w:jc w:val="both"/>
        <w:rPr/>
      </w:pPr>
      <w:r>
        <w:rPr>
          <w:rtl w:val="true"/>
        </w:rPr>
        <w:t>גזרי הדין אותם ציין בית המשפט המחוזי אינם מלמדים בהכרח על טווח הענישה הרלוונטי לעניינו של המערער</w:t>
      </w:r>
      <w:r>
        <w:rPr>
          <w:rtl w:val="true"/>
        </w:rPr>
        <w:t xml:space="preserve">. </w:t>
      </w:r>
      <w:r>
        <w:rPr>
          <w:rtl w:val="true"/>
        </w:rPr>
        <w:t>המשותף להם הוא כי נכתבו על ידי אותו מותב</w:t>
      </w:r>
      <w:r>
        <w:rPr>
          <w:rtl w:val="true"/>
        </w:rPr>
        <w:t xml:space="preserve">, </w:t>
      </w:r>
      <w:r>
        <w:rPr>
          <w:rtl w:val="true"/>
        </w:rPr>
        <w:t>המותב שגם ישב בעניינו של המערער</w:t>
      </w:r>
      <w:r>
        <w:rPr>
          <w:rtl w:val="true"/>
        </w:rPr>
        <w:t xml:space="preserve">, </w:t>
      </w:r>
      <w:r>
        <w:rPr>
          <w:rtl w:val="true"/>
        </w:rPr>
        <w:t xml:space="preserve">וכן </w:t>
      </w:r>
      <w:r>
        <w:rPr>
          <w:rFonts w:ascii="Century" w:hAnsi="Century" w:cs="Century"/>
          <w:sz w:val="22"/>
          <w:sz w:val="22"/>
          <w:rtl w:val="true"/>
        </w:rPr>
        <w:t>שבכולם</w:t>
      </w:r>
      <w:r>
        <w:rPr>
          <w:rtl w:val="true"/>
        </w:rPr>
        <w:t xml:space="preserve"> נקבע מתחם ענישה בין שלוש לשש שנות מאסר</w:t>
      </w:r>
      <w:r>
        <w:rPr>
          <w:rtl w:val="true"/>
        </w:rPr>
        <w:t xml:space="preserve">, </w:t>
      </w:r>
      <w:r>
        <w:rPr>
          <w:rtl w:val="true"/>
        </w:rPr>
        <w:t xml:space="preserve">ובכולם נגזר עונש של ארבע שנות מאסר </w:t>
      </w:r>
      <w:r>
        <w:rPr>
          <w:rtl w:val="true"/>
        </w:rPr>
        <w:t>(</w:t>
      </w:r>
      <w:hyperlink r:id="rId67">
        <w:r>
          <w:rPr>
            <w:rStyle w:val="Hyperlink"/>
            <w:color w:val="0000FF"/>
            <w:u w:val="single"/>
            <w:rtl w:val="true"/>
          </w:rPr>
          <w:t>ת</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26657-03-12</w:t>
        </w:r>
      </w:hyperlink>
      <w:r>
        <w:rPr>
          <w:rtl w:val="true"/>
        </w:rPr>
        <w:t xml:space="preserve"> </w:t>
      </w:r>
      <w:r>
        <w:rPr>
          <w:rFonts w:cs="Miriam"/>
          <w:b/>
          <w:b/>
          <w:spacing w:val="0"/>
          <w:szCs w:val="24"/>
          <w:rtl w:val="true"/>
        </w:rPr>
        <w:t>בשיר</w:t>
      </w:r>
      <w:r>
        <w:rPr>
          <w:rFonts w:eastAsia="Garamond"/>
          <w:b/>
          <w:b/>
          <w:spacing w:val="0"/>
          <w:szCs w:val="24"/>
          <w:rtl w:val="true"/>
        </w:rPr>
        <w:t xml:space="preserve"> </w:t>
      </w:r>
      <w:r>
        <w:rPr>
          <w:rFonts w:cs="Miriam"/>
          <w:b/>
          <w:b/>
          <w:spacing w:val="0"/>
          <w:szCs w:val="24"/>
          <w:rtl w:val="true"/>
        </w:rPr>
        <w:t>נ</w:t>
      </w:r>
      <w:r>
        <w:rPr>
          <w:rFonts w:cs="Miriam"/>
          <w:b/>
          <w:spacing w:val="0"/>
          <w:szCs w:val="24"/>
          <w:rtl w:val="true"/>
        </w:rPr>
        <w:t xml:space="preserve">' </w:t>
      </w:r>
      <w:r>
        <w:rPr>
          <w:rFonts w:cs="Miriam"/>
          <w:b/>
          <w:b/>
          <w:spacing w:val="0"/>
          <w:szCs w:val="24"/>
          <w:rtl w:val="true"/>
        </w:rPr>
        <w:t>מדינת</w:t>
      </w:r>
      <w:r>
        <w:rPr>
          <w:rFonts w:eastAsia="Garamond"/>
          <w:b/>
          <w:b/>
          <w:spacing w:val="0"/>
          <w:szCs w:val="24"/>
          <w:rtl w:val="true"/>
        </w:rPr>
        <w:t xml:space="preserve"> </w:t>
      </w:r>
      <w:r>
        <w:rPr>
          <w:rFonts w:cs="Miriam"/>
          <w:b/>
          <w:b/>
          <w:spacing w:val="0"/>
          <w:szCs w:val="24"/>
          <w:rtl w:val="true"/>
        </w:rPr>
        <w:t>ישראל</w:t>
      </w:r>
      <w:r>
        <w:rPr>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tl w:val="true"/>
        </w:rPr>
        <w:t>(</w:t>
      </w:r>
      <w:r>
        <w:rPr/>
        <w:t>19.6.2012</w:t>
      </w:r>
      <w:r>
        <w:rPr>
          <w:rtl w:val="true"/>
        </w:rPr>
        <w:t>) (</w:t>
      </w:r>
      <w:r>
        <w:rPr>
          <w:rtl w:val="true"/>
        </w:rPr>
        <w:t>להלן</w:t>
      </w:r>
      <w:r>
        <w:rPr>
          <w:rtl w:val="true"/>
        </w:rPr>
        <w:t xml:space="preserve">: </w:t>
      </w:r>
      <w:r>
        <w:rPr>
          <w:rtl w:val="true"/>
        </w:rPr>
        <w:t xml:space="preserve">עניין </w:t>
      </w:r>
      <w:r>
        <w:rPr>
          <w:rFonts w:ascii="Century" w:hAnsi="Century" w:cs="Miriam"/>
          <w:b/>
          <w:b/>
          <w:spacing w:val="0"/>
          <w:sz w:val="22"/>
          <w:sz w:val="22"/>
          <w:szCs w:val="24"/>
          <w:rtl w:val="true"/>
        </w:rPr>
        <w:t>בשיר</w:t>
      </w:r>
      <w:r>
        <w:rPr>
          <w:rFonts w:cs="Century" w:ascii="Century" w:hAnsi="Century"/>
          <w:sz w:val="22"/>
          <w:rtl w:val="true"/>
        </w:rPr>
        <w:t>)</w:t>
      </w:r>
      <w:r>
        <w:rPr>
          <w:rtl w:val="true"/>
        </w:rPr>
        <w:t xml:space="preserve">; </w:t>
      </w:r>
      <w:hyperlink r:id="rId68">
        <w:r>
          <w:rPr>
            <w:rStyle w:val="Hyperlink"/>
            <w:color w:val="0000FF"/>
            <w:u w:val="single"/>
            <w:rtl w:val="true"/>
          </w:rPr>
          <w:t>ת</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tl w:val="true"/>
          </w:rPr>
          <w:t>(</w:t>
        </w:r>
        <w:r>
          <w:rPr>
            <w:rStyle w:val="Hyperlink"/>
            <w:color w:val="0000FF"/>
            <w:u w:val="single"/>
            <w:rtl w:val="true"/>
          </w:rPr>
          <w:t>מחוזי</w:t>
        </w:r>
        <w:r>
          <w:rPr>
            <w:rStyle w:val="Hyperlink"/>
            <w:color w:val="0000FF"/>
            <w:u w:val="single"/>
            <w:rtl w:val="true"/>
          </w:rPr>
          <w:t xml:space="preserve"> </w:t>
        </w:r>
        <w:r>
          <w:rPr>
            <w:rStyle w:val="Hyperlink"/>
            <w:color w:val="0000FF"/>
            <w:u w:val="single"/>
            <w:rtl w:val="true"/>
          </w:rPr>
          <w:t>ת</w:t>
        </w:r>
        <w:r>
          <w:rPr>
            <w:rStyle w:val="Hyperlink"/>
            <w:color w:val="0000FF"/>
            <w:u w:val="single"/>
            <w:rtl w:val="true"/>
          </w:rPr>
          <w:t>"</w:t>
        </w:r>
        <w:r>
          <w:rPr>
            <w:rStyle w:val="Hyperlink"/>
            <w:color w:val="0000FF"/>
            <w:u w:val="single"/>
            <w:rtl w:val="true"/>
          </w:rPr>
          <w:t>א</w:t>
        </w:r>
        <w:r>
          <w:rPr>
            <w:rStyle w:val="Hyperlink"/>
            <w:color w:val="0000FF"/>
            <w:u w:val="single"/>
            <w:rtl w:val="true"/>
          </w:rPr>
          <w:t xml:space="preserve">) </w:t>
        </w:r>
        <w:r>
          <w:rPr>
            <w:rStyle w:val="Hyperlink"/>
            <w:color w:val="0000FF"/>
            <w:u w:val="single"/>
          </w:rPr>
          <w:t>34583-02-12</w:t>
        </w:r>
      </w:hyperlink>
      <w:r>
        <w:rPr>
          <w:rFonts w:cs="Miriam"/>
          <w:b/>
          <w:spacing w:val="0"/>
          <w:szCs w:val="24"/>
          <w:rtl w:val="true"/>
        </w:rPr>
        <w:t xml:space="preserve"> </w:t>
      </w:r>
      <w:r>
        <w:rPr>
          <w:rFonts w:cs="Miriam"/>
          <w:b/>
          <w:b/>
          <w:spacing w:val="0"/>
          <w:szCs w:val="24"/>
          <w:rtl w:val="true"/>
        </w:rPr>
        <w:t>מדינת</w:t>
      </w:r>
      <w:r>
        <w:rPr>
          <w:rFonts w:eastAsia="Garamond"/>
          <w:b/>
          <w:b/>
          <w:spacing w:val="0"/>
          <w:szCs w:val="24"/>
          <w:rtl w:val="true"/>
        </w:rPr>
        <w:t xml:space="preserve"> </w:t>
      </w:r>
      <w:r>
        <w:rPr>
          <w:rFonts w:cs="Miriam"/>
          <w:b/>
          <w:b/>
          <w:spacing w:val="0"/>
          <w:szCs w:val="24"/>
          <w:rtl w:val="true"/>
        </w:rPr>
        <w:t>ישראל</w:t>
      </w:r>
      <w:r>
        <w:rPr>
          <w:rFonts w:eastAsia="Garamond"/>
          <w:b/>
          <w:b/>
          <w:spacing w:val="0"/>
          <w:szCs w:val="24"/>
          <w:rtl w:val="true"/>
        </w:rPr>
        <w:t xml:space="preserve"> </w:t>
      </w:r>
      <w:r>
        <w:rPr>
          <w:rFonts w:cs="Miriam"/>
          <w:b/>
          <w:b/>
          <w:spacing w:val="0"/>
          <w:szCs w:val="24"/>
          <w:rtl w:val="true"/>
        </w:rPr>
        <w:t>נ</w:t>
      </w:r>
      <w:r>
        <w:rPr>
          <w:rFonts w:cs="Miriam"/>
          <w:b/>
          <w:spacing w:val="0"/>
          <w:szCs w:val="24"/>
          <w:rtl w:val="true"/>
        </w:rPr>
        <w:t xml:space="preserve">' </w:t>
      </w:r>
      <w:r>
        <w:rPr>
          <w:rFonts w:cs="Miriam"/>
          <w:b/>
          <w:b/>
          <w:spacing w:val="0"/>
          <w:szCs w:val="24"/>
          <w:rtl w:val="true"/>
        </w:rPr>
        <w:t>דיס</w:t>
      </w:r>
      <w:r>
        <w:rPr>
          <w:rFonts w:eastAsia="Garamond"/>
          <w:b/>
          <w:b/>
          <w:spacing w:val="0"/>
          <w:szCs w:val="24"/>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tl w:val="true"/>
        </w:rPr>
        <w:t>(</w:t>
      </w:r>
      <w:r>
        <w:rPr/>
        <w:t>10.7.2012</w:t>
      </w:r>
      <w:r>
        <w:rPr>
          <w:rtl w:val="true"/>
        </w:rPr>
        <w:t xml:space="preserve">); </w:t>
      </w:r>
      <w:hyperlink r:id="rId69">
        <w:r>
          <w:rPr>
            <w:rStyle w:val="Hyperlink"/>
            <w:color w:val="0000FF"/>
            <w:u w:val="single"/>
            <w:rtl w:val="true"/>
          </w:rPr>
          <w:t>ת</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tl w:val="true"/>
          </w:rPr>
          <w:t>(</w:t>
        </w:r>
        <w:r>
          <w:rPr>
            <w:rStyle w:val="Hyperlink"/>
            <w:color w:val="0000FF"/>
            <w:u w:val="single"/>
            <w:rtl w:val="true"/>
          </w:rPr>
          <w:t>מחוזי</w:t>
        </w:r>
        <w:r>
          <w:rPr>
            <w:rStyle w:val="Hyperlink"/>
            <w:color w:val="0000FF"/>
            <w:u w:val="single"/>
            <w:rtl w:val="true"/>
          </w:rPr>
          <w:t xml:space="preserve"> </w:t>
        </w:r>
        <w:r>
          <w:rPr>
            <w:rStyle w:val="Hyperlink"/>
            <w:color w:val="0000FF"/>
            <w:u w:val="single"/>
            <w:rtl w:val="true"/>
          </w:rPr>
          <w:t>ת</w:t>
        </w:r>
        <w:r>
          <w:rPr>
            <w:rStyle w:val="Hyperlink"/>
            <w:color w:val="0000FF"/>
            <w:u w:val="single"/>
            <w:rtl w:val="true"/>
          </w:rPr>
          <w:t>"</w:t>
        </w:r>
        <w:r>
          <w:rPr>
            <w:rStyle w:val="Hyperlink"/>
            <w:color w:val="0000FF"/>
            <w:u w:val="single"/>
            <w:rtl w:val="true"/>
          </w:rPr>
          <w:t>א</w:t>
        </w:r>
        <w:r>
          <w:rPr>
            <w:rStyle w:val="Hyperlink"/>
            <w:color w:val="0000FF"/>
            <w:u w:val="single"/>
            <w:rtl w:val="true"/>
          </w:rPr>
          <w:t xml:space="preserve">) </w:t>
        </w:r>
        <w:r>
          <w:rPr>
            <w:rStyle w:val="Hyperlink"/>
            <w:color w:val="0000FF"/>
            <w:u w:val="single"/>
          </w:rPr>
          <w:t>50748-01-12</w:t>
        </w:r>
      </w:hyperlink>
      <w:r>
        <w:rPr>
          <w:rtl w:val="true"/>
        </w:rPr>
        <w:t xml:space="preserve"> </w:t>
      </w:r>
      <w:r>
        <w:rPr>
          <w:rFonts w:cs="Miriam"/>
          <w:b/>
          <w:b/>
          <w:spacing w:val="0"/>
          <w:szCs w:val="24"/>
          <w:rtl w:val="true"/>
        </w:rPr>
        <w:t>מדינת</w:t>
      </w:r>
      <w:r>
        <w:rPr>
          <w:rFonts w:eastAsia="Garamond"/>
          <w:b/>
          <w:b/>
          <w:spacing w:val="0"/>
          <w:szCs w:val="24"/>
          <w:rtl w:val="true"/>
        </w:rPr>
        <w:t xml:space="preserve"> </w:t>
      </w:r>
      <w:r>
        <w:rPr>
          <w:rFonts w:cs="Miriam"/>
          <w:b/>
          <w:b/>
          <w:spacing w:val="0"/>
          <w:szCs w:val="24"/>
          <w:rtl w:val="true"/>
        </w:rPr>
        <w:t>ישראל</w:t>
      </w:r>
      <w:r>
        <w:rPr>
          <w:rFonts w:eastAsia="Garamond"/>
          <w:b/>
          <w:b/>
          <w:spacing w:val="0"/>
          <w:szCs w:val="24"/>
          <w:rtl w:val="true"/>
        </w:rPr>
        <w:t xml:space="preserve"> </w:t>
      </w:r>
      <w:r>
        <w:rPr>
          <w:rFonts w:cs="Miriam"/>
          <w:b/>
          <w:b/>
          <w:spacing w:val="0"/>
          <w:szCs w:val="24"/>
          <w:rtl w:val="true"/>
        </w:rPr>
        <w:t>נ</w:t>
      </w:r>
      <w:r>
        <w:rPr>
          <w:rFonts w:cs="Miriam"/>
          <w:b/>
          <w:spacing w:val="0"/>
          <w:szCs w:val="24"/>
          <w:rtl w:val="true"/>
        </w:rPr>
        <w:t xml:space="preserve">' </w:t>
      </w:r>
      <w:r>
        <w:rPr>
          <w:rFonts w:cs="Miriam"/>
          <w:b/>
          <w:b/>
          <w:spacing w:val="0"/>
          <w:szCs w:val="24"/>
          <w:rtl w:val="true"/>
        </w:rPr>
        <w:t>גאבר</w:t>
      </w:r>
      <w:r>
        <w:rPr>
          <w:rFonts w:eastAsia="Garamond"/>
          <w:b/>
          <w:b/>
          <w:spacing w:val="0"/>
          <w:szCs w:val="24"/>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tl w:val="true"/>
        </w:rPr>
        <w:t>(</w:t>
      </w:r>
      <w:r>
        <w:rPr/>
        <w:t>10.9.2012</w:t>
      </w:r>
      <w:r>
        <w:rPr>
          <w:rtl w:val="true"/>
        </w:rPr>
        <w:t>) (</w:t>
      </w:r>
      <w:r>
        <w:rPr>
          <w:rtl w:val="true"/>
        </w:rPr>
        <w:t>להלן</w:t>
      </w:r>
      <w:r>
        <w:rPr>
          <w:rtl w:val="true"/>
        </w:rPr>
        <w:t xml:space="preserve">: </w:t>
      </w:r>
      <w:r>
        <w:rPr>
          <w:rtl w:val="true"/>
        </w:rPr>
        <w:t xml:space="preserve">עניין </w:t>
      </w:r>
      <w:r>
        <w:rPr>
          <w:rFonts w:ascii="Century" w:hAnsi="Century" w:cs="Miriam"/>
          <w:b/>
          <w:b/>
          <w:spacing w:val="0"/>
          <w:sz w:val="22"/>
          <w:sz w:val="22"/>
          <w:szCs w:val="24"/>
          <w:rtl w:val="true"/>
        </w:rPr>
        <w:t>גאבר</w:t>
      </w:r>
      <w:r>
        <w:rPr>
          <w:rFonts w:cs="Century" w:ascii="Century" w:hAnsi="Century"/>
          <w:sz w:val="22"/>
          <w:rtl w:val="true"/>
        </w:rPr>
        <w:t>)</w:t>
      </w:r>
      <w:r>
        <w:rPr>
          <w:rtl w:val="true"/>
        </w:rPr>
        <w:t xml:space="preserve">; </w:t>
      </w:r>
      <w:hyperlink r:id="rId70">
        <w:r>
          <w:rPr>
            <w:rStyle w:val="Hyperlink"/>
            <w:color w:val="0000FF"/>
            <w:u w:val="single"/>
            <w:rtl w:val="true"/>
          </w:rPr>
          <w:t>ת</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tl w:val="true"/>
          </w:rPr>
          <w:t>(</w:t>
        </w:r>
        <w:r>
          <w:rPr>
            <w:rStyle w:val="Hyperlink"/>
            <w:color w:val="0000FF"/>
            <w:u w:val="single"/>
            <w:rtl w:val="true"/>
          </w:rPr>
          <w:t>מחוזי</w:t>
        </w:r>
        <w:r>
          <w:rPr>
            <w:rStyle w:val="Hyperlink"/>
            <w:color w:val="0000FF"/>
            <w:u w:val="single"/>
            <w:rtl w:val="true"/>
          </w:rPr>
          <w:t xml:space="preserve"> </w:t>
        </w:r>
        <w:r>
          <w:rPr>
            <w:rStyle w:val="Hyperlink"/>
            <w:color w:val="0000FF"/>
            <w:u w:val="single"/>
            <w:rtl w:val="true"/>
          </w:rPr>
          <w:t>ת</w:t>
        </w:r>
        <w:r>
          <w:rPr>
            <w:rStyle w:val="Hyperlink"/>
            <w:color w:val="0000FF"/>
            <w:u w:val="single"/>
            <w:rtl w:val="true"/>
          </w:rPr>
          <w:t>"</w:t>
        </w:r>
        <w:r>
          <w:rPr>
            <w:rStyle w:val="Hyperlink"/>
            <w:color w:val="0000FF"/>
            <w:u w:val="single"/>
            <w:rtl w:val="true"/>
          </w:rPr>
          <w:t>א</w:t>
        </w:r>
        <w:r>
          <w:rPr>
            <w:rStyle w:val="Hyperlink"/>
            <w:color w:val="0000FF"/>
            <w:u w:val="single"/>
            <w:rtl w:val="true"/>
          </w:rPr>
          <w:t xml:space="preserve">) </w:t>
        </w:r>
        <w:r>
          <w:rPr>
            <w:rStyle w:val="Hyperlink"/>
            <w:color w:val="0000FF"/>
            <w:u w:val="single"/>
          </w:rPr>
          <w:t>14199-04-12</w:t>
        </w:r>
      </w:hyperlink>
      <w:r>
        <w:rPr>
          <w:rtl w:val="true"/>
        </w:rPr>
        <w:t xml:space="preserve"> </w:t>
      </w:r>
      <w:r>
        <w:rPr>
          <w:rFonts w:cs="Miriam"/>
          <w:b/>
          <w:b/>
          <w:spacing w:val="0"/>
          <w:szCs w:val="24"/>
          <w:rtl w:val="true"/>
        </w:rPr>
        <w:t>מדינת</w:t>
      </w:r>
      <w:r>
        <w:rPr>
          <w:rFonts w:eastAsia="Garamond"/>
          <w:b/>
          <w:b/>
          <w:spacing w:val="0"/>
          <w:szCs w:val="24"/>
          <w:rtl w:val="true"/>
        </w:rPr>
        <w:t xml:space="preserve"> </w:t>
      </w:r>
      <w:r>
        <w:rPr>
          <w:rFonts w:cs="Miriam"/>
          <w:b/>
          <w:b/>
          <w:spacing w:val="0"/>
          <w:szCs w:val="24"/>
          <w:rtl w:val="true"/>
        </w:rPr>
        <w:t>ישראל</w:t>
      </w:r>
      <w:r>
        <w:rPr>
          <w:rFonts w:eastAsia="Garamond"/>
          <w:b/>
          <w:b/>
          <w:spacing w:val="0"/>
          <w:szCs w:val="24"/>
          <w:rtl w:val="true"/>
        </w:rPr>
        <w:t xml:space="preserve"> </w:t>
      </w:r>
      <w:r>
        <w:rPr>
          <w:rFonts w:cs="Miriam"/>
          <w:b/>
          <w:b/>
          <w:spacing w:val="0"/>
          <w:szCs w:val="24"/>
          <w:rtl w:val="true"/>
        </w:rPr>
        <w:t>נ</w:t>
      </w:r>
      <w:r>
        <w:rPr>
          <w:rFonts w:cs="Miriam"/>
          <w:b/>
          <w:spacing w:val="0"/>
          <w:szCs w:val="24"/>
          <w:rtl w:val="true"/>
        </w:rPr>
        <w:t xml:space="preserve">' </w:t>
      </w:r>
      <w:r>
        <w:rPr>
          <w:rFonts w:cs="Miriam"/>
          <w:b/>
          <w:b/>
          <w:spacing w:val="0"/>
          <w:szCs w:val="24"/>
          <w:rtl w:val="true"/>
        </w:rPr>
        <w:t>מתואלי</w:t>
      </w:r>
      <w:r>
        <w:rPr>
          <w:rFonts w:eastAsia="Garamond"/>
          <w:b/>
          <w:b/>
          <w:spacing w:val="0"/>
          <w:szCs w:val="24"/>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tl w:val="true"/>
        </w:rPr>
        <w:t>(</w:t>
      </w:r>
      <w:r>
        <w:rPr/>
        <w:t>12.11.2012</w:t>
      </w:r>
      <w:r>
        <w:rPr>
          <w:rtl w:val="true"/>
        </w:rPr>
        <w:t>) (</w:t>
      </w:r>
      <w:r>
        <w:rPr>
          <w:rtl w:val="true"/>
        </w:rPr>
        <w:t>להלן</w:t>
      </w:r>
      <w:r>
        <w:rPr>
          <w:rtl w:val="true"/>
        </w:rPr>
        <w:t xml:space="preserve">: </w:t>
      </w:r>
      <w:r>
        <w:rPr>
          <w:rtl w:val="true"/>
        </w:rPr>
        <w:t xml:space="preserve">עניין </w:t>
      </w:r>
      <w:r>
        <w:rPr>
          <w:rFonts w:ascii="Century" w:hAnsi="Century" w:cs="Miriam"/>
          <w:b/>
          <w:b/>
          <w:spacing w:val="0"/>
          <w:sz w:val="22"/>
          <w:sz w:val="22"/>
          <w:szCs w:val="24"/>
          <w:rtl w:val="true"/>
        </w:rPr>
        <w:t>מתואלי</w:t>
      </w:r>
      <w:r>
        <w:rPr>
          <w:rFonts w:cs="Century" w:ascii="Century" w:hAnsi="Century"/>
          <w:sz w:val="22"/>
          <w:rtl w:val="true"/>
        </w:rPr>
        <w:t>)</w:t>
      </w:r>
      <w:r>
        <w:rPr>
          <w:rtl w:val="true"/>
        </w:rPr>
        <w:t xml:space="preserve">; </w:t>
      </w:r>
      <w:hyperlink r:id="rId71">
        <w:r>
          <w:rPr>
            <w:rStyle w:val="Hyperlink"/>
            <w:color w:val="0000FF"/>
            <w:u w:val="single"/>
            <w:rtl w:val="true"/>
          </w:rPr>
          <w:t>ת</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tl w:val="true"/>
          </w:rPr>
          <w:t>(</w:t>
        </w:r>
        <w:r>
          <w:rPr>
            <w:rStyle w:val="Hyperlink"/>
            <w:color w:val="0000FF"/>
            <w:u w:val="single"/>
            <w:rtl w:val="true"/>
          </w:rPr>
          <w:t>מחוזי</w:t>
        </w:r>
        <w:r>
          <w:rPr>
            <w:rStyle w:val="Hyperlink"/>
            <w:color w:val="0000FF"/>
            <w:u w:val="single"/>
            <w:rtl w:val="true"/>
          </w:rPr>
          <w:t xml:space="preserve"> </w:t>
        </w:r>
        <w:r>
          <w:rPr>
            <w:rStyle w:val="Hyperlink"/>
            <w:color w:val="0000FF"/>
            <w:u w:val="single"/>
            <w:rtl w:val="true"/>
          </w:rPr>
          <w:t>ת</w:t>
        </w:r>
        <w:r>
          <w:rPr>
            <w:rStyle w:val="Hyperlink"/>
            <w:color w:val="0000FF"/>
            <w:u w:val="single"/>
            <w:rtl w:val="true"/>
          </w:rPr>
          <w:t>"</w:t>
        </w:r>
        <w:r>
          <w:rPr>
            <w:rStyle w:val="Hyperlink"/>
            <w:color w:val="0000FF"/>
            <w:u w:val="single"/>
            <w:rtl w:val="true"/>
          </w:rPr>
          <w:t>א</w:t>
        </w:r>
        <w:r>
          <w:rPr>
            <w:rStyle w:val="Hyperlink"/>
            <w:color w:val="0000FF"/>
            <w:u w:val="single"/>
            <w:rtl w:val="true"/>
          </w:rPr>
          <w:t xml:space="preserve">) </w:t>
        </w:r>
        <w:r>
          <w:rPr>
            <w:rStyle w:val="Hyperlink"/>
            <w:color w:val="0000FF"/>
            <w:u w:val="single"/>
          </w:rPr>
          <w:t>90/12</w:t>
        </w:r>
      </w:hyperlink>
      <w:r>
        <w:rPr>
          <w:rtl w:val="true"/>
        </w:rPr>
        <w:t xml:space="preserve"> </w:t>
      </w:r>
      <w:r>
        <w:rPr>
          <w:rFonts w:cs="Miriam"/>
          <w:b/>
          <w:b/>
          <w:spacing w:val="0"/>
          <w:szCs w:val="24"/>
          <w:rtl w:val="true"/>
        </w:rPr>
        <w:t>מדינת</w:t>
      </w:r>
      <w:r>
        <w:rPr>
          <w:rFonts w:eastAsia="Garamond"/>
          <w:b/>
          <w:b/>
          <w:spacing w:val="0"/>
          <w:szCs w:val="24"/>
          <w:rtl w:val="true"/>
        </w:rPr>
        <w:t xml:space="preserve"> </w:t>
      </w:r>
      <w:r>
        <w:rPr>
          <w:rFonts w:cs="Miriam"/>
          <w:b/>
          <w:b/>
          <w:spacing w:val="0"/>
          <w:szCs w:val="24"/>
          <w:rtl w:val="true"/>
        </w:rPr>
        <w:t>ישראל</w:t>
      </w:r>
      <w:r>
        <w:rPr>
          <w:rFonts w:eastAsia="Garamond"/>
          <w:b/>
          <w:b/>
          <w:spacing w:val="0"/>
          <w:szCs w:val="24"/>
          <w:rtl w:val="true"/>
        </w:rPr>
        <w:t xml:space="preserve"> </w:t>
      </w:r>
      <w:r>
        <w:rPr>
          <w:rFonts w:cs="Miriam"/>
          <w:b/>
          <w:b/>
          <w:spacing w:val="0"/>
          <w:szCs w:val="24"/>
          <w:rtl w:val="true"/>
        </w:rPr>
        <w:t>נ</w:t>
      </w:r>
      <w:r>
        <w:rPr>
          <w:rFonts w:cs="Miriam"/>
          <w:b/>
          <w:spacing w:val="0"/>
          <w:szCs w:val="24"/>
          <w:rtl w:val="true"/>
        </w:rPr>
        <w:t xml:space="preserve">' </w:t>
      </w:r>
      <w:r>
        <w:rPr>
          <w:rFonts w:cs="Miriam"/>
          <w:b/>
          <w:b/>
          <w:spacing w:val="0"/>
          <w:szCs w:val="24"/>
          <w:rtl w:val="true"/>
        </w:rPr>
        <w:t>איברהים</w:t>
      </w:r>
      <w:r>
        <w:rPr>
          <w:rFonts w:eastAsia="Garamond"/>
          <w:b/>
          <w:b/>
          <w:spacing w:val="0"/>
          <w:szCs w:val="24"/>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tl w:val="true"/>
        </w:rPr>
        <w:t>(</w:t>
      </w:r>
      <w:r>
        <w:rPr/>
        <w:t>12.12.2012</w:t>
      </w:r>
      <w:r>
        <w:rPr>
          <w:rtl w:val="true"/>
        </w:rPr>
        <w:t>) (</w:t>
      </w:r>
      <w:r>
        <w:rPr>
          <w:rtl w:val="true"/>
        </w:rPr>
        <w:t>להלן</w:t>
      </w:r>
      <w:r>
        <w:rPr>
          <w:rtl w:val="true"/>
        </w:rPr>
        <w:t xml:space="preserve">: </w:t>
      </w:r>
      <w:r>
        <w:rPr>
          <w:rtl w:val="true"/>
        </w:rPr>
        <w:t xml:space="preserve">עניין </w:t>
      </w:r>
      <w:r>
        <w:rPr>
          <w:rFonts w:ascii="Century" w:hAnsi="Century" w:cs="Miriam"/>
          <w:b/>
          <w:b/>
          <w:spacing w:val="0"/>
          <w:sz w:val="22"/>
          <w:sz w:val="22"/>
          <w:szCs w:val="24"/>
          <w:rtl w:val="true"/>
        </w:rPr>
        <w:t>איברהים</w:t>
      </w:r>
      <w:r>
        <w:rPr>
          <w:rFonts w:cs="Century" w:ascii="Century" w:hAnsi="Century"/>
          <w:sz w:val="22"/>
          <w:rtl w:val="true"/>
        </w:rPr>
        <w:t>)</w:t>
      </w:r>
      <w:r>
        <w:rPr>
          <w:rtl w:val="true"/>
        </w:rPr>
        <w:t xml:space="preserve">), </w:t>
      </w:r>
      <w:r>
        <w:rPr>
          <w:rtl w:val="true"/>
        </w:rPr>
        <w:t xml:space="preserve">וזאת על אף שבכל אחד הורשעו הנאשמים </w:t>
      </w:r>
      <w:r>
        <w:rPr>
          <w:rFonts w:ascii="Century" w:hAnsi="Century" w:cs="Miriam"/>
          <w:b/>
          <w:b/>
          <w:spacing w:val="0"/>
          <w:sz w:val="22"/>
          <w:sz w:val="22"/>
          <w:szCs w:val="24"/>
          <w:rtl w:val="true"/>
        </w:rPr>
        <w:t>בעבירות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שונות</w:t>
      </w:r>
      <w:r>
        <w:rPr>
          <w:rtl w:val="true"/>
        </w:rPr>
        <w:t xml:space="preserve"> </w:t>
      </w:r>
      <w:r>
        <w:rPr>
          <w:rtl w:val="true"/>
        </w:rPr>
        <w:t>(</w:t>
      </w:r>
      <w:r>
        <w:rPr>
          <w:rtl w:val="true"/>
        </w:rPr>
        <w:t xml:space="preserve">בעניין </w:t>
      </w:r>
      <w:r>
        <w:rPr>
          <w:rFonts w:ascii="Century" w:hAnsi="Century" w:cs="Miriam"/>
          <w:b/>
          <w:b/>
          <w:spacing w:val="0"/>
          <w:sz w:val="22"/>
          <w:sz w:val="22"/>
          <w:szCs w:val="24"/>
          <w:rtl w:val="true"/>
        </w:rPr>
        <w:t>בשיר</w:t>
      </w:r>
      <w:r>
        <w:rPr>
          <w:rFonts w:ascii="Century" w:hAnsi="Century" w:cs="Century"/>
          <w:sz w:val="22"/>
          <w:sz w:val="22"/>
          <w:rtl w:val="true"/>
        </w:rPr>
        <w:t xml:space="preserve"> ועניין </w:t>
      </w:r>
      <w:r>
        <w:rPr>
          <w:rFonts w:ascii="Century" w:hAnsi="Century" w:cs="Miriam"/>
          <w:b/>
          <w:b/>
          <w:spacing w:val="0"/>
          <w:sz w:val="22"/>
          <w:sz w:val="22"/>
          <w:szCs w:val="24"/>
          <w:rtl w:val="true"/>
        </w:rPr>
        <w:t>איברהים</w:t>
      </w:r>
      <w:r>
        <w:rPr>
          <w:rFonts w:ascii="Century" w:hAnsi="Century" w:cs="Century"/>
          <w:sz w:val="22"/>
          <w:sz w:val="22"/>
          <w:rtl w:val="true"/>
        </w:rPr>
        <w:t xml:space="preserve"> הורשעו המערערים בעבירת שוד לפי </w:t>
      </w:r>
      <w:hyperlink r:id="rId72">
        <w:r>
          <w:rPr>
            <w:rStyle w:val="Hyperlink"/>
            <w:rFonts w:ascii="Century" w:hAnsi="Century" w:cs="Century"/>
            <w:color w:val="0000FF"/>
            <w:sz w:val="22"/>
            <w:sz w:val="22"/>
            <w:u w:val="single"/>
            <w:rtl w:val="true"/>
          </w:rPr>
          <w:t>סעיף</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402</w:t>
        </w:r>
        <w:r>
          <w:rPr>
            <w:rStyle w:val="Hyperlink"/>
            <w:rFonts w:cs="Century" w:ascii="Century" w:hAnsi="Century"/>
            <w:color w:val="0000FF"/>
            <w:sz w:val="22"/>
            <w:u w:val="single"/>
            <w:rtl w:val="true"/>
          </w:rPr>
          <w:t>(</w:t>
        </w:r>
        <w:r>
          <w:rPr>
            <w:rStyle w:val="Hyperlink"/>
            <w:rFonts w:ascii="Century" w:hAnsi="Century" w:cs="Century"/>
            <w:color w:val="0000FF"/>
            <w:sz w:val="22"/>
            <w:sz w:val="22"/>
            <w:u w:val="single"/>
            <w:rtl w:val="true"/>
          </w:rPr>
          <w:t>א</w:t>
        </w:r>
        <w:r>
          <w:rPr>
            <w:rStyle w:val="Hyperlink"/>
            <w:rFonts w:cs="Century" w:ascii="Century" w:hAnsi="Century"/>
            <w:color w:val="0000FF"/>
            <w:sz w:val="22"/>
            <w:u w:val="single"/>
            <w:rtl w:val="true"/>
          </w:rPr>
          <w:t>)</w:t>
        </w:r>
      </w:hyperlink>
      <w:r>
        <w:rPr>
          <w:rFonts w:cs="Century" w:ascii="Century" w:hAnsi="Century"/>
          <w:sz w:val="22"/>
          <w:rtl w:val="true"/>
        </w:rPr>
        <w:t xml:space="preserve"> </w:t>
      </w:r>
      <w:r>
        <w:rPr>
          <w:rFonts w:ascii="Century" w:hAnsi="Century" w:cs="Century"/>
          <w:sz w:val="22"/>
          <w:sz w:val="22"/>
          <w:rtl w:val="true"/>
        </w:rPr>
        <w:t>ל</w:t>
      </w:r>
      <w:hyperlink r:id="rId73">
        <w:r>
          <w:rPr>
            <w:rStyle w:val="Hyperlink"/>
            <w:rFonts w:ascii="Century" w:hAnsi="Century" w:cs="Century"/>
            <w:color w:val="0000FF"/>
            <w:sz w:val="22"/>
            <w:sz w:val="22"/>
            <w:u w:val="single"/>
            <w:rtl w:val="true"/>
          </w:rPr>
          <w:t>חוק</w:t>
        </w:r>
        <w:r>
          <w:rPr>
            <w:rStyle w:val="Hyperlink"/>
            <w:rFonts w:ascii="Century" w:hAnsi="Century" w:cs="Century"/>
            <w:color w:val="0000FF"/>
            <w:sz w:val="22"/>
            <w:sz w:val="22"/>
            <w:u w:val="single"/>
            <w:rtl w:val="true"/>
          </w:rPr>
          <w:t xml:space="preserve"> </w:t>
        </w:r>
        <w:r>
          <w:rPr>
            <w:rStyle w:val="Hyperlink"/>
            <w:rFonts w:ascii="Century" w:hAnsi="Century" w:cs="Century"/>
            <w:color w:val="0000FF"/>
            <w:sz w:val="22"/>
            <w:sz w:val="22"/>
            <w:u w:val="single"/>
            <w:rtl w:val="true"/>
          </w:rPr>
          <w:t>העונשין</w:t>
        </w:r>
      </w:hyperlink>
      <w:r>
        <w:rPr>
          <w:rFonts w:cs="Century" w:ascii="Century" w:hAnsi="Century"/>
          <w:sz w:val="22"/>
          <w:rtl w:val="true"/>
        </w:rPr>
        <w:t xml:space="preserve">, </w:t>
      </w:r>
      <w:r>
        <w:rPr>
          <w:rFonts w:ascii="Century" w:hAnsi="Century" w:cs="Century"/>
          <w:sz w:val="22"/>
          <w:sz w:val="22"/>
          <w:rtl w:val="true"/>
        </w:rPr>
        <w:t xml:space="preserve">ובמקרים האחרים בעבירת שוד בנסיבות מחמירות לפי </w:t>
      </w:r>
      <w:hyperlink r:id="rId74">
        <w:r>
          <w:rPr>
            <w:rStyle w:val="Hyperlink"/>
            <w:rFonts w:ascii="Century" w:hAnsi="Century" w:cs="Century"/>
            <w:color w:val="0000FF"/>
            <w:sz w:val="22"/>
            <w:sz w:val="22"/>
            <w:u w:val="single"/>
            <w:rtl w:val="true"/>
          </w:rPr>
          <w:t>סעיף</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402</w:t>
        </w:r>
        <w:r>
          <w:rPr>
            <w:rStyle w:val="Hyperlink"/>
            <w:rFonts w:cs="Century" w:ascii="Century" w:hAnsi="Century"/>
            <w:color w:val="0000FF"/>
            <w:sz w:val="22"/>
            <w:u w:val="single"/>
            <w:rtl w:val="true"/>
          </w:rPr>
          <w:t>(</w:t>
        </w:r>
        <w:r>
          <w:rPr>
            <w:rStyle w:val="Hyperlink"/>
            <w:rFonts w:ascii="Century" w:hAnsi="Century" w:cs="Century"/>
            <w:color w:val="0000FF"/>
            <w:sz w:val="22"/>
            <w:sz w:val="22"/>
            <w:u w:val="single"/>
            <w:rtl w:val="true"/>
          </w:rPr>
          <w:t>ב</w:t>
        </w:r>
        <w:r>
          <w:rPr>
            <w:rStyle w:val="Hyperlink"/>
            <w:rFonts w:cs="Century" w:ascii="Century" w:hAnsi="Century"/>
            <w:color w:val="0000FF"/>
            <w:sz w:val="22"/>
            <w:u w:val="single"/>
            <w:rtl w:val="true"/>
          </w:rPr>
          <w:t>)</w:t>
        </w:r>
      </w:hyperlink>
      <w:r>
        <w:rPr>
          <w:rFonts w:cs="Century" w:ascii="Century" w:hAnsi="Century"/>
          <w:sz w:val="22"/>
          <w:rtl w:val="true"/>
        </w:rPr>
        <w:t xml:space="preserve"> </w:t>
      </w:r>
      <w:r>
        <w:rPr>
          <w:rFonts w:ascii="Century" w:hAnsi="Century" w:cs="Century"/>
          <w:sz w:val="22"/>
          <w:sz w:val="22"/>
          <w:rtl w:val="true"/>
        </w:rPr>
        <w:t>לחוק העונשין</w:t>
      </w:r>
      <w:r>
        <w:rPr>
          <w:rFonts w:cs="Century" w:ascii="Century" w:hAnsi="Century"/>
          <w:sz w:val="22"/>
          <w:rtl w:val="true"/>
        </w:rPr>
        <w:t xml:space="preserve">), </w:t>
      </w:r>
      <w:r>
        <w:rPr>
          <w:rFonts w:ascii="Century" w:hAnsi="Century" w:cs="Century"/>
          <w:sz w:val="22"/>
          <w:sz w:val="22"/>
          <w:rtl w:val="true"/>
        </w:rPr>
        <w:t>ו</w:t>
      </w:r>
      <w:r>
        <w:rPr>
          <w:rFonts w:ascii="Century" w:hAnsi="Century" w:cs="Miriam"/>
          <w:b/>
          <w:b/>
          <w:spacing w:val="0"/>
          <w:sz w:val="22"/>
          <w:sz w:val="22"/>
          <w:szCs w:val="24"/>
          <w:rtl w:val="true"/>
        </w:rPr>
        <w:t>בנסיבות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שונות</w:t>
      </w:r>
      <w:r>
        <w:rPr>
          <w:rFonts w:ascii="Century" w:hAnsi="Century" w:eastAsia="Century" w:cs="Century"/>
          <w:b/>
          <w:b/>
          <w:spacing w:val="0"/>
          <w:sz w:val="22"/>
          <w:sz w:val="22"/>
          <w:szCs w:val="24"/>
          <w:rtl w:val="true"/>
        </w:rPr>
        <w:t xml:space="preserve"> </w:t>
      </w:r>
      <w:r>
        <w:rPr>
          <w:rFonts w:ascii="Century" w:hAnsi="Century" w:cs="Century"/>
          <w:sz w:val="22"/>
          <w:sz w:val="22"/>
          <w:rtl w:val="true"/>
        </w:rPr>
        <w:t xml:space="preserve">מאלו של המערער </w:t>
      </w:r>
      <w:r>
        <w:rPr>
          <w:rFonts w:cs="Century" w:ascii="Century" w:hAnsi="Century"/>
          <w:sz w:val="22"/>
          <w:rtl w:val="true"/>
        </w:rPr>
        <w:t>(</w:t>
      </w:r>
      <w:r>
        <w:rPr>
          <w:rFonts w:ascii="Century" w:hAnsi="Century" w:cs="Century"/>
          <w:sz w:val="22"/>
          <w:sz w:val="22"/>
          <w:rtl w:val="true"/>
        </w:rPr>
        <w:t xml:space="preserve">כך בעניין </w:t>
      </w:r>
      <w:r>
        <w:rPr>
          <w:rFonts w:ascii="Century" w:hAnsi="Century" w:cs="Miriam"/>
          <w:b/>
          <w:b/>
          <w:spacing w:val="0"/>
          <w:sz w:val="22"/>
          <w:sz w:val="22"/>
          <w:szCs w:val="24"/>
          <w:rtl w:val="true"/>
        </w:rPr>
        <w:t>דיס</w:t>
      </w:r>
      <w:r>
        <w:rPr>
          <w:rFonts w:cs="Century" w:ascii="Century" w:hAnsi="Century"/>
          <w:sz w:val="22"/>
          <w:rtl w:val="true"/>
        </w:rPr>
        <w:t xml:space="preserve">, </w:t>
      </w:r>
      <w:r>
        <w:rPr>
          <w:rFonts w:ascii="Century" w:hAnsi="Century" w:cs="Century"/>
          <w:sz w:val="22"/>
          <w:sz w:val="22"/>
          <w:rtl w:val="true"/>
        </w:rPr>
        <w:t>ההרשעה הייתה על סמך חזקה תכופה בלבד</w:t>
      </w:r>
      <w:r>
        <w:rPr>
          <w:rFonts w:cs="Century" w:ascii="Century" w:hAnsi="Century"/>
          <w:sz w:val="22"/>
          <w:rtl w:val="true"/>
        </w:rPr>
        <w:t xml:space="preserve">, </w:t>
      </w:r>
      <w:r>
        <w:rPr>
          <w:rFonts w:ascii="Century" w:hAnsi="Century" w:cs="Century"/>
          <w:sz w:val="22"/>
          <w:sz w:val="22"/>
          <w:rtl w:val="true"/>
        </w:rPr>
        <w:t>ומאידך</w:t>
      </w:r>
      <w:r>
        <w:rPr>
          <w:rFonts w:cs="Century" w:ascii="Century" w:hAnsi="Century"/>
          <w:sz w:val="22"/>
          <w:rtl w:val="true"/>
        </w:rPr>
        <w:t xml:space="preserve">, </w:t>
      </w:r>
      <w:r>
        <w:rPr>
          <w:rFonts w:ascii="Century" w:hAnsi="Century" w:cs="Century"/>
          <w:sz w:val="22"/>
          <w:sz w:val="22"/>
          <w:rtl w:val="true"/>
        </w:rPr>
        <w:t xml:space="preserve">בעניין </w:t>
      </w:r>
      <w:r>
        <w:rPr>
          <w:rFonts w:ascii="Century" w:hAnsi="Century" w:cs="Miriam"/>
          <w:b/>
          <w:b/>
          <w:spacing w:val="0"/>
          <w:sz w:val="22"/>
          <w:sz w:val="22"/>
          <w:szCs w:val="24"/>
          <w:rtl w:val="true"/>
        </w:rPr>
        <w:t>מתואלי</w:t>
      </w:r>
      <w:r>
        <w:rPr>
          <w:rFonts w:ascii="Century" w:hAnsi="Century" w:cs="Century"/>
          <w:sz w:val="22"/>
          <w:sz w:val="22"/>
          <w:rtl w:val="true"/>
        </w:rPr>
        <w:t xml:space="preserve"> הואשם הנאשם גם ב</w:t>
      </w:r>
      <w:r>
        <w:rPr>
          <w:rtl w:val="true"/>
        </w:rPr>
        <w:t>סיכון חיים בנתיב תחבורה</w:t>
      </w:r>
      <w:r>
        <w:rPr>
          <w:rtl w:val="true"/>
        </w:rPr>
        <w:t xml:space="preserve">, </w:t>
      </w:r>
      <w:r>
        <w:rPr>
          <w:rtl w:val="true"/>
        </w:rPr>
        <w:t>לאחר שנוהל אחריו מצוד משטרתי וגלגלי מכוניתו נורו</w:t>
      </w:r>
      <w:r>
        <w:rPr>
          <w:rtl w:val="true"/>
        </w:rPr>
        <w:t xml:space="preserve">; </w:t>
      </w:r>
      <w:r>
        <w:rPr>
          <w:rtl w:val="true"/>
        </w:rPr>
        <w:t>עוד</w:t>
      </w:r>
      <w:r>
        <w:rPr>
          <w:rtl w:val="true"/>
        </w:rPr>
        <w:t xml:space="preserve">, </w:t>
      </w:r>
      <w:r>
        <w:rPr>
          <w:rtl w:val="true"/>
        </w:rPr>
        <w:t xml:space="preserve">בעניין </w:t>
      </w:r>
      <w:r>
        <w:rPr>
          <w:rFonts w:ascii="Century" w:hAnsi="Century" w:cs="Miriam"/>
          <w:b/>
          <w:b/>
          <w:spacing w:val="0"/>
          <w:sz w:val="22"/>
          <w:sz w:val="22"/>
          <w:szCs w:val="24"/>
          <w:rtl w:val="true"/>
        </w:rPr>
        <w:t>איברהים</w:t>
      </w:r>
      <w:r>
        <w:rPr>
          <w:rFonts w:ascii="Century" w:hAnsi="Century" w:eastAsia="Century" w:cs="Century"/>
          <w:b/>
          <w:b/>
          <w:spacing w:val="0"/>
          <w:sz w:val="22"/>
          <w:sz w:val="22"/>
          <w:szCs w:val="24"/>
          <w:rtl w:val="true"/>
        </w:rPr>
        <w:t xml:space="preserve"> </w:t>
      </w:r>
      <w:r>
        <w:rPr>
          <w:rFonts w:ascii="Century" w:hAnsi="Century" w:cs="Century"/>
          <w:sz w:val="22"/>
          <w:sz w:val="22"/>
          <w:rtl w:val="true"/>
        </w:rPr>
        <w:t xml:space="preserve">הואשם הנאשם גם בעבירת שהיה בלתי חוקית ובעניין </w:t>
      </w:r>
      <w:r>
        <w:rPr>
          <w:rFonts w:ascii="Century" w:hAnsi="Century" w:cs="Miriam"/>
          <w:b/>
          <w:b/>
          <w:spacing w:val="0"/>
          <w:sz w:val="22"/>
          <w:sz w:val="22"/>
          <w:szCs w:val="24"/>
          <w:rtl w:val="true"/>
        </w:rPr>
        <w:t>גאבר</w:t>
      </w:r>
      <w:r>
        <w:rPr>
          <w:rFonts w:ascii="Century" w:hAnsi="Century" w:eastAsia="Century" w:cs="Century"/>
          <w:b/>
          <w:b/>
          <w:spacing w:val="0"/>
          <w:sz w:val="22"/>
          <w:sz w:val="22"/>
          <w:szCs w:val="24"/>
          <w:rtl w:val="true"/>
        </w:rPr>
        <w:t xml:space="preserve"> </w:t>
      </w:r>
      <w:r>
        <w:rPr>
          <w:rFonts w:ascii="Century" w:hAnsi="Century" w:cs="Century"/>
          <w:sz w:val="22"/>
          <w:sz w:val="22"/>
          <w:rtl w:val="true"/>
        </w:rPr>
        <w:t xml:space="preserve">איים הנאשם בסכין </w:t>
      </w:r>
      <w:r>
        <w:rPr>
          <w:rFonts w:cs="Century" w:ascii="Century" w:hAnsi="Century"/>
          <w:sz w:val="22"/>
          <w:rtl w:val="true"/>
        </w:rPr>
        <w:t>(</w:t>
      </w:r>
      <w:r>
        <w:rPr>
          <w:rFonts w:ascii="Century" w:hAnsi="Century" w:cs="Century"/>
          <w:sz w:val="22"/>
          <w:sz w:val="22"/>
          <w:rtl w:val="true"/>
        </w:rPr>
        <w:t>ולא רק החזיק בה</w:t>
      </w:r>
      <w:r>
        <w:rPr>
          <w:rFonts w:cs="Century" w:ascii="Century" w:hAnsi="Century"/>
          <w:sz w:val="22"/>
          <w:rtl w:val="true"/>
        </w:rPr>
        <w:t xml:space="preserve">) </w:t>
      </w:r>
      <w:r>
        <w:rPr>
          <w:rFonts w:ascii="Century" w:hAnsi="Century" w:cs="Century"/>
          <w:sz w:val="22"/>
          <w:sz w:val="22"/>
          <w:rtl w:val="true"/>
        </w:rPr>
        <w:t>על המתלונן ואף גנב את רכבו</w:t>
      </w:r>
      <w:r>
        <w:rPr>
          <w:rFonts w:cs="Century" w:ascii="Century" w:hAnsi="Century"/>
          <w:sz w:val="22"/>
          <w:rtl w:val="true"/>
        </w:rPr>
        <w:t xml:space="preserve">). </w:t>
      </w:r>
    </w:p>
    <w:p>
      <w:pPr>
        <w:pStyle w:val="Ruller42"/>
        <w:numPr>
          <w:ilvl w:val="0"/>
          <w:numId w:val="0"/>
        </w:numPr>
        <w:ind w:hanging="0" w:start="0" w:end="0"/>
        <w:jc w:val="both"/>
        <w:rPr/>
      </w:pPr>
      <w:r>
        <w:rPr>
          <w:rtl w:val="true"/>
        </w:rPr>
      </w:r>
    </w:p>
    <w:p>
      <w:pPr>
        <w:pStyle w:val="Ruller42"/>
        <w:numPr>
          <w:ilvl w:val="0"/>
          <w:numId w:val="1"/>
        </w:numPr>
        <w:ind w:end="0"/>
        <w:jc w:val="both"/>
        <w:rPr/>
      </w:pPr>
      <w:r>
        <w:rPr>
          <w:rFonts w:ascii="Century" w:hAnsi="Century" w:cs="Century"/>
          <w:sz w:val="22"/>
          <w:sz w:val="22"/>
          <w:rtl w:val="true"/>
        </w:rPr>
        <w:t>כמו כן</w:t>
      </w:r>
      <w:r>
        <w:rPr>
          <w:rFonts w:cs="Miriam" w:ascii="Century" w:hAnsi="Century"/>
          <w:b/>
          <w:spacing w:val="0"/>
          <w:sz w:val="22"/>
          <w:szCs w:val="24"/>
          <w:rtl w:val="true"/>
        </w:rPr>
        <w:t xml:space="preserve">, </w:t>
      </w:r>
      <w:r>
        <w:rPr>
          <w:rtl w:val="true"/>
        </w:rPr>
        <w:t xml:space="preserve">חלק מתוצאות גזרי דין אלו הופחתו במסגרת ערעורים שהוגשו ונדונו בבית משפט זה </w:t>
      </w:r>
      <w:r>
        <w:rPr>
          <w:rtl w:val="true"/>
        </w:rPr>
        <w:t>(</w:t>
      </w:r>
      <w:r>
        <w:rPr>
          <w:rtl w:val="true"/>
        </w:rPr>
        <w:t xml:space="preserve">בעניין </w:t>
      </w:r>
      <w:r>
        <w:rPr>
          <w:rFonts w:ascii="Century" w:hAnsi="Century" w:cs="Miriam"/>
          <w:b/>
          <w:b/>
          <w:spacing w:val="0"/>
          <w:sz w:val="22"/>
          <w:sz w:val="22"/>
          <w:szCs w:val="24"/>
          <w:rtl w:val="true"/>
        </w:rPr>
        <w:t>בשיר</w:t>
      </w:r>
      <w:r>
        <w:rPr>
          <w:rFonts w:ascii="Century" w:hAnsi="Century" w:eastAsia="Century" w:cs="Century"/>
          <w:b/>
          <w:b/>
          <w:spacing w:val="0"/>
          <w:sz w:val="22"/>
          <w:sz w:val="22"/>
          <w:szCs w:val="24"/>
          <w:rtl w:val="true"/>
        </w:rPr>
        <w:t xml:space="preserve"> </w:t>
      </w:r>
      <w:r>
        <w:rPr>
          <w:rFonts w:ascii="Century" w:hAnsi="Century" w:cs="Century"/>
          <w:sz w:val="22"/>
          <w:sz w:val="22"/>
          <w:rtl w:val="true"/>
        </w:rPr>
        <w:t xml:space="preserve">– </w:t>
      </w:r>
      <w:r>
        <w:rPr>
          <w:rtl w:val="true"/>
        </w:rPr>
        <w:t>ב</w:t>
      </w:r>
      <w:hyperlink r:id="rId75">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5535/12</w:t>
        </w:r>
      </w:hyperlink>
      <w:r>
        <w:rPr>
          <w:rtl w:val="true"/>
        </w:rPr>
        <w:t xml:space="preserve"> </w:t>
      </w:r>
      <w:r>
        <w:rPr>
          <w:rFonts w:ascii="Century" w:hAnsi="Century" w:cs="Miriam"/>
          <w:b/>
          <w:b/>
          <w:spacing w:val="0"/>
          <w:sz w:val="22"/>
          <w:sz w:val="22"/>
          <w:szCs w:val="24"/>
          <w:rtl w:val="true"/>
        </w:rPr>
        <w:t>כאברי</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ascii="Century" w:hAnsi="Century" w:cs="Century"/>
          <w:sz w:val="22"/>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cs="Century" w:ascii="Century" w:hAnsi="Century"/>
          <w:sz w:val="22"/>
          <w:rtl w:val="true"/>
        </w:rPr>
        <w:t>(</w:t>
      </w:r>
      <w:r>
        <w:rPr>
          <w:rFonts w:cs="Century" w:ascii="Century" w:hAnsi="Century"/>
          <w:sz w:val="22"/>
        </w:rPr>
        <w:t>1.5.2013</w:t>
      </w:r>
      <w:r>
        <w:rPr>
          <w:rFonts w:cs="Century" w:ascii="Century" w:hAnsi="Century"/>
          <w:sz w:val="22"/>
          <w:rtl w:val="true"/>
        </w:rPr>
        <w:t>) (</w:t>
      </w:r>
      <w:r>
        <w:rPr>
          <w:rFonts w:ascii="Century" w:hAnsi="Century" w:cs="Century"/>
          <w:sz w:val="22"/>
          <w:sz w:val="22"/>
          <w:rtl w:val="true"/>
        </w:rPr>
        <w:t>להלן</w:t>
      </w:r>
      <w:r>
        <w:rPr>
          <w:rFonts w:cs="Century" w:ascii="Century" w:hAnsi="Century"/>
          <w:sz w:val="22"/>
          <w:rtl w:val="true"/>
        </w:rPr>
        <w:t xml:space="preserve">: </w:t>
      </w:r>
      <w:r>
        <w:rPr>
          <w:rFonts w:ascii="Century" w:hAnsi="Century" w:cs="Century"/>
          <w:sz w:val="22"/>
          <w:sz w:val="22"/>
          <w:rtl w:val="true"/>
        </w:rPr>
        <w:t xml:space="preserve">עניין </w:t>
      </w:r>
      <w:r>
        <w:rPr>
          <w:rFonts w:ascii="Century" w:hAnsi="Century" w:cs="Miriam"/>
          <w:b/>
          <w:b/>
          <w:spacing w:val="0"/>
          <w:sz w:val="22"/>
          <w:sz w:val="22"/>
          <w:szCs w:val="24"/>
          <w:rtl w:val="true"/>
        </w:rPr>
        <w:t>כאברי</w:t>
      </w:r>
      <w:r>
        <w:rPr>
          <w:rFonts w:cs="Century" w:ascii="Century" w:hAnsi="Century"/>
          <w:sz w:val="22"/>
          <w:rtl w:val="true"/>
        </w:rPr>
        <w:t xml:space="preserve">) </w:t>
      </w:r>
      <w:r>
        <w:rPr>
          <w:rFonts w:ascii="Century" w:hAnsi="Century" w:cs="Century"/>
          <w:sz w:val="22"/>
          <w:sz w:val="22"/>
          <w:rtl w:val="true"/>
        </w:rPr>
        <w:t>הופחת עונש המאסר בשמונה חודשים</w:t>
      </w:r>
      <w:r>
        <w:rPr>
          <w:rFonts w:cs="Century" w:ascii="Century" w:hAnsi="Century"/>
          <w:sz w:val="22"/>
          <w:rtl w:val="true"/>
        </w:rPr>
        <w:t xml:space="preserve">, </w:t>
      </w:r>
      <w:r>
        <w:rPr>
          <w:rFonts w:ascii="Century" w:hAnsi="Century" w:cs="Century"/>
          <w:sz w:val="22"/>
          <w:sz w:val="22"/>
          <w:rtl w:val="true"/>
        </w:rPr>
        <w:t>במקביל לשינוי מתחם הענישה</w:t>
      </w:r>
      <w:r>
        <w:rPr>
          <w:rFonts w:cs="Miriam" w:ascii="Century" w:hAnsi="Century"/>
          <w:b/>
          <w:spacing w:val="0"/>
          <w:sz w:val="22"/>
          <w:szCs w:val="24"/>
          <w:rtl w:val="true"/>
        </w:rPr>
        <w:t xml:space="preserve">; </w:t>
      </w:r>
      <w:r>
        <w:rPr>
          <w:rFonts w:ascii="Century" w:hAnsi="Century" w:cs="Century"/>
          <w:sz w:val="22"/>
          <w:sz w:val="22"/>
          <w:rtl w:val="true"/>
        </w:rPr>
        <w:t xml:space="preserve">בעניין </w:t>
      </w:r>
      <w:r>
        <w:rPr>
          <w:rFonts w:ascii="Century" w:hAnsi="Century" w:cs="Miriam"/>
          <w:b/>
          <w:b/>
          <w:spacing w:val="0"/>
          <w:sz w:val="22"/>
          <w:sz w:val="22"/>
          <w:szCs w:val="24"/>
          <w:rtl w:val="true"/>
        </w:rPr>
        <w:t>דיס</w:t>
      </w:r>
      <w:r>
        <w:rPr>
          <w:rFonts w:ascii="Century" w:hAnsi="Century" w:eastAsia="Century" w:cs="Century"/>
          <w:b/>
          <w:b/>
          <w:spacing w:val="0"/>
          <w:sz w:val="22"/>
          <w:sz w:val="22"/>
          <w:szCs w:val="24"/>
          <w:rtl w:val="true"/>
        </w:rPr>
        <w:t xml:space="preserve"> </w:t>
      </w:r>
      <w:r>
        <w:rPr>
          <w:rFonts w:ascii="Century" w:hAnsi="Century" w:cs="Century"/>
          <w:sz w:val="22"/>
          <w:sz w:val="22"/>
          <w:rtl w:val="true"/>
        </w:rPr>
        <w:t>– ב</w:t>
      </w:r>
      <w:hyperlink r:id="rId76">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5875/12</w:t>
        </w:r>
      </w:hyperlink>
      <w:r>
        <w:rPr>
          <w:rtl w:val="true"/>
        </w:rPr>
        <w:t xml:space="preserve"> </w:t>
      </w:r>
      <w:r>
        <w:rPr>
          <w:rFonts w:ascii="Century" w:hAnsi="Century" w:cs="Miriam"/>
          <w:b/>
          <w:b/>
          <w:spacing w:val="0"/>
          <w:szCs w:val="24"/>
          <w:rtl w:val="true"/>
        </w:rPr>
        <w:t>דיס</w:t>
      </w:r>
      <w:r>
        <w:rPr>
          <w:rFonts w:ascii="Century" w:hAnsi="Century" w:eastAsia="Century" w:cs="Century"/>
          <w:b/>
          <w:b/>
          <w:spacing w:val="0"/>
          <w:szCs w:val="24"/>
          <w:rtl w:val="true"/>
        </w:rPr>
        <w:t xml:space="preserve"> </w:t>
      </w:r>
      <w:r>
        <w:rPr>
          <w:rFonts w:ascii="Century" w:hAnsi="Century" w:cs="Miriam"/>
          <w:b/>
          <w:b/>
          <w:spacing w:val="0"/>
          <w:szCs w:val="24"/>
          <w:rtl w:val="true"/>
        </w:rPr>
        <w:t>נ</w:t>
      </w:r>
      <w:r>
        <w:rPr>
          <w:rFonts w:cs="Miriam" w:ascii="Century" w:hAnsi="Century"/>
          <w:b/>
          <w:spacing w:val="0"/>
          <w:szCs w:val="24"/>
          <w:rtl w:val="true"/>
        </w:rPr>
        <w:t xml:space="preserve">' </w:t>
      </w:r>
      <w:r>
        <w:rPr>
          <w:rFonts w:ascii="Century" w:hAnsi="Century" w:cs="Miriam"/>
          <w:b/>
          <w:b/>
          <w:spacing w:val="0"/>
          <w:szCs w:val="24"/>
          <w:rtl w:val="true"/>
        </w:rPr>
        <w:t>מדינת</w:t>
      </w:r>
      <w:r>
        <w:rPr>
          <w:rFonts w:ascii="Century" w:hAnsi="Century" w:eastAsia="Century" w:cs="Century"/>
          <w:b/>
          <w:b/>
          <w:spacing w:val="0"/>
          <w:szCs w:val="24"/>
          <w:rtl w:val="true"/>
        </w:rPr>
        <w:t xml:space="preserve"> </w:t>
      </w:r>
      <w:r>
        <w:rPr>
          <w:rFonts w:ascii="Century" w:hAnsi="Century" w:cs="Miriam"/>
          <w:b/>
          <w:b/>
          <w:spacing w:val="0"/>
          <w:szCs w:val="24"/>
          <w:rtl w:val="true"/>
        </w:rPr>
        <w:t>ישראל</w:t>
      </w:r>
      <w:r>
        <w:rPr>
          <w:rFonts w:ascii="Century" w:hAnsi="Century" w:cs="Century"/>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cs="Century" w:ascii="Century" w:hAnsi="Century"/>
          <w:rtl w:val="true"/>
        </w:rPr>
        <w:t>(</w:t>
      </w:r>
      <w:r>
        <w:rPr>
          <w:rFonts w:cs="Century" w:ascii="Century" w:hAnsi="Century"/>
        </w:rPr>
        <w:t>10.6.2013</w:t>
      </w:r>
      <w:r>
        <w:rPr>
          <w:rFonts w:cs="Century" w:ascii="Century" w:hAnsi="Century"/>
          <w:rtl w:val="true"/>
        </w:rPr>
        <w:t>)</w:t>
      </w:r>
      <w:r>
        <w:rPr>
          <w:rFonts w:cs="Century" w:ascii="Century" w:hAnsi="Century"/>
          <w:sz w:val="22"/>
          <w:rtl w:val="true"/>
        </w:rPr>
        <w:t xml:space="preserve"> </w:t>
      </w:r>
      <w:r>
        <w:rPr>
          <w:rFonts w:ascii="Century" w:hAnsi="Century" w:cs="Century"/>
          <w:sz w:val="22"/>
          <w:sz w:val="22"/>
          <w:rtl w:val="true"/>
        </w:rPr>
        <w:t>הופחת עונש המאסר ב</w:t>
      </w:r>
      <w:r>
        <w:rPr>
          <w:rFonts w:cs="Century" w:ascii="Century" w:hAnsi="Century"/>
          <w:sz w:val="22"/>
          <w:rtl w:val="true"/>
        </w:rPr>
        <w:t>-</w:t>
      </w:r>
      <w:r>
        <w:rPr>
          <w:rFonts w:cs="Century" w:ascii="Century" w:hAnsi="Century"/>
          <w:sz w:val="22"/>
        </w:rPr>
        <w:t>18</w:t>
      </w:r>
      <w:r>
        <w:rPr>
          <w:rFonts w:cs="Century" w:ascii="Century" w:hAnsi="Century"/>
          <w:sz w:val="22"/>
          <w:rtl w:val="true"/>
        </w:rPr>
        <w:t xml:space="preserve"> </w:t>
      </w:r>
      <w:r>
        <w:rPr>
          <w:rFonts w:ascii="Century" w:hAnsi="Century" w:cs="Century"/>
          <w:sz w:val="22"/>
          <w:sz w:val="22"/>
          <w:rtl w:val="true"/>
        </w:rPr>
        <w:t>חודשים</w:t>
      </w:r>
      <w:r>
        <w:rPr>
          <w:rFonts w:cs="Century" w:ascii="Century" w:hAnsi="Century"/>
          <w:sz w:val="22"/>
          <w:rtl w:val="true"/>
        </w:rPr>
        <w:t xml:space="preserve">; </w:t>
      </w:r>
      <w:r>
        <w:rPr>
          <w:rFonts w:ascii="Century" w:hAnsi="Century" w:cs="Century"/>
          <w:sz w:val="22"/>
          <w:sz w:val="22"/>
          <w:rtl w:val="true"/>
        </w:rPr>
        <w:t xml:space="preserve">בעניין </w:t>
      </w:r>
      <w:r>
        <w:rPr>
          <w:rFonts w:ascii="Century" w:hAnsi="Century" w:cs="Miriam"/>
          <w:b/>
          <w:b/>
          <w:spacing w:val="0"/>
          <w:sz w:val="22"/>
          <w:sz w:val="22"/>
          <w:szCs w:val="24"/>
          <w:rtl w:val="true"/>
        </w:rPr>
        <w:t>גאבר</w:t>
      </w:r>
      <w:r>
        <w:rPr>
          <w:rFonts w:ascii="Century" w:hAnsi="Century" w:cs="Century"/>
          <w:sz w:val="22"/>
          <w:sz w:val="22"/>
          <w:rtl w:val="true"/>
        </w:rPr>
        <w:t xml:space="preserve"> </w:t>
      </w:r>
      <w:r>
        <w:rPr>
          <w:rFonts w:cs="Century" w:ascii="Century" w:hAnsi="Century"/>
          <w:sz w:val="22"/>
          <w:rtl w:val="true"/>
        </w:rPr>
        <w:t xml:space="preserve">- </w:t>
      </w:r>
      <w:r>
        <w:rPr>
          <w:rtl w:val="true"/>
        </w:rPr>
        <w:t>ב</w:t>
      </w:r>
      <w:hyperlink r:id="rId77">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7560/12</w:t>
        </w:r>
      </w:hyperlink>
      <w:r>
        <w:rPr>
          <w:rtl w:val="true"/>
        </w:rPr>
        <w:t xml:space="preserve"> </w:t>
      </w:r>
      <w:r>
        <w:rPr>
          <w:rFonts w:ascii="Century" w:hAnsi="Century" w:cs="Miriam"/>
          <w:b/>
          <w:b/>
          <w:spacing w:val="0"/>
          <w:sz w:val="22"/>
          <w:sz w:val="22"/>
          <w:szCs w:val="24"/>
          <w:rtl w:val="true"/>
        </w:rPr>
        <w:t>גיית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ascii="Century" w:hAnsi="Century" w:cs="Century"/>
          <w:sz w:val="22"/>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cs="Century" w:ascii="Century" w:hAnsi="Century"/>
          <w:sz w:val="22"/>
          <w:rtl w:val="true"/>
        </w:rPr>
        <w:t>(</w:t>
      </w:r>
      <w:r>
        <w:rPr>
          <w:rFonts w:cs="Century" w:ascii="Century" w:hAnsi="Century"/>
          <w:sz w:val="22"/>
        </w:rPr>
        <w:t>24.10.2013</w:t>
      </w:r>
      <w:r>
        <w:rPr>
          <w:rFonts w:cs="Century" w:ascii="Century" w:hAnsi="Century"/>
          <w:sz w:val="22"/>
          <w:rtl w:val="true"/>
        </w:rPr>
        <w:t xml:space="preserve">) </w:t>
      </w:r>
      <w:r>
        <w:rPr>
          <w:rFonts w:ascii="Century" w:hAnsi="Century" w:cs="Century"/>
          <w:sz w:val="22"/>
          <w:sz w:val="22"/>
          <w:rtl w:val="true"/>
        </w:rPr>
        <w:t>הופחת עונשו של אחד הנאשמים בשישה חודשים</w:t>
      </w:r>
      <w:r>
        <w:rPr>
          <w:rFonts w:cs="Century" w:ascii="Century" w:hAnsi="Century"/>
          <w:sz w:val="22"/>
          <w:rtl w:val="true"/>
        </w:rPr>
        <w:t>)</w:t>
      </w:r>
      <w:r>
        <w:rPr>
          <w:rtl w:val="true"/>
        </w:rPr>
        <w:t xml:space="preserve">. </w:t>
      </w:r>
      <w:r>
        <w:rPr>
          <w:rtl w:val="true"/>
        </w:rPr>
        <w:t>בנוסף</w:t>
      </w:r>
      <w:r>
        <w:rPr>
          <w:rtl w:val="true"/>
        </w:rPr>
        <w:t xml:space="preserve">, </w:t>
      </w:r>
      <w:r>
        <w:rPr>
          <w:rtl w:val="true"/>
        </w:rPr>
        <w:t xml:space="preserve">עניינו של אחד עודנו תלוי ועומד בפני בית משפט זה </w:t>
      </w:r>
      <w:r>
        <w:rPr>
          <w:rtl w:val="true"/>
        </w:rPr>
        <w:t>(</w:t>
      </w:r>
      <w:r>
        <w:rPr>
          <w:rtl w:val="true"/>
        </w:rPr>
        <w:t xml:space="preserve">עניין </w:t>
      </w:r>
      <w:r>
        <w:rPr>
          <w:rFonts w:ascii="Century" w:hAnsi="Century" w:cs="Miriam"/>
          <w:b/>
          <w:b/>
          <w:spacing w:val="0"/>
          <w:sz w:val="22"/>
          <w:sz w:val="22"/>
          <w:szCs w:val="24"/>
          <w:rtl w:val="true"/>
        </w:rPr>
        <w:t>איברהים</w:t>
      </w:r>
      <w:r>
        <w:rPr>
          <w:rFonts w:ascii="Century" w:hAnsi="Century" w:eastAsia="Century" w:cs="Century"/>
          <w:b/>
          <w:b/>
          <w:spacing w:val="0"/>
          <w:sz w:val="22"/>
          <w:sz w:val="22"/>
          <w:szCs w:val="24"/>
          <w:rtl w:val="true"/>
        </w:rPr>
        <w:t xml:space="preserve"> </w:t>
      </w:r>
      <w:r>
        <w:rPr>
          <w:rFonts w:cs="Century" w:ascii="Century" w:hAnsi="Century"/>
          <w:sz w:val="22"/>
          <w:rtl w:val="true"/>
        </w:rPr>
        <w:t xml:space="preserve">- </w:t>
      </w:r>
      <w:hyperlink r:id="rId78">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772/13</w:t>
        </w:r>
      </w:hyperlink>
      <w:r>
        <w:rPr>
          <w:rtl w:val="true"/>
        </w:rPr>
        <w:t xml:space="preserve"> </w:t>
      </w:r>
      <w:r>
        <w:rPr>
          <w:rFonts w:ascii="Century" w:hAnsi="Century" w:cs="Miriam"/>
          <w:b/>
          <w:b/>
          <w:spacing w:val="0"/>
          <w:sz w:val="22"/>
          <w:sz w:val="22"/>
          <w:szCs w:val="24"/>
          <w:rtl w:val="true"/>
        </w:rPr>
        <w:t>איברהים</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ascii="Century" w:hAnsi="Century" w:cs="Century"/>
          <w:sz w:val="22"/>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w:t>
      </w:r>
      <w:r>
        <w:rPr>
          <w:rFonts w:cs="Century" w:ascii="Century" w:hAnsi="Century"/>
          <w:sz w:val="22"/>
          <w:rtl w:val="true"/>
        </w:rPr>
        <w:t>)</w:t>
      </w:r>
      <w:r>
        <w:rPr>
          <w:rtl w:val="true"/>
        </w:rPr>
        <w:t xml:space="preserve">. </w:t>
      </w:r>
    </w:p>
    <w:p>
      <w:pPr>
        <w:pStyle w:val="Ruller42"/>
        <w:numPr>
          <w:ilvl w:val="0"/>
          <w:numId w:val="0"/>
        </w:numPr>
        <w:ind w:hanging="0" w:start="0" w:end="0"/>
        <w:jc w:val="both"/>
        <w:rPr/>
      </w:pPr>
      <w:r>
        <w:rPr>
          <w:rtl w:val="true"/>
        </w:rPr>
      </w:r>
    </w:p>
    <w:p>
      <w:pPr>
        <w:pStyle w:val="Ruller42"/>
        <w:numPr>
          <w:ilvl w:val="0"/>
          <w:numId w:val="1"/>
        </w:numPr>
        <w:ind w:end="0"/>
        <w:jc w:val="both"/>
        <w:rPr/>
      </w:pPr>
      <w:r>
        <w:rPr>
          <w:rFonts w:ascii="Century" w:hAnsi="Century" w:cs="Century"/>
          <w:sz w:val="22"/>
          <w:sz w:val="22"/>
          <w:rtl w:val="true"/>
        </w:rPr>
        <w:t>זאת ועוד</w:t>
      </w:r>
      <w:r>
        <w:rPr>
          <w:rFonts w:cs="Century" w:ascii="Century" w:hAnsi="Century"/>
          <w:sz w:val="22"/>
          <w:rtl w:val="true"/>
        </w:rPr>
        <w:t xml:space="preserve">, </w:t>
      </w:r>
      <w:r>
        <w:rPr>
          <w:rFonts w:ascii="Century" w:hAnsi="Century" w:cs="Century"/>
          <w:sz w:val="22"/>
          <w:sz w:val="22"/>
          <w:rtl w:val="true"/>
        </w:rPr>
        <w:t xml:space="preserve">רוב גזרי הדין ניתנו לפני כניסתו לתוקף של תיקון </w:t>
      </w:r>
      <w:r>
        <w:rPr>
          <w:rFonts w:cs="Century" w:ascii="Century" w:hAnsi="Century"/>
          <w:sz w:val="22"/>
        </w:rPr>
        <w:t>113</w:t>
      </w:r>
      <w:r>
        <w:rPr>
          <w:rFonts w:cs="Century" w:ascii="Century" w:hAnsi="Century"/>
          <w:sz w:val="22"/>
          <w:rtl w:val="true"/>
        </w:rPr>
        <w:t xml:space="preserve"> </w:t>
      </w:r>
      <w:r>
        <w:rPr>
          <w:rFonts w:ascii="Century" w:hAnsi="Century" w:cs="Century"/>
          <w:sz w:val="22"/>
          <w:sz w:val="22"/>
          <w:rtl w:val="true"/>
        </w:rPr>
        <w:t>ל</w:t>
      </w:r>
      <w:hyperlink r:id="rId79">
        <w:r>
          <w:rPr>
            <w:rStyle w:val="Hyperlink"/>
            <w:rFonts w:ascii="Century" w:hAnsi="Century" w:cs="Century"/>
            <w:color w:val="0000FF"/>
            <w:sz w:val="22"/>
            <w:sz w:val="22"/>
            <w:u w:val="single"/>
            <w:rtl w:val="true"/>
          </w:rPr>
          <w:t>חוק</w:t>
        </w:r>
        <w:r>
          <w:rPr>
            <w:rStyle w:val="Hyperlink"/>
            <w:rFonts w:ascii="Century" w:hAnsi="Century" w:cs="Century"/>
            <w:color w:val="0000FF"/>
            <w:sz w:val="22"/>
            <w:sz w:val="22"/>
            <w:u w:val="single"/>
            <w:rtl w:val="true"/>
          </w:rPr>
          <w:t xml:space="preserve"> </w:t>
        </w:r>
        <w:r>
          <w:rPr>
            <w:rStyle w:val="Hyperlink"/>
            <w:rFonts w:ascii="Century" w:hAnsi="Century" w:cs="Century"/>
            <w:color w:val="0000FF"/>
            <w:sz w:val="22"/>
            <w:sz w:val="22"/>
            <w:u w:val="single"/>
            <w:rtl w:val="true"/>
          </w:rPr>
          <w:t>העונשין</w:t>
        </w:r>
      </w:hyperlink>
      <w:r>
        <w:rPr>
          <w:rFonts w:ascii="Century" w:hAnsi="Century" w:cs="Century"/>
          <w:sz w:val="22"/>
          <w:sz w:val="22"/>
          <w:rtl w:val="true"/>
        </w:rPr>
        <w:t xml:space="preserve"> </w:t>
      </w:r>
      <w:r>
        <w:rPr>
          <w:rFonts w:cs="Century" w:ascii="Century" w:hAnsi="Century"/>
          <w:sz w:val="22"/>
          <w:rtl w:val="true"/>
        </w:rPr>
        <w:t>(</w:t>
      </w:r>
      <w:r>
        <w:rPr>
          <w:rFonts w:ascii="Century" w:hAnsi="Century" w:cs="Century"/>
          <w:sz w:val="22"/>
          <w:sz w:val="22"/>
          <w:rtl w:val="true"/>
        </w:rPr>
        <w:t xml:space="preserve">רק עניין </w:t>
      </w:r>
      <w:r>
        <w:rPr>
          <w:rFonts w:ascii="Century" w:hAnsi="Century" w:cs="Miriam"/>
          <w:b/>
          <w:b/>
          <w:spacing w:val="0"/>
          <w:sz w:val="22"/>
          <w:sz w:val="22"/>
          <w:szCs w:val="24"/>
          <w:rtl w:val="true"/>
        </w:rPr>
        <w:t>מיתואלי</w:t>
      </w:r>
      <w:r>
        <w:rPr>
          <w:rFonts w:ascii="Century" w:hAnsi="Century" w:eastAsia="Century" w:cs="Century"/>
          <w:b/>
          <w:b/>
          <w:spacing w:val="0"/>
          <w:sz w:val="22"/>
          <w:sz w:val="22"/>
          <w:szCs w:val="24"/>
          <w:rtl w:val="true"/>
        </w:rPr>
        <w:t xml:space="preserve"> </w:t>
      </w:r>
      <w:r>
        <w:rPr>
          <w:rFonts w:ascii="Century" w:hAnsi="Century" w:cs="Century"/>
          <w:sz w:val="22"/>
          <w:sz w:val="22"/>
          <w:rtl w:val="true"/>
        </w:rPr>
        <w:t>ו</w:t>
      </w:r>
      <w:r>
        <w:rPr>
          <w:rFonts w:cs="Century" w:ascii="Century" w:hAnsi="Century"/>
          <w:sz w:val="22"/>
          <w:rtl w:val="true"/>
        </w:rPr>
        <w:t>-</w:t>
      </w:r>
      <w:r>
        <w:rPr>
          <w:rFonts w:ascii="Century" w:hAnsi="Century" w:cs="Miriam"/>
          <w:b/>
          <w:b/>
          <w:spacing w:val="0"/>
          <w:sz w:val="22"/>
          <w:sz w:val="22"/>
          <w:szCs w:val="24"/>
          <w:rtl w:val="true"/>
        </w:rPr>
        <w:t>איברהים</w:t>
      </w:r>
      <w:r>
        <w:rPr>
          <w:rFonts w:ascii="Century" w:hAnsi="Century" w:cs="Century"/>
          <w:sz w:val="22"/>
          <w:sz w:val="22"/>
          <w:rtl w:val="true"/>
        </w:rPr>
        <w:t xml:space="preserve"> הוכרעו לאחר מכן</w:t>
      </w:r>
      <w:r>
        <w:rPr>
          <w:rFonts w:cs="Century" w:ascii="Century" w:hAnsi="Century"/>
          <w:sz w:val="22"/>
          <w:rtl w:val="true"/>
        </w:rPr>
        <w:t xml:space="preserve">), </w:t>
      </w:r>
      <w:r>
        <w:rPr>
          <w:rFonts w:ascii="Century" w:hAnsi="Century" w:cs="Century"/>
          <w:sz w:val="22"/>
          <w:sz w:val="22"/>
          <w:rtl w:val="true"/>
        </w:rPr>
        <w:t>ולכן אין ללמוד מהם על מתחם ענישה הולם</w:t>
      </w:r>
      <w:r>
        <w:rPr>
          <w:rFonts w:cs="Century" w:ascii="Century" w:hAnsi="Century"/>
          <w:sz w:val="22"/>
          <w:rtl w:val="true"/>
        </w:rPr>
        <w:t xml:space="preserve">, </w:t>
      </w:r>
      <w:r>
        <w:rPr>
          <w:rFonts w:ascii="Century" w:hAnsi="Century" w:cs="Century"/>
          <w:sz w:val="22"/>
          <w:sz w:val="22"/>
          <w:rtl w:val="true"/>
        </w:rPr>
        <w:t>אלא על מדיניות ענישה נוהגת עובר לתיקון</w:t>
      </w:r>
      <w:r>
        <w:rPr>
          <w:rFonts w:cs="Century" w:ascii="Century" w:hAnsi="Century"/>
          <w:sz w:val="22"/>
          <w:rtl w:val="true"/>
        </w:rPr>
        <w:t xml:space="preserve">. </w:t>
      </w:r>
    </w:p>
    <w:p>
      <w:pPr>
        <w:pStyle w:val="Ruller41"/>
        <w:ind w:end="0"/>
        <w:jc w:val="both"/>
        <w:rPr/>
      </w:pPr>
      <w:r>
        <w:rPr>
          <w:rtl w:val="true"/>
        </w:rPr>
      </w:r>
    </w:p>
    <w:p>
      <w:pPr>
        <w:pStyle w:val="Ruller42"/>
        <w:numPr>
          <w:ilvl w:val="0"/>
          <w:numId w:val="1"/>
        </w:numPr>
        <w:ind w:end="0"/>
        <w:jc w:val="both"/>
        <w:rPr/>
      </w:pPr>
      <w:r>
        <w:rPr>
          <w:rtl w:val="true"/>
        </w:rPr>
        <w:t>כמו כן</w:t>
      </w:r>
      <w:r>
        <w:rPr>
          <w:rtl w:val="true"/>
        </w:rPr>
        <w:t xml:space="preserve">, </w:t>
      </w:r>
      <w:r>
        <w:rPr>
          <w:rtl w:val="true"/>
        </w:rPr>
        <w:t>בית המשפט המחוזי דן בהרחבה יחסית ב</w:t>
      </w:r>
      <w:hyperlink r:id="rId80">
        <w:r>
          <w:rPr>
            <w:rStyle w:val="Hyperlink"/>
            <w:color w:val="0000FF"/>
            <w:u w:val="single"/>
            <w:rtl w:val="true"/>
          </w:rPr>
          <w:t>ת</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tl w:val="true"/>
          </w:rPr>
          <w:t>(</w:t>
        </w:r>
        <w:r>
          <w:rPr>
            <w:rStyle w:val="Hyperlink"/>
            <w:color w:val="0000FF"/>
            <w:u w:val="single"/>
            <w:rtl w:val="true"/>
          </w:rPr>
          <w:t>מחוזי</w:t>
        </w:r>
        <w:r>
          <w:rPr>
            <w:rStyle w:val="Hyperlink"/>
            <w:color w:val="0000FF"/>
            <w:u w:val="single"/>
            <w:rtl w:val="true"/>
          </w:rPr>
          <w:t xml:space="preserve"> </w:t>
        </w:r>
        <w:r>
          <w:rPr>
            <w:rStyle w:val="Hyperlink"/>
            <w:color w:val="0000FF"/>
            <w:u w:val="single"/>
            <w:rtl w:val="true"/>
          </w:rPr>
          <w:t>ת</w:t>
        </w:r>
        <w:r>
          <w:rPr>
            <w:rStyle w:val="Hyperlink"/>
            <w:color w:val="0000FF"/>
            <w:u w:val="single"/>
            <w:rtl w:val="true"/>
          </w:rPr>
          <w:t>"</w:t>
        </w:r>
        <w:r>
          <w:rPr>
            <w:rStyle w:val="Hyperlink"/>
            <w:color w:val="0000FF"/>
            <w:u w:val="single"/>
            <w:rtl w:val="true"/>
          </w:rPr>
          <w:t>א</w:t>
        </w:r>
        <w:r>
          <w:rPr>
            <w:rStyle w:val="Hyperlink"/>
            <w:color w:val="0000FF"/>
            <w:u w:val="single"/>
            <w:rtl w:val="true"/>
          </w:rPr>
          <w:t xml:space="preserve">) </w:t>
        </w:r>
        <w:r>
          <w:rPr>
            <w:rStyle w:val="Hyperlink"/>
            <w:color w:val="0000FF"/>
            <w:u w:val="single"/>
          </w:rPr>
          <w:t>22977-10-11</w:t>
        </w:r>
      </w:hyperlink>
      <w:r>
        <w:rPr>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ג</w:t>
      </w:r>
      <w:r>
        <w:rPr>
          <w:rFonts w:cs="Miriam" w:ascii="Century" w:hAnsi="Century"/>
          <w:b/>
          <w:spacing w:val="0"/>
          <w:sz w:val="22"/>
          <w:szCs w:val="24"/>
          <w:rtl w:val="true"/>
        </w:rPr>
        <w:t>.</w:t>
      </w:r>
      <w:r>
        <w:rPr>
          <w:rFonts w:ascii="Century" w:hAnsi="Century" w:cs="Miriam"/>
          <w:b/>
          <w:b/>
          <w:spacing w:val="0"/>
          <w:sz w:val="22"/>
          <w:sz w:val="22"/>
          <w:szCs w:val="24"/>
          <w:rtl w:val="true"/>
        </w:rPr>
        <w:t>פ</w:t>
      </w:r>
      <w:r>
        <w:rPr>
          <w:rFonts w:cs="Miriam" w:ascii="Century" w:hAnsi="Century"/>
          <w:b/>
          <w:spacing w:val="0"/>
          <w:sz w:val="22"/>
          <w:szCs w:val="24"/>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cs="Century" w:ascii="Century" w:hAnsi="Century"/>
          <w:sz w:val="22"/>
          <w:rtl w:val="true"/>
        </w:rPr>
        <w:t>(</w:t>
      </w:r>
      <w:r>
        <w:rPr>
          <w:rFonts w:cs="Century" w:ascii="Century" w:hAnsi="Century"/>
          <w:sz w:val="22"/>
        </w:rPr>
        <w:t>23.4.2012</w:t>
      </w:r>
      <w:r>
        <w:rPr>
          <w:rFonts w:cs="Century" w:ascii="Century" w:hAnsi="Century"/>
          <w:sz w:val="22"/>
          <w:rtl w:val="true"/>
        </w:rPr>
        <w:t xml:space="preserve">), </w:t>
      </w:r>
      <w:r>
        <w:rPr>
          <w:rFonts w:ascii="Century" w:hAnsi="Century" w:cs="Century"/>
          <w:sz w:val="22"/>
          <w:sz w:val="22"/>
          <w:rtl w:val="true"/>
        </w:rPr>
        <w:t>לאורו</w:t>
      </w:r>
      <w:r>
        <w:rPr>
          <w:rtl w:val="true"/>
        </w:rPr>
        <w:t xml:space="preserve"> של ערעור שהוגש לבית משפט זה ונדחה </w:t>
      </w:r>
      <w:r>
        <w:rPr>
          <w:rtl w:val="true"/>
        </w:rPr>
        <w:t>(</w:t>
      </w:r>
      <w:hyperlink r:id="rId81">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4149/12</w:t>
        </w:r>
      </w:hyperlink>
      <w:r>
        <w:rPr>
          <w:rtl w:val="true"/>
        </w:rPr>
        <w:t xml:space="preserve"> </w:t>
      </w:r>
      <w:r>
        <w:rPr>
          <w:rFonts w:ascii="Century" w:hAnsi="Century" w:cs="Miriam"/>
          <w:b/>
          <w:b/>
          <w:spacing w:val="0"/>
          <w:sz w:val="22"/>
          <w:sz w:val="22"/>
          <w:szCs w:val="24"/>
          <w:rtl w:val="true"/>
        </w:rPr>
        <w:t>פלוני</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ascii="Century" w:hAnsi="Century" w:cs="Century"/>
          <w:sz w:val="22"/>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cs="Century" w:ascii="Century" w:hAnsi="Century"/>
          <w:sz w:val="22"/>
          <w:rtl w:val="true"/>
        </w:rPr>
        <w:t>(</w:t>
      </w:r>
      <w:r>
        <w:rPr/>
        <w:t>13.12.2012</w:t>
      </w:r>
      <w:r>
        <w:rPr>
          <w:rtl w:val="true"/>
        </w:rPr>
        <w:t xml:space="preserve">)). </w:t>
      </w:r>
      <w:r>
        <w:rPr>
          <w:rtl w:val="true"/>
        </w:rPr>
        <w:t>שם</w:t>
      </w:r>
      <w:r>
        <w:rPr>
          <w:rtl w:val="true"/>
        </w:rPr>
        <w:t xml:space="preserve">, </w:t>
      </w:r>
      <w:r>
        <w:rPr>
          <w:rtl w:val="true"/>
        </w:rPr>
        <w:t xml:space="preserve">בנסיבות חמורות מאלו של המערער </w:t>
      </w:r>
      <w:r>
        <w:rPr>
          <w:rtl w:val="true"/>
        </w:rPr>
        <w:t>(</w:t>
      </w:r>
      <w:r>
        <w:rPr>
          <w:rtl w:val="true"/>
        </w:rPr>
        <w:t>שכללו גם איום בסכין ולא רק את החזקתו</w:t>
      </w:r>
      <w:r>
        <w:rPr>
          <w:rtl w:val="true"/>
        </w:rPr>
        <w:t xml:space="preserve">), </w:t>
      </w:r>
      <w:r>
        <w:rPr>
          <w:rtl w:val="true"/>
        </w:rPr>
        <w:t>נקבע מתחם ענישה של שלוש עד חמש שנות מאסר בפועל</w:t>
      </w:r>
      <w:r>
        <w:rPr>
          <w:rtl w:val="true"/>
        </w:rPr>
        <w:t xml:space="preserve">, </w:t>
      </w:r>
      <w:r>
        <w:rPr>
          <w:rtl w:val="true"/>
        </w:rPr>
        <w:t xml:space="preserve">ונגזרו שלוש וחצי שנות מאסר בפועל </w:t>
      </w:r>
      <w:r>
        <w:rPr>
          <w:rtl w:val="true"/>
        </w:rPr>
        <w:t>(</w:t>
      </w:r>
      <w:r>
        <w:rPr>
          <w:rtl w:val="true"/>
        </w:rPr>
        <w:t>על הנאשם הבגיר</w:t>
      </w:r>
      <w:r>
        <w:rPr>
          <w:rtl w:val="true"/>
        </w:rPr>
        <w:t xml:space="preserve">). </w:t>
      </w:r>
    </w:p>
    <w:p>
      <w:pPr>
        <w:pStyle w:val="Ruller41"/>
        <w:ind w:end="0"/>
        <w:jc w:val="both"/>
        <w:rPr/>
      </w:pPr>
      <w:r>
        <w:rPr>
          <w:rtl w:val="true"/>
        </w:rPr>
      </w:r>
    </w:p>
    <w:p>
      <w:pPr>
        <w:pStyle w:val="Ruller42"/>
        <w:numPr>
          <w:ilvl w:val="0"/>
          <w:numId w:val="1"/>
        </w:numPr>
        <w:ind w:end="0"/>
        <w:jc w:val="both"/>
        <w:rPr/>
      </w:pPr>
      <w:r>
        <w:rPr>
          <w:rtl w:val="true"/>
        </w:rPr>
        <w:t>את הבסיס לקביעת מתחם הענישה בין שלוש לשש שנות מאסר בפועל</w:t>
      </w:r>
      <w:r>
        <w:rPr>
          <w:rtl w:val="true"/>
        </w:rPr>
        <w:t xml:space="preserve">, </w:t>
      </w:r>
      <w:r>
        <w:rPr>
          <w:rtl w:val="true"/>
        </w:rPr>
        <w:t>קבע בית המשפט המחוזי באותו המותב בפרשה קודמת</w:t>
      </w:r>
      <w:r>
        <w:rPr>
          <w:rtl w:val="true"/>
        </w:rPr>
        <w:t xml:space="preserve">, </w:t>
      </w:r>
      <w:r>
        <w:rPr>
          <w:rtl w:val="true"/>
        </w:rPr>
        <w:t>אשר גם עליה הוגש ערעור לבית משפט זה</w:t>
      </w:r>
      <w:r>
        <w:rPr>
          <w:rtl w:val="true"/>
        </w:rPr>
        <w:t xml:space="preserve">. </w:t>
      </w:r>
      <w:r>
        <w:rPr>
          <w:rtl w:val="true"/>
        </w:rPr>
        <w:t>ב</w:t>
      </w:r>
      <w:hyperlink r:id="rId82">
        <w:r>
          <w:rPr>
            <w:rStyle w:val="Hyperlink"/>
            <w:color w:val="0000FF"/>
            <w:u w:val="single"/>
            <w:rtl w:val="true"/>
          </w:rPr>
          <w:t>ת</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tl w:val="true"/>
          </w:rPr>
          <w:t>(</w:t>
        </w:r>
        <w:r>
          <w:rPr>
            <w:rStyle w:val="Hyperlink"/>
            <w:color w:val="0000FF"/>
            <w:u w:val="single"/>
            <w:rtl w:val="true"/>
          </w:rPr>
          <w:t>מחוזי</w:t>
        </w:r>
        <w:r>
          <w:rPr>
            <w:rStyle w:val="Hyperlink"/>
            <w:color w:val="0000FF"/>
            <w:u w:val="single"/>
            <w:rtl w:val="true"/>
          </w:rPr>
          <w:t xml:space="preserve"> </w:t>
        </w:r>
        <w:r>
          <w:rPr>
            <w:rStyle w:val="Hyperlink"/>
            <w:color w:val="0000FF"/>
            <w:u w:val="single"/>
            <w:rtl w:val="true"/>
          </w:rPr>
          <w:t>ת</w:t>
        </w:r>
        <w:r>
          <w:rPr>
            <w:rStyle w:val="Hyperlink"/>
            <w:color w:val="0000FF"/>
            <w:u w:val="single"/>
            <w:rtl w:val="true"/>
          </w:rPr>
          <w:t>"</w:t>
        </w:r>
        <w:r>
          <w:rPr>
            <w:rStyle w:val="Hyperlink"/>
            <w:color w:val="0000FF"/>
            <w:u w:val="single"/>
            <w:rtl w:val="true"/>
          </w:rPr>
          <w:t>א</w:t>
        </w:r>
        <w:r>
          <w:rPr>
            <w:rStyle w:val="Hyperlink"/>
            <w:color w:val="0000FF"/>
            <w:u w:val="single"/>
            <w:rtl w:val="true"/>
          </w:rPr>
          <w:t xml:space="preserve">) </w:t>
        </w:r>
        <w:r>
          <w:rPr>
            <w:rStyle w:val="Hyperlink"/>
            <w:color w:val="0000FF"/>
            <w:u w:val="single"/>
          </w:rPr>
          <w:t>37941-01-12</w:t>
        </w:r>
      </w:hyperlink>
      <w:r>
        <w:rPr>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כאברי</w:t>
      </w:r>
      <w:r>
        <w:rPr>
          <w:rFonts w:ascii="Century" w:hAnsi="Century" w:eastAsia="Century" w:cs="Century"/>
          <w:b/>
          <w:b/>
          <w:spacing w:val="0"/>
          <w:sz w:val="22"/>
          <w:sz w:val="22"/>
          <w:szCs w:val="24"/>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cs="Century" w:ascii="Century" w:hAnsi="Century"/>
          <w:sz w:val="22"/>
          <w:rtl w:val="true"/>
        </w:rPr>
        <w:t>(</w:t>
      </w:r>
      <w:r>
        <w:rPr>
          <w:rFonts w:cs="Century" w:ascii="Century" w:hAnsi="Century"/>
          <w:sz w:val="22"/>
        </w:rPr>
        <w:t>30.5.2012</w:t>
      </w:r>
      <w:r>
        <w:rPr>
          <w:rFonts w:cs="Century" w:ascii="Century" w:hAnsi="Century"/>
          <w:sz w:val="22"/>
          <w:rtl w:val="true"/>
        </w:rPr>
        <w:t>)</w:t>
      </w:r>
      <w:r>
        <w:rPr>
          <w:rtl w:val="true"/>
        </w:rPr>
        <w:t xml:space="preserve"> </w:t>
      </w:r>
      <w:r>
        <w:rPr>
          <w:rtl w:val="true"/>
        </w:rPr>
        <w:t xml:space="preserve">קבע בית המשפט המחוזי כי יש לשנות את טווח הענישה הראוי מטווח של שלוש עד ארבע שנות מאסר בפועל </w:t>
      </w:r>
      <w:r>
        <w:rPr>
          <w:rtl w:val="true"/>
        </w:rPr>
        <w:t>(</w:t>
      </w:r>
      <w:r>
        <w:rPr>
          <w:rtl w:val="true"/>
        </w:rPr>
        <w:t>טווח בו השתמש אותו המותב ב</w:t>
      </w:r>
      <w:hyperlink r:id="rId83">
        <w:r>
          <w:rPr>
            <w:rStyle w:val="Hyperlink"/>
            <w:color w:val="0000FF"/>
            <w:u w:val="single"/>
            <w:rtl w:val="true"/>
          </w:rPr>
          <w:t>ת</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tl w:val="true"/>
          </w:rPr>
          <w:t>(</w:t>
        </w:r>
        <w:r>
          <w:rPr>
            <w:rStyle w:val="Hyperlink"/>
            <w:color w:val="0000FF"/>
            <w:u w:val="single"/>
            <w:rtl w:val="true"/>
          </w:rPr>
          <w:t>מחוזי</w:t>
        </w:r>
        <w:r>
          <w:rPr>
            <w:rStyle w:val="Hyperlink"/>
            <w:color w:val="0000FF"/>
            <w:u w:val="single"/>
            <w:rtl w:val="true"/>
          </w:rPr>
          <w:t xml:space="preserve"> </w:t>
        </w:r>
        <w:r>
          <w:rPr>
            <w:rStyle w:val="Hyperlink"/>
            <w:color w:val="0000FF"/>
            <w:u w:val="single"/>
            <w:rtl w:val="true"/>
          </w:rPr>
          <w:t>ת</w:t>
        </w:r>
        <w:r>
          <w:rPr>
            <w:rStyle w:val="Hyperlink"/>
            <w:color w:val="0000FF"/>
            <w:u w:val="single"/>
            <w:rtl w:val="true"/>
          </w:rPr>
          <w:t>"</w:t>
        </w:r>
        <w:r>
          <w:rPr>
            <w:rStyle w:val="Hyperlink"/>
            <w:color w:val="0000FF"/>
            <w:u w:val="single"/>
            <w:rtl w:val="true"/>
          </w:rPr>
          <w:t>א</w:t>
        </w:r>
        <w:r>
          <w:rPr>
            <w:rStyle w:val="Hyperlink"/>
            <w:color w:val="0000FF"/>
            <w:u w:val="single"/>
            <w:rtl w:val="true"/>
          </w:rPr>
          <w:t xml:space="preserve">) </w:t>
        </w:r>
        <w:r>
          <w:rPr>
            <w:rStyle w:val="Hyperlink"/>
            <w:color w:val="0000FF"/>
            <w:u w:val="single"/>
          </w:rPr>
          <w:t>25929-10-11</w:t>
        </w:r>
      </w:hyperlink>
      <w:r>
        <w:rPr>
          <w:rtl w:val="true"/>
        </w:rPr>
        <w:t xml:space="preserve"> </w:t>
      </w:r>
      <w:r>
        <w:rPr>
          <w:rFonts w:ascii="Century" w:hAnsi="Century" w:cs="Miriam"/>
          <w:b/>
          <w:b/>
          <w:spacing w:val="0"/>
          <w:sz w:val="22"/>
          <w:sz w:val="22"/>
          <w:szCs w:val="24"/>
          <w:rtl w:val="true"/>
        </w:rPr>
        <w:t>צגוקי</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ascii="Century" w:hAnsi="Century" w:eastAsia="Century" w:cs="Century"/>
          <w:b/>
          <w:b/>
          <w:spacing w:val="0"/>
          <w:sz w:val="22"/>
          <w:sz w:val="22"/>
          <w:szCs w:val="24"/>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cs="Century" w:ascii="Century" w:hAnsi="Century"/>
          <w:sz w:val="22"/>
          <w:rtl w:val="true"/>
        </w:rPr>
        <w:t>(</w:t>
      </w:r>
      <w:r>
        <w:rPr>
          <w:rFonts w:cs="Century" w:ascii="Century" w:hAnsi="Century"/>
          <w:sz w:val="22"/>
        </w:rPr>
        <w:t>26.3.2012</w:t>
      </w:r>
      <w:r>
        <w:rPr>
          <w:rFonts w:cs="Century" w:ascii="Century" w:hAnsi="Century"/>
          <w:sz w:val="22"/>
          <w:rtl w:val="true"/>
        </w:rPr>
        <w:t>))</w:t>
      </w:r>
      <w:r>
        <w:rPr>
          <w:rtl w:val="true"/>
        </w:rPr>
        <w:t xml:space="preserve">, </w:t>
      </w:r>
      <w:r>
        <w:rPr>
          <w:rtl w:val="true"/>
        </w:rPr>
        <w:t>לטווח של שלוש עד שש שנות מאסר בפועל</w:t>
      </w:r>
      <w:r>
        <w:rPr>
          <w:rtl w:val="true"/>
        </w:rPr>
        <w:t xml:space="preserve">, </w:t>
      </w:r>
      <w:r>
        <w:rPr>
          <w:rtl w:val="true"/>
        </w:rPr>
        <w:t>לאור ריבוי מקרי השוד ו</w:t>
      </w:r>
      <w:r>
        <w:rPr>
          <w:rtl w:val="true"/>
        </w:rPr>
        <w:t>"</w:t>
      </w:r>
      <w:r>
        <w:rPr>
          <w:rtl w:val="true"/>
        </w:rPr>
        <w:t>הצורך להרתיע את ציבור האזרחים הזרים השוהים בישראל</w:t>
      </w:r>
      <w:r>
        <w:rPr>
          <w:rtl w:val="true"/>
        </w:rPr>
        <w:t xml:space="preserve">". </w:t>
      </w:r>
      <w:r>
        <w:rPr>
          <w:rtl w:val="true"/>
        </w:rPr>
        <w:t>העונש שנגזר על הנאשם שם היה ארבע וחצי שנות מאסר בפועל</w:t>
      </w:r>
      <w:r>
        <w:rPr>
          <w:rtl w:val="true"/>
        </w:rPr>
        <w:t xml:space="preserve">. </w:t>
      </w:r>
      <w:r>
        <w:rPr>
          <w:rtl w:val="true"/>
        </w:rPr>
        <w:t xml:space="preserve">ההכרעה בדבר טווח הענישה ובדבר עונשו של הנאשם נהפכה בערעור שהוגש לבית משפט זה והתקבל </w:t>
      </w:r>
      <w:r>
        <w:rPr>
          <w:rtl w:val="true"/>
        </w:rPr>
        <w:t>(</w:t>
      </w:r>
      <w:r>
        <w:rPr>
          <w:rtl w:val="true"/>
        </w:rPr>
        <w:t xml:space="preserve">עניין </w:t>
      </w:r>
      <w:r>
        <w:rPr>
          <w:rFonts w:ascii="Century" w:hAnsi="Century" w:cs="Miriam"/>
          <w:b/>
          <w:b/>
          <w:spacing w:val="0"/>
          <w:sz w:val="22"/>
          <w:sz w:val="22"/>
          <w:szCs w:val="24"/>
          <w:rtl w:val="true"/>
        </w:rPr>
        <w:t>כאברי</w:t>
      </w:r>
      <w:r>
        <w:rPr>
          <w:rFonts w:cs="Century" w:ascii="Century" w:hAnsi="Century"/>
          <w:sz w:val="22"/>
          <w:rtl w:val="true"/>
        </w:rPr>
        <w:t xml:space="preserve">). </w:t>
      </w:r>
      <w:r>
        <w:rPr>
          <w:rFonts w:ascii="Century" w:hAnsi="Century" w:cs="Century"/>
          <w:sz w:val="22"/>
          <w:sz w:val="22"/>
          <w:rtl w:val="true"/>
        </w:rPr>
        <w:t>שם</w:t>
      </w:r>
      <w:r>
        <w:rPr>
          <w:rFonts w:cs="Century" w:ascii="Century" w:hAnsi="Century"/>
          <w:sz w:val="22"/>
          <w:rtl w:val="true"/>
        </w:rPr>
        <w:t xml:space="preserve">, </w:t>
      </w:r>
      <w:r>
        <w:rPr>
          <w:rFonts w:ascii="Century" w:hAnsi="Century" w:cs="Century"/>
          <w:sz w:val="22"/>
          <w:sz w:val="22"/>
          <w:rtl w:val="true"/>
        </w:rPr>
        <w:t>קבע חברי</w:t>
      </w:r>
      <w:r>
        <w:rPr>
          <w:rFonts w:cs="Century" w:ascii="Century" w:hAnsi="Century"/>
          <w:sz w:val="22"/>
          <w:rtl w:val="true"/>
        </w:rPr>
        <w:t xml:space="preserve">, </w:t>
      </w:r>
      <w:r>
        <w:rPr>
          <w:rFonts w:ascii="Century" w:hAnsi="Century" w:cs="Century"/>
          <w:sz w:val="22"/>
          <w:sz w:val="22"/>
          <w:rtl w:val="true"/>
        </w:rPr>
        <w:t xml:space="preserve">השופט </w:t>
      </w:r>
      <w:r>
        <w:rPr>
          <w:rFonts w:ascii="Century" w:hAnsi="Century" w:cs="Miriam"/>
          <w:b/>
          <w:b/>
          <w:spacing w:val="0"/>
          <w:sz w:val="22"/>
          <w:sz w:val="22"/>
          <w:szCs w:val="24"/>
          <w:rtl w:val="true"/>
        </w:rPr>
        <w:t>י</w:t>
      </w:r>
      <w:r>
        <w:rPr>
          <w:rFonts w:cs="Miriam" w:ascii="Century" w:hAnsi="Century"/>
          <w:b/>
          <w:spacing w:val="0"/>
          <w:sz w:val="22"/>
          <w:szCs w:val="24"/>
          <w:rtl w:val="true"/>
        </w:rPr>
        <w:t xml:space="preserve">' </w:t>
      </w:r>
      <w:r>
        <w:rPr>
          <w:rFonts w:ascii="Century" w:hAnsi="Century" w:cs="Miriam"/>
          <w:b/>
          <w:b/>
          <w:spacing w:val="0"/>
          <w:sz w:val="22"/>
          <w:sz w:val="22"/>
          <w:szCs w:val="24"/>
          <w:rtl w:val="true"/>
        </w:rPr>
        <w:t>דנציגר</w:t>
      </w:r>
      <w:r>
        <w:rPr>
          <w:rFonts w:ascii="Century" w:hAnsi="Century" w:cs="Century"/>
          <w:sz w:val="22"/>
          <w:sz w:val="22"/>
          <w:rtl w:val="true"/>
        </w:rPr>
        <w:t xml:space="preserve"> כי טווח הענישה הנוהג לעבירות שוד בנסיבות אלו הינו בין </w:t>
      </w:r>
      <w:r>
        <w:rPr>
          <w:rFonts w:cs="Century" w:ascii="Century" w:hAnsi="Century"/>
          <w:sz w:val="22"/>
        </w:rPr>
        <w:t>32</w:t>
      </w:r>
      <w:r>
        <w:rPr>
          <w:rFonts w:cs="Century" w:ascii="Century" w:hAnsi="Century"/>
          <w:sz w:val="22"/>
          <w:rtl w:val="true"/>
        </w:rPr>
        <w:t xml:space="preserve"> </w:t>
      </w:r>
      <w:r>
        <w:rPr>
          <w:rFonts w:ascii="Century" w:hAnsi="Century" w:cs="Century"/>
          <w:sz w:val="22"/>
          <w:sz w:val="22"/>
          <w:rtl w:val="true"/>
        </w:rPr>
        <w:t>חודשי מאסר בפועל ל</w:t>
      </w:r>
      <w:r>
        <w:rPr>
          <w:rFonts w:cs="Century" w:ascii="Century" w:hAnsi="Century"/>
          <w:sz w:val="22"/>
          <w:rtl w:val="true"/>
        </w:rPr>
        <w:t>-</w:t>
      </w:r>
      <w:r>
        <w:rPr>
          <w:rFonts w:cs="Century" w:ascii="Century" w:hAnsi="Century"/>
          <w:sz w:val="22"/>
        </w:rPr>
        <w:t>42</w:t>
      </w:r>
      <w:r>
        <w:rPr>
          <w:rFonts w:cs="Century" w:ascii="Century" w:hAnsi="Century"/>
          <w:sz w:val="22"/>
          <w:rtl w:val="true"/>
        </w:rPr>
        <w:t xml:space="preserve"> </w:t>
      </w:r>
      <w:r>
        <w:rPr>
          <w:rFonts w:ascii="Century" w:hAnsi="Century" w:cs="Century"/>
          <w:sz w:val="22"/>
          <w:sz w:val="22"/>
          <w:rtl w:val="true"/>
        </w:rPr>
        <w:t>חודשי מאסר בפועל</w:t>
      </w:r>
      <w:r>
        <w:rPr>
          <w:rFonts w:cs="Century" w:ascii="Century" w:hAnsi="Century"/>
          <w:sz w:val="22"/>
          <w:rtl w:val="true"/>
        </w:rPr>
        <w:t xml:space="preserve">, </w:t>
      </w:r>
      <w:r>
        <w:rPr>
          <w:rFonts w:ascii="Century" w:hAnsi="Century" w:cs="Century"/>
          <w:sz w:val="22"/>
          <w:sz w:val="22"/>
          <w:rtl w:val="true"/>
        </w:rPr>
        <w:t>תוך שהוא מבהיר כי בקביעת טווח זה ניתן להתייחס לריבוי מקרי השוד באופן כללי</w:t>
      </w:r>
      <w:r>
        <w:rPr>
          <w:rFonts w:cs="Century" w:ascii="Century" w:hAnsi="Century"/>
          <w:sz w:val="22"/>
          <w:rtl w:val="true"/>
        </w:rPr>
        <w:t xml:space="preserve">, </w:t>
      </w:r>
      <w:r>
        <w:rPr>
          <w:rFonts w:ascii="Century" w:hAnsi="Century" w:cs="Century"/>
          <w:sz w:val="22"/>
          <w:sz w:val="22"/>
          <w:rtl w:val="true"/>
        </w:rPr>
        <w:t>כפי שעשה בית המשפט המחוזי</w:t>
      </w:r>
      <w:r>
        <w:rPr>
          <w:rFonts w:cs="Century" w:ascii="Century" w:hAnsi="Century"/>
          <w:sz w:val="22"/>
          <w:rtl w:val="true"/>
        </w:rPr>
        <w:t xml:space="preserve">, </w:t>
      </w:r>
      <w:r>
        <w:rPr>
          <w:rFonts w:ascii="Century" w:hAnsi="Century" w:cs="Century"/>
          <w:sz w:val="22"/>
          <w:sz w:val="22"/>
          <w:rtl w:val="true"/>
        </w:rPr>
        <w:t xml:space="preserve">אך לא ניתן </w:t>
      </w:r>
      <w:r>
        <w:rPr>
          <w:rtl w:val="true"/>
        </w:rPr>
        <w:t xml:space="preserve">להתייחס למוצאו של נאשם כשיקול מחמיר </w:t>
      </w:r>
      <w:r>
        <w:rPr>
          <w:rtl w:val="true"/>
        </w:rPr>
        <w:t>(</w:t>
      </w:r>
      <w:r>
        <w:rPr>
          <w:rFonts w:ascii="Century" w:hAnsi="Century" w:cs="Miriam"/>
          <w:b/>
          <w:b/>
          <w:spacing w:val="0"/>
          <w:sz w:val="22"/>
          <w:sz w:val="22"/>
          <w:szCs w:val="24"/>
          <w:rtl w:val="true"/>
        </w:rPr>
        <w:t>שם</w:t>
      </w:r>
      <w:r>
        <w:rPr>
          <w:rFonts w:cs="Century" w:ascii="Century" w:hAnsi="Century"/>
          <w:sz w:val="22"/>
          <w:rtl w:val="true"/>
        </w:rPr>
        <w:t xml:space="preserve">, </w:t>
      </w:r>
      <w:r>
        <w:rPr>
          <w:rFonts w:ascii="Century" w:hAnsi="Century" w:cs="Century"/>
          <w:sz w:val="22"/>
          <w:sz w:val="22"/>
          <w:rtl w:val="true"/>
        </w:rPr>
        <w:t>פסקאו</w:t>
      </w:r>
      <w:r>
        <w:rPr>
          <w:rFonts w:ascii="Century" w:hAnsi="Century" w:cs="Century"/>
          <w:sz w:val="22"/>
          <w:sz w:val="22"/>
          <w:rtl w:val="true"/>
        </w:rPr>
        <w:t>ת</w:t>
      </w:r>
      <w:r>
        <w:rPr>
          <w:rFonts w:ascii="Century" w:hAnsi="Century" w:cs="Century"/>
          <w:sz w:val="22"/>
          <w:sz w:val="22"/>
          <w:rtl w:val="true"/>
        </w:rPr>
        <w:t xml:space="preserve"> </w:t>
      </w:r>
      <w:r>
        <w:rPr>
          <w:rFonts w:cs="Century" w:ascii="Century" w:hAnsi="Century"/>
          <w:sz w:val="22"/>
        </w:rPr>
        <w:t>20-13</w:t>
      </w:r>
      <w:r>
        <w:rPr>
          <w:rFonts w:cs="Century" w:ascii="Century" w:hAnsi="Century"/>
          <w:sz w:val="22"/>
          <w:rtl w:val="true"/>
        </w:rPr>
        <w:t xml:space="preserve">). </w:t>
      </w:r>
      <w:r>
        <w:rPr>
          <w:rFonts w:ascii="Century" w:hAnsi="Century" w:cs="Century"/>
          <w:sz w:val="22"/>
          <w:sz w:val="22"/>
          <w:rtl w:val="true"/>
        </w:rPr>
        <w:t>עונשו של המערער שם הופחת בשמונה חודשים</w:t>
      </w:r>
      <w:r>
        <w:rPr>
          <w:rFonts w:cs="Century" w:ascii="Century" w:hAnsi="Century"/>
          <w:sz w:val="22"/>
          <w:rtl w:val="true"/>
        </w:rPr>
        <w:t xml:space="preserve">, </w:t>
      </w:r>
      <w:r>
        <w:rPr>
          <w:rFonts w:ascii="Century" w:hAnsi="Century" w:cs="Century"/>
          <w:sz w:val="22"/>
          <w:sz w:val="22"/>
          <w:rtl w:val="true"/>
        </w:rPr>
        <w:t xml:space="preserve">והועמד על </w:t>
      </w:r>
      <w:r>
        <w:rPr>
          <w:rFonts w:cs="Century" w:ascii="Century" w:hAnsi="Century"/>
          <w:sz w:val="22"/>
        </w:rPr>
        <w:t>46</w:t>
      </w:r>
      <w:r>
        <w:rPr>
          <w:rFonts w:cs="Century" w:ascii="Century" w:hAnsi="Century"/>
          <w:sz w:val="22"/>
          <w:rtl w:val="true"/>
        </w:rPr>
        <w:t xml:space="preserve"> </w:t>
      </w:r>
      <w:r>
        <w:rPr>
          <w:rFonts w:ascii="Century" w:hAnsi="Century" w:cs="Century"/>
          <w:sz w:val="22"/>
          <w:sz w:val="22"/>
          <w:rtl w:val="true"/>
        </w:rPr>
        <w:t>חודשים</w:t>
      </w:r>
      <w:r>
        <w:rPr>
          <w:rFonts w:cs="Century" w:ascii="Century" w:hAnsi="Century"/>
          <w:sz w:val="22"/>
          <w:rtl w:val="true"/>
        </w:rPr>
        <w:t xml:space="preserve">. </w:t>
      </w:r>
      <w:r>
        <w:rPr>
          <w:rFonts w:ascii="Century" w:hAnsi="Century" w:cs="Century"/>
          <w:sz w:val="22"/>
          <w:sz w:val="22"/>
          <w:rtl w:val="true"/>
        </w:rPr>
        <w:t>החריגה מטווח הענישה הוסברה בכך שהמערער עבד למחייתו</w:t>
      </w:r>
      <w:r>
        <w:rPr>
          <w:rFonts w:cs="Century" w:ascii="Century" w:hAnsi="Century"/>
          <w:sz w:val="22"/>
          <w:rtl w:val="true"/>
        </w:rPr>
        <w:t xml:space="preserve">, </w:t>
      </w:r>
      <w:r>
        <w:rPr>
          <w:rFonts w:ascii="Century" w:hAnsi="Century" w:cs="Century"/>
          <w:sz w:val="22"/>
          <w:sz w:val="22"/>
          <w:rtl w:val="true"/>
        </w:rPr>
        <w:t>ולא נדרש לשוד מבחינה כלכלית</w:t>
      </w:r>
      <w:r>
        <w:rPr>
          <w:rFonts w:cs="Century" w:ascii="Century" w:hAnsi="Century"/>
          <w:sz w:val="22"/>
          <w:rtl w:val="true"/>
        </w:rPr>
        <w:t xml:space="preserve">. </w:t>
      </w:r>
    </w:p>
    <w:p>
      <w:pPr>
        <w:pStyle w:val="Ruller41"/>
        <w:ind w:end="0"/>
        <w:jc w:val="both"/>
        <w:rPr/>
      </w:pPr>
      <w:r>
        <w:rPr>
          <w:rtl w:val="true"/>
        </w:rPr>
      </w:r>
    </w:p>
    <w:p>
      <w:pPr>
        <w:pStyle w:val="Ruller42"/>
        <w:numPr>
          <w:ilvl w:val="0"/>
          <w:numId w:val="1"/>
        </w:numPr>
        <w:ind w:end="0"/>
        <w:jc w:val="both"/>
        <w:rPr>
          <w:rFonts w:ascii="Century" w:hAnsi="Century" w:cs="Century"/>
          <w:sz w:val="22"/>
        </w:rPr>
      </w:pPr>
      <w:r>
        <w:rPr>
          <w:rtl w:val="true"/>
        </w:rPr>
        <w:t>לסיכום</w:t>
      </w:r>
      <w:r>
        <w:rPr>
          <w:rtl w:val="true"/>
        </w:rPr>
        <w:t xml:space="preserve">, </w:t>
      </w:r>
      <w:r>
        <w:rPr>
          <w:rtl w:val="true"/>
        </w:rPr>
        <w:t>עולה כי גזרי הדין עליהם נשען בית המשפט המחוזי כדי לבסס את מדיניות הענישה הנוהגת בעבירות שוד בנסיבות דומות</w:t>
      </w:r>
      <w:r>
        <w:rPr>
          <w:rtl w:val="true"/>
        </w:rPr>
        <w:t xml:space="preserve">, </w:t>
      </w:r>
      <w:r>
        <w:rPr>
          <w:rtl w:val="true"/>
        </w:rPr>
        <w:t>הם ברובם מקרים אשר ביניהם לבין העבירות שעבר המערער בענייננו הבדלים כאלה ואחרים</w:t>
      </w:r>
      <w:r>
        <w:rPr>
          <w:rtl w:val="true"/>
        </w:rPr>
        <w:t xml:space="preserve">, </w:t>
      </w:r>
      <w:r>
        <w:rPr>
          <w:rtl w:val="true"/>
        </w:rPr>
        <w:t>אשר מביאים למסקנה שלא ניתן ללמוד בהכרח מטווח הענישה שם לענייננו</w:t>
      </w:r>
      <w:r>
        <w:rPr>
          <w:rtl w:val="true"/>
        </w:rPr>
        <w:t xml:space="preserve">. </w:t>
      </w:r>
      <w:r>
        <w:rPr>
          <w:rtl w:val="true"/>
        </w:rPr>
        <w:t>לכל היותר</w:t>
      </w:r>
      <w:r>
        <w:rPr>
          <w:rtl w:val="true"/>
        </w:rPr>
        <w:t xml:space="preserve">, </w:t>
      </w:r>
      <w:r>
        <w:rPr>
          <w:rtl w:val="true"/>
        </w:rPr>
        <w:t>גזרי דין אלה מציבים בפנינו את מדיניות הענישה הנוהגת בעבירות שוד באופן כללי</w:t>
      </w:r>
      <w:r>
        <w:rPr>
          <w:rtl w:val="true"/>
        </w:rPr>
        <w:t xml:space="preserve">. </w:t>
      </w:r>
      <w:r>
        <w:rPr>
          <w:rtl w:val="true"/>
        </w:rPr>
        <w:t>אך מעבר לכך</w:t>
      </w:r>
      <w:r>
        <w:rPr>
          <w:rtl w:val="true"/>
        </w:rPr>
        <w:t xml:space="preserve">, </w:t>
      </w:r>
      <w:r>
        <w:rPr>
          <w:rtl w:val="true"/>
        </w:rPr>
        <w:t xml:space="preserve">לאור הערעורים שהתקבלו על חלק מגזרי הדין עולה כי מדיניות הענישה הנוהגת בעבירות שוד עומדת בטווח נמוך בהרבה מזה שנקבע בעניינים אלה – בין </w:t>
      </w:r>
      <w:r>
        <w:rPr/>
        <w:t>32</w:t>
      </w:r>
      <w:r>
        <w:rPr>
          <w:rtl w:val="true"/>
        </w:rPr>
        <w:t xml:space="preserve"> </w:t>
      </w:r>
      <w:r>
        <w:rPr>
          <w:rtl w:val="true"/>
        </w:rPr>
        <w:t>חודשי מאסר בפועל ל</w:t>
      </w:r>
      <w:r>
        <w:rPr>
          <w:rtl w:val="true"/>
        </w:rPr>
        <w:t>-</w:t>
      </w:r>
      <w:r>
        <w:rPr/>
        <w:t>42</w:t>
      </w:r>
      <w:r>
        <w:rPr>
          <w:rtl w:val="true"/>
        </w:rPr>
        <w:t xml:space="preserve"> </w:t>
      </w:r>
      <w:r>
        <w:rPr>
          <w:rtl w:val="true"/>
        </w:rPr>
        <w:t xml:space="preserve">חודשי מאסר בפועל </w:t>
      </w:r>
      <w:r>
        <w:rPr>
          <w:rtl w:val="true"/>
        </w:rPr>
        <w:t>(</w:t>
      </w:r>
      <w:r>
        <w:rPr>
          <w:rtl w:val="true"/>
        </w:rPr>
        <w:t>ראו</w:t>
      </w:r>
      <w:r>
        <w:rPr>
          <w:rtl w:val="true"/>
        </w:rPr>
        <w:t xml:space="preserve">: </w:t>
      </w:r>
      <w:r>
        <w:rPr>
          <w:rtl w:val="true"/>
        </w:rPr>
        <w:t xml:space="preserve">עניין </w:t>
      </w:r>
      <w:r>
        <w:rPr>
          <w:rFonts w:ascii="Century" w:hAnsi="Century" w:cs="Miriam"/>
          <w:b/>
          <w:b/>
          <w:spacing w:val="0"/>
          <w:sz w:val="22"/>
          <w:sz w:val="22"/>
          <w:szCs w:val="24"/>
          <w:rtl w:val="true"/>
        </w:rPr>
        <w:t>כאברי</w:t>
      </w:r>
      <w:r>
        <w:rPr>
          <w:rFonts w:cs="Century" w:ascii="Century" w:hAnsi="Century"/>
          <w:sz w:val="22"/>
          <w:rtl w:val="true"/>
        </w:rPr>
        <w:t xml:space="preserve">, </w:t>
      </w:r>
      <w:r>
        <w:rPr>
          <w:rFonts w:ascii="Century" w:hAnsi="Century" w:cs="Century"/>
          <w:sz w:val="22"/>
          <w:sz w:val="22"/>
          <w:rtl w:val="true"/>
        </w:rPr>
        <w:t xml:space="preserve">פסקה </w:t>
      </w:r>
      <w:r>
        <w:rPr>
          <w:rFonts w:cs="Century" w:ascii="Century" w:hAnsi="Century"/>
          <w:sz w:val="22"/>
        </w:rPr>
        <w:t>20</w:t>
      </w:r>
      <w:r>
        <w:rPr>
          <w:rFonts w:cs="Century" w:ascii="Century" w:hAnsi="Century"/>
          <w:sz w:val="22"/>
          <w:rtl w:val="true"/>
        </w:rPr>
        <w:t xml:space="preserve"> </w:t>
      </w:r>
      <w:r>
        <w:rPr>
          <w:rFonts w:ascii="Century" w:hAnsi="Century" w:cs="Century"/>
          <w:sz w:val="22"/>
          <w:sz w:val="22"/>
          <w:rtl w:val="true"/>
        </w:rPr>
        <w:t xml:space="preserve">לפסק דינו של השופט </w:t>
      </w:r>
      <w:r>
        <w:rPr>
          <w:rFonts w:ascii="Century" w:hAnsi="Century" w:cs="Miriam"/>
          <w:b/>
          <w:b/>
          <w:spacing w:val="0"/>
          <w:sz w:val="22"/>
          <w:sz w:val="22"/>
          <w:szCs w:val="24"/>
          <w:rtl w:val="true"/>
        </w:rPr>
        <w:t>י</w:t>
      </w:r>
      <w:r>
        <w:rPr>
          <w:rFonts w:cs="Miriam" w:ascii="Century" w:hAnsi="Century"/>
          <w:b/>
          <w:spacing w:val="0"/>
          <w:sz w:val="22"/>
          <w:szCs w:val="24"/>
          <w:rtl w:val="true"/>
        </w:rPr>
        <w:t xml:space="preserve">' </w:t>
      </w:r>
      <w:r>
        <w:rPr>
          <w:rFonts w:ascii="Century" w:hAnsi="Century" w:cs="Miriam"/>
          <w:b/>
          <w:b/>
          <w:spacing w:val="0"/>
          <w:sz w:val="22"/>
          <w:sz w:val="22"/>
          <w:szCs w:val="24"/>
          <w:rtl w:val="true"/>
        </w:rPr>
        <w:t>דנציגר</w:t>
      </w:r>
      <w:r>
        <w:rPr>
          <w:rFonts w:cs="Century" w:ascii="Century" w:hAnsi="Century"/>
          <w:sz w:val="22"/>
          <w:rtl w:val="true"/>
        </w:rPr>
        <w:t xml:space="preserve">). </w:t>
      </w:r>
      <w:r>
        <w:rPr>
          <w:rFonts w:ascii="Century" w:hAnsi="Century" w:cs="Century"/>
          <w:sz w:val="22"/>
          <w:sz w:val="22"/>
          <w:rtl w:val="true"/>
        </w:rPr>
        <w:t xml:space="preserve">יפים לעניין מדיניות הענישה הנוהגת דבריו של השופט </w:t>
      </w:r>
      <w:r>
        <w:rPr>
          <w:rFonts w:ascii="Century" w:hAnsi="Century" w:cs="Miriam"/>
          <w:b/>
          <w:b/>
          <w:spacing w:val="0"/>
          <w:sz w:val="22"/>
          <w:sz w:val="22"/>
          <w:szCs w:val="24"/>
          <w:rtl w:val="true"/>
        </w:rPr>
        <w:t>י</w:t>
      </w:r>
      <w:r>
        <w:rPr>
          <w:rFonts w:cs="Miriam" w:ascii="Century" w:hAnsi="Century"/>
          <w:b/>
          <w:spacing w:val="0"/>
          <w:sz w:val="22"/>
          <w:szCs w:val="24"/>
          <w:rtl w:val="true"/>
        </w:rPr>
        <w:t xml:space="preserve">' </w:t>
      </w:r>
      <w:r>
        <w:rPr>
          <w:rFonts w:ascii="Century" w:hAnsi="Century" w:cs="Miriam"/>
          <w:b/>
          <w:b/>
          <w:spacing w:val="0"/>
          <w:sz w:val="22"/>
          <w:sz w:val="22"/>
          <w:szCs w:val="24"/>
          <w:rtl w:val="true"/>
        </w:rPr>
        <w:t>דנציגר</w:t>
      </w:r>
      <w:r>
        <w:rPr>
          <w:rFonts w:ascii="Century" w:hAnsi="Century" w:eastAsia="Century" w:cs="Century"/>
          <w:b/>
          <w:b/>
          <w:spacing w:val="0"/>
          <w:sz w:val="22"/>
          <w:sz w:val="22"/>
          <w:szCs w:val="24"/>
          <w:rtl w:val="true"/>
        </w:rPr>
        <w:t xml:space="preserve"> </w:t>
      </w:r>
      <w:r>
        <w:rPr>
          <w:rFonts w:ascii="Century" w:hAnsi="Century" w:cs="Century"/>
          <w:sz w:val="22"/>
          <w:sz w:val="22"/>
          <w:rtl w:val="true"/>
        </w:rPr>
        <w:t xml:space="preserve">בהמשך פסק דינו בעניין </w:t>
      </w:r>
      <w:r>
        <w:rPr>
          <w:rFonts w:ascii="Century" w:hAnsi="Century" w:cs="Miriam"/>
          <w:b/>
          <w:b/>
          <w:spacing w:val="0"/>
          <w:sz w:val="22"/>
          <w:sz w:val="22"/>
          <w:szCs w:val="24"/>
          <w:rtl w:val="true"/>
        </w:rPr>
        <w:t>כאברי</w:t>
      </w:r>
      <w:r>
        <w:rPr>
          <w:rFonts w:cs="Century" w:ascii="Century" w:hAnsi="Century"/>
          <w:sz w:val="22"/>
          <w:rtl w:val="true"/>
        </w:rPr>
        <w:t>:</w:t>
      </w:r>
    </w:p>
    <w:p>
      <w:pPr>
        <w:pStyle w:val="Ruller41"/>
        <w:spacing w:lineRule="auto" w:line="240"/>
        <w:ind w:end="0"/>
        <w:jc w:val="both"/>
        <w:rPr>
          <w:rFonts w:ascii="Century" w:hAnsi="Century" w:cs="Century"/>
          <w:sz w:val="22"/>
        </w:rPr>
      </w:pPr>
      <w:r>
        <w:rPr>
          <w:rFonts w:cs="Century" w:ascii="Century" w:hAnsi="Century"/>
          <w:sz w:val="22"/>
          <w:rtl w:val="true"/>
        </w:rPr>
      </w:r>
    </w:p>
    <w:p>
      <w:pPr>
        <w:pStyle w:val="Ruller51"/>
        <w:ind w:end="1282"/>
        <w:jc w:val="both"/>
        <w:rPr/>
      </w:pPr>
      <w:r>
        <w:rPr>
          <w:rtl w:val="true"/>
        </w:rPr>
        <w:t>"</w:t>
      </w:r>
      <w:r>
        <w:rPr>
          <w:rtl w:val="true"/>
        </w:rPr>
        <w:t>מבלי</w:t>
      </w:r>
      <w:r>
        <w:rPr>
          <w:rFonts w:eastAsia="Arial TUR;Arial" w:cs="Arial TUR;Arial"/>
          <w:rtl w:val="true"/>
        </w:rPr>
        <w:t xml:space="preserve"> </w:t>
      </w:r>
      <w:r>
        <w:rPr>
          <w:rtl w:val="true"/>
        </w:rPr>
        <w:t>להקל</w:t>
      </w:r>
      <w:r>
        <w:rPr>
          <w:rFonts w:eastAsia="Arial TUR;Arial" w:cs="Arial TUR;Arial"/>
          <w:rtl w:val="true"/>
        </w:rPr>
        <w:t xml:space="preserve"> </w:t>
      </w:r>
      <w:r>
        <w:rPr>
          <w:rtl w:val="true"/>
        </w:rPr>
        <w:t>ראש</w:t>
      </w:r>
      <w:r>
        <w:rPr>
          <w:rFonts w:eastAsia="Arial TUR;Arial" w:cs="Arial TUR;Arial"/>
          <w:rtl w:val="true"/>
        </w:rPr>
        <w:t xml:space="preserve"> </w:t>
      </w:r>
      <w:r>
        <w:rPr>
          <w:rtl w:val="true"/>
        </w:rPr>
        <w:t>בעבירת</w:t>
      </w:r>
      <w:r>
        <w:rPr>
          <w:rFonts w:eastAsia="Arial TUR;Arial" w:cs="Arial TUR;Arial"/>
          <w:rtl w:val="true"/>
        </w:rPr>
        <w:t xml:space="preserve"> </w:t>
      </w:r>
      <w:r>
        <w:rPr>
          <w:rtl w:val="true"/>
        </w:rPr>
        <w:t>שוד</w:t>
      </w:r>
      <w:r>
        <w:rPr>
          <w:rFonts w:eastAsia="Arial TUR;Arial" w:cs="Arial TUR;Arial"/>
          <w:rtl w:val="true"/>
        </w:rPr>
        <w:t xml:space="preserve"> </w:t>
      </w:r>
      <w:r>
        <w:rPr>
          <w:rtl w:val="true"/>
        </w:rPr>
        <w:t>בנסיבות</w:t>
      </w:r>
      <w:r>
        <w:rPr>
          <w:rFonts w:eastAsia="Arial TUR;Arial" w:cs="Arial TUR;Arial"/>
          <w:rtl w:val="true"/>
        </w:rPr>
        <w:t xml:space="preserve"> </w:t>
      </w:r>
      <w:r>
        <w:rPr>
          <w:rtl w:val="true"/>
        </w:rPr>
        <w:t>שבנדון</w:t>
      </w:r>
      <w:r>
        <w:rPr>
          <w:rtl w:val="true"/>
        </w:rPr>
        <w:t xml:space="preserve">, </w:t>
      </w:r>
      <w:r>
        <w:rPr>
          <w:rtl w:val="true"/>
        </w:rPr>
        <w:t>חומרתה</w:t>
      </w:r>
      <w:r>
        <w:rPr>
          <w:rFonts w:eastAsia="Arial TUR;Arial" w:cs="Arial TUR;Arial"/>
          <w:rtl w:val="true"/>
        </w:rPr>
        <w:t xml:space="preserve"> </w:t>
      </w:r>
      <w:r>
        <w:rPr>
          <w:rtl w:val="true"/>
        </w:rPr>
        <w:t>אינה</w:t>
      </w:r>
      <w:r>
        <w:rPr>
          <w:rFonts w:eastAsia="Arial TUR;Arial" w:cs="Arial TUR;Arial"/>
          <w:rtl w:val="true"/>
        </w:rPr>
        <w:t xml:space="preserve"> </w:t>
      </w:r>
      <w:r>
        <w:rPr>
          <w:rtl w:val="true"/>
        </w:rPr>
        <w:t>מצדיקה</w:t>
      </w:r>
      <w:r>
        <w:rPr>
          <w:rFonts w:eastAsia="Arial TUR;Arial" w:cs="Arial TUR;Arial"/>
          <w:rtl w:val="true"/>
        </w:rPr>
        <w:t xml:space="preserve"> </w:t>
      </w:r>
      <w:r>
        <w:rPr>
          <w:rtl w:val="true"/>
        </w:rPr>
        <w:t>ענישה</w:t>
      </w:r>
      <w:r>
        <w:rPr>
          <w:rFonts w:eastAsia="Arial TUR;Arial" w:cs="Arial TUR;Arial"/>
          <w:rtl w:val="true"/>
        </w:rPr>
        <w:t xml:space="preserve"> </w:t>
      </w:r>
      <w:r>
        <w:rPr>
          <w:rtl w:val="true"/>
        </w:rPr>
        <w:t>כה</w:t>
      </w:r>
      <w:r>
        <w:rPr>
          <w:rFonts w:eastAsia="Arial TUR;Arial" w:cs="Arial TUR;Arial"/>
          <w:rtl w:val="true"/>
        </w:rPr>
        <w:t xml:space="preserve"> </w:t>
      </w:r>
      <w:r>
        <w:rPr>
          <w:rtl w:val="true"/>
        </w:rPr>
        <w:t>כבדה</w:t>
      </w:r>
      <w:r>
        <w:rPr>
          <w:rFonts w:eastAsia="Arial TUR;Arial" w:cs="Arial TUR;Arial"/>
          <w:rtl w:val="true"/>
        </w:rPr>
        <w:t xml:space="preserve"> </w:t>
      </w:r>
      <w:r>
        <w:rPr>
          <w:rtl w:val="true"/>
        </w:rPr>
        <w:t>של</w:t>
      </w:r>
      <w:r>
        <w:rPr>
          <w:rFonts w:eastAsia="Arial TUR;Arial" w:cs="Arial TUR;Arial"/>
          <w:rtl w:val="true"/>
        </w:rPr>
        <w:t xml:space="preserve"> </w:t>
      </w:r>
      <w:r>
        <w:rPr>
          <w:rtl w:val="true"/>
        </w:rPr>
        <w:t>שש</w:t>
      </w:r>
      <w:r>
        <w:rPr>
          <w:rFonts w:eastAsia="Arial TUR;Arial" w:cs="Arial TUR;Arial"/>
          <w:rtl w:val="true"/>
        </w:rPr>
        <w:t xml:space="preserve"> </w:t>
      </w:r>
      <w:r>
        <w:rPr>
          <w:rtl w:val="true"/>
        </w:rPr>
        <w:t>שנות</w:t>
      </w:r>
      <w:r>
        <w:rPr>
          <w:rFonts w:eastAsia="Arial TUR;Arial" w:cs="Arial TUR;Arial"/>
          <w:rtl w:val="true"/>
        </w:rPr>
        <w:t xml:space="preserve"> </w:t>
      </w:r>
      <w:r>
        <w:rPr>
          <w:rtl w:val="true"/>
        </w:rPr>
        <w:t>מאסר</w:t>
      </w:r>
      <w:r>
        <w:rPr>
          <w:rFonts w:eastAsia="Arial TUR;Arial" w:cs="Arial TUR;Arial"/>
          <w:rtl w:val="true"/>
        </w:rPr>
        <w:t xml:space="preserve"> </w:t>
      </w:r>
      <w:r>
        <w:rPr>
          <w:rtl w:val="true"/>
        </w:rPr>
        <w:t>בפועל</w:t>
      </w:r>
      <w:r>
        <w:rPr>
          <w:rtl w:val="true"/>
        </w:rPr>
        <w:t xml:space="preserve">, </w:t>
      </w:r>
      <w:r>
        <w:rPr>
          <w:rtl w:val="true"/>
        </w:rPr>
        <w:t>ענישה</w:t>
      </w:r>
      <w:r>
        <w:rPr>
          <w:rFonts w:eastAsia="Arial TUR;Arial" w:cs="Arial TUR;Arial"/>
          <w:rtl w:val="true"/>
        </w:rPr>
        <w:t xml:space="preserve"> </w:t>
      </w:r>
      <w:r>
        <w:rPr>
          <w:rtl w:val="true"/>
        </w:rPr>
        <w:t>אשר</w:t>
      </w:r>
      <w:r>
        <w:rPr>
          <w:rFonts w:eastAsia="Arial TUR;Arial" w:cs="Arial TUR;Arial"/>
          <w:rtl w:val="true"/>
        </w:rPr>
        <w:t xml:space="preserve"> </w:t>
      </w:r>
      <w:r>
        <w:rPr>
          <w:rtl w:val="true"/>
        </w:rPr>
        <w:t>מושתת</w:t>
      </w:r>
      <w:r>
        <w:rPr>
          <w:rFonts w:eastAsia="Arial TUR;Arial" w:cs="Arial TUR;Arial"/>
          <w:rtl w:val="true"/>
        </w:rPr>
        <w:t xml:space="preserve"> </w:t>
      </w:r>
      <w:r>
        <w:rPr>
          <w:rtl w:val="true"/>
        </w:rPr>
        <w:t>לעיתים</w:t>
      </w:r>
      <w:r>
        <w:rPr>
          <w:rFonts w:eastAsia="Arial TUR;Arial" w:cs="Arial TUR;Arial"/>
          <w:rtl w:val="true"/>
        </w:rPr>
        <w:t xml:space="preserve"> </w:t>
      </w:r>
      <w:r>
        <w:rPr>
          <w:rtl w:val="true"/>
        </w:rPr>
        <w:t>בגין</w:t>
      </w:r>
      <w:r>
        <w:rPr>
          <w:rFonts w:eastAsia="Arial TUR;Arial" w:cs="Arial TUR;Arial"/>
          <w:rtl w:val="true"/>
        </w:rPr>
        <w:t xml:space="preserve"> </w:t>
      </w:r>
      <w:r>
        <w:rPr>
          <w:rtl w:val="true"/>
        </w:rPr>
        <w:t>עבירות</w:t>
      </w:r>
      <w:r>
        <w:rPr>
          <w:rFonts w:eastAsia="Arial TUR;Arial" w:cs="Arial TUR;Arial"/>
          <w:rtl w:val="true"/>
        </w:rPr>
        <w:t xml:space="preserve"> </w:t>
      </w:r>
      <w:r>
        <w:rPr>
          <w:rtl w:val="true"/>
        </w:rPr>
        <w:t>חמורות</w:t>
      </w:r>
      <w:r>
        <w:rPr>
          <w:rFonts w:eastAsia="Arial TUR;Arial" w:cs="Arial TUR;Arial"/>
          <w:rtl w:val="true"/>
        </w:rPr>
        <w:t xml:space="preserve"> </w:t>
      </w:r>
      <w:r>
        <w:rPr>
          <w:rtl w:val="true"/>
        </w:rPr>
        <w:t>בהרבה</w:t>
      </w:r>
      <w:r>
        <w:rPr>
          <w:rtl w:val="true"/>
        </w:rPr>
        <w:t xml:space="preserve">. </w:t>
      </w:r>
      <w:r>
        <w:rPr>
          <w:rtl w:val="true"/>
        </w:rPr>
        <w:t>בכל</w:t>
      </w:r>
      <w:r>
        <w:rPr>
          <w:rFonts w:eastAsia="Arial TUR;Arial" w:cs="Arial TUR;Arial"/>
          <w:rtl w:val="true"/>
        </w:rPr>
        <w:t xml:space="preserve"> </w:t>
      </w:r>
      <w:r>
        <w:rPr>
          <w:rtl w:val="true"/>
        </w:rPr>
        <w:t>הכבוד</w:t>
      </w:r>
      <w:r>
        <w:rPr>
          <w:rtl w:val="true"/>
        </w:rPr>
        <w:t xml:space="preserve">, </w:t>
      </w:r>
      <w:r>
        <w:rPr>
          <w:rtl w:val="true"/>
        </w:rPr>
        <w:t>צריך</w:t>
      </w:r>
      <w:r>
        <w:rPr>
          <w:rFonts w:eastAsia="Arial TUR;Arial" w:cs="Arial TUR;Arial"/>
          <w:rtl w:val="true"/>
        </w:rPr>
        <w:t xml:space="preserve"> </w:t>
      </w:r>
      <w:r>
        <w:rPr>
          <w:rtl w:val="true"/>
        </w:rPr>
        <w:t>שיתקיים</w:t>
      </w:r>
      <w:r>
        <w:rPr>
          <w:rFonts w:eastAsia="Arial TUR;Arial" w:cs="Arial TUR;Arial"/>
          <w:rtl w:val="true"/>
        </w:rPr>
        <w:t xml:space="preserve"> </w:t>
      </w:r>
      <w:r>
        <w:rPr>
          <w:rtl w:val="true"/>
        </w:rPr>
        <w:t>מדרג</w:t>
      </w:r>
      <w:r>
        <w:rPr>
          <w:rFonts w:eastAsia="Arial TUR;Arial" w:cs="Arial TUR;Arial"/>
          <w:rtl w:val="true"/>
        </w:rPr>
        <w:t xml:space="preserve"> </w:t>
      </w:r>
      <w:r>
        <w:rPr>
          <w:rtl w:val="true"/>
        </w:rPr>
        <w:t>סביר</w:t>
      </w:r>
      <w:r>
        <w:rPr>
          <w:rFonts w:eastAsia="Arial TUR;Arial" w:cs="Arial TUR;Arial"/>
          <w:rtl w:val="true"/>
        </w:rPr>
        <w:t xml:space="preserve"> </w:t>
      </w:r>
      <w:r>
        <w:rPr>
          <w:rtl w:val="true"/>
        </w:rPr>
        <w:t>בין</w:t>
      </w:r>
      <w:r>
        <w:rPr>
          <w:rFonts w:eastAsia="Arial TUR;Arial" w:cs="Arial TUR;Arial"/>
          <w:rtl w:val="true"/>
        </w:rPr>
        <w:t xml:space="preserve"> </w:t>
      </w:r>
      <w:r>
        <w:rPr>
          <w:rtl w:val="true"/>
        </w:rPr>
        <w:t>העונשים</w:t>
      </w:r>
      <w:r>
        <w:rPr>
          <w:rFonts w:eastAsia="Arial TUR;Arial" w:cs="Arial TUR;Arial"/>
          <w:rtl w:val="true"/>
        </w:rPr>
        <w:t xml:space="preserve"> </w:t>
      </w:r>
      <w:r>
        <w:rPr>
          <w:rtl w:val="true"/>
        </w:rPr>
        <w:t>המושתים</w:t>
      </w:r>
      <w:r>
        <w:rPr>
          <w:rFonts w:eastAsia="Arial TUR;Arial" w:cs="Arial TUR;Arial"/>
          <w:rtl w:val="true"/>
        </w:rPr>
        <w:t xml:space="preserve"> </w:t>
      </w:r>
      <w:r>
        <w:rPr>
          <w:rtl w:val="true"/>
        </w:rPr>
        <w:t>בגין</w:t>
      </w:r>
      <w:r>
        <w:rPr>
          <w:rFonts w:eastAsia="Arial TUR;Arial" w:cs="Arial TUR;Arial"/>
          <w:rtl w:val="true"/>
        </w:rPr>
        <w:t xml:space="preserve"> </w:t>
      </w:r>
      <w:r>
        <w:rPr>
          <w:rtl w:val="true"/>
        </w:rPr>
        <w:t>עבירות</w:t>
      </w:r>
      <w:r>
        <w:rPr>
          <w:rFonts w:eastAsia="Arial TUR;Arial" w:cs="Arial TUR;Arial"/>
          <w:rtl w:val="true"/>
        </w:rPr>
        <w:t xml:space="preserve"> </w:t>
      </w:r>
      <w:r>
        <w:rPr>
          <w:rtl w:val="true"/>
        </w:rPr>
        <w:t>שונות</w:t>
      </w:r>
      <w:r>
        <w:rPr>
          <w:rtl w:val="true"/>
        </w:rPr>
        <w:t xml:space="preserve">... </w:t>
      </w:r>
      <w:r>
        <w:rPr>
          <w:rtl w:val="true"/>
        </w:rPr>
        <w:t>בהיעדר</w:t>
      </w:r>
      <w:r>
        <w:rPr>
          <w:rFonts w:eastAsia="Arial TUR;Arial" w:cs="Arial TUR;Arial"/>
          <w:rtl w:val="true"/>
        </w:rPr>
        <w:t xml:space="preserve"> </w:t>
      </w:r>
      <w:r>
        <w:rPr>
          <w:rtl w:val="true"/>
        </w:rPr>
        <w:t>מדרג</w:t>
      </w:r>
      <w:r>
        <w:rPr>
          <w:rFonts w:eastAsia="Arial TUR;Arial" w:cs="Arial TUR;Arial"/>
          <w:rtl w:val="true"/>
        </w:rPr>
        <w:t xml:space="preserve"> </w:t>
      </w:r>
      <w:r>
        <w:rPr>
          <w:rtl w:val="true"/>
        </w:rPr>
        <w:t>ענישתי</w:t>
      </w:r>
      <w:r>
        <w:rPr>
          <w:rFonts w:eastAsia="Arial TUR;Arial" w:cs="Arial TUR;Arial"/>
          <w:rtl w:val="true"/>
        </w:rPr>
        <w:t xml:space="preserve"> </w:t>
      </w:r>
      <w:r>
        <w:rPr>
          <w:rtl w:val="true"/>
        </w:rPr>
        <w:t>הולם</w:t>
      </w:r>
      <w:r>
        <w:rPr>
          <w:rFonts w:eastAsia="Arial TUR;Arial" w:cs="Arial TUR;Arial"/>
          <w:rtl w:val="true"/>
        </w:rPr>
        <w:t xml:space="preserve"> </w:t>
      </w:r>
      <w:r>
        <w:rPr>
          <w:rtl w:val="true"/>
        </w:rPr>
        <w:t>אפשר</w:t>
      </w:r>
      <w:r>
        <w:rPr>
          <w:rFonts w:eastAsia="Arial TUR;Arial" w:cs="Arial TUR;Arial"/>
          <w:rtl w:val="true"/>
        </w:rPr>
        <w:t xml:space="preserve"> </w:t>
      </w:r>
      <w:r>
        <w:rPr>
          <w:rtl w:val="true"/>
        </w:rPr>
        <w:t>שתסוכל</w:t>
      </w:r>
      <w:r>
        <w:rPr>
          <w:rFonts w:eastAsia="Arial TUR;Arial" w:cs="Arial TUR;Arial"/>
          <w:rtl w:val="true"/>
        </w:rPr>
        <w:t xml:space="preserve"> </w:t>
      </w:r>
      <w:r>
        <w:rPr>
          <w:rtl w:val="true"/>
        </w:rPr>
        <w:t>תכלית</w:t>
      </w:r>
      <w:r>
        <w:rPr>
          <w:rFonts w:eastAsia="Arial TUR;Arial" w:cs="Arial TUR;Arial"/>
          <w:rtl w:val="true"/>
        </w:rPr>
        <w:t xml:space="preserve"> </w:t>
      </w:r>
      <w:r>
        <w:rPr>
          <w:rtl w:val="true"/>
        </w:rPr>
        <w:t>ההרתעה</w:t>
      </w:r>
      <w:r>
        <w:rPr>
          <w:rFonts w:eastAsia="Arial TUR;Arial" w:cs="Arial TUR;Arial"/>
          <w:rtl w:val="true"/>
        </w:rPr>
        <w:t xml:space="preserve"> </w:t>
      </w:r>
      <w:r>
        <w:rPr>
          <w:rtl w:val="true"/>
        </w:rPr>
        <w:t>בעבירות</w:t>
      </w:r>
      <w:r>
        <w:rPr>
          <w:rFonts w:eastAsia="Arial TUR;Arial" w:cs="Arial TUR;Arial"/>
          <w:rtl w:val="true"/>
        </w:rPr>
        <w:t xml:space="preserve"> </w:t>
      </w:r>
      <w:r>
        <w:rPr>
          <w:rtl w:val="true"/>
        </w:rPr>
        <w:t>חמורות</w:t>
      </w:r>
      <w:r>
        <w:rPr>
          <w:rFonts w:eastAsia="Arial TUR;Arial" w:cs="Arial TUR;Arial"/>
          <w:rtl w:val="true"/>
        </w:rPr>
        <w:t xml:space="preserve"> </w:t>
      </w:r>
      <w:r>
        <w:rPr>
          <w:rtl w:val="true"/>
        </w:rPr>
        <w:t>יותר</w:t>
      </w:r>
      <w:r>
        <w:rPr>
          <w:rtl w:val="true"/>
        </w:rPr>
        <w:t>." (</w:t>
      </w:r>
      <w:r>
        <w:rPr>
          <w:rFonts w:ascii="Century" w:hAnsi="Century" w:cs="Miriam"/>
          <w:b/>
          <w:b/>
          <w:spacing w:val="0"/>
          <w:szCs w:val="24"/>
          <w:rtl w:val="true"/>
        </w:rPr>
        <w:t>שם</w:t>
      </w:r>
      <w:r>
        <w:rPr>
          <w:rFonts w:cs="Century" w:ascii="Century" w:hAnsi="Century"/>
          <w:rtl w:val="true"/>
        </w:rPr>
        <w:t xml:space="preserve">, </w:t>
      </w:r>
      <w:r>
        <w:rPr>
          <w:rFonts w:ascii="Century" w:hAnsi="Century" w:cs="Century"/>
          <w:rtl w:val="true"/>
        </w:rPr>
        <w:t xml:space="preserve">פסקה </w:t>
      </w:r>
      <w:r>
        <w:rPr>
          <w:rFonts w:cs="Century" w:ascii="Century" w:hAnsi="Century"/>
        </w:rPr>
        <w:t>21</w:t>
      </w:r>
      <w:r>
        <w:rPr>
          <w:rFonts w:cs="Century" w:ascii="Century" w:hAnsi="Century"/>
          <w:rtl w:val="true"/>
        </w:rPr>
        <w:t xml:space="preserve">). </w:t>
      </w:r>
    </w:p>
    <w:p>
      <w:pPr>
        <w:pStyle w:val="Ruller41"/>
        <w:ind w:end="0"/>
        <w:jc w:val="both"/>
        <w:rPr>
          <w:rFonts w:ascii="Century" w:hAnsi="Century" w:cs="Century"/>
        </w:rPr>
      </w:pPr>
      <w:r>
        <w:rPr>
          <w:rFonts w:cs="Century" w:ascii="Century" w:hAnsi="Century"/>
          <w:rtl w:val="true"/>
        </w:rPr>
      </w:r>
    </w:p>
    <w:p>
      <w:pPr>
        <w:pStyle w:val="Ruller42"/>
        <w:numPr>
          <w:ilvl w:val="0"/>
          <w:numId w:val="1"/>
        </w:numPr>
        <w:ind w:end="0"/>
        <w:jc w:val="both"/>
        <w:rPr>
          <w:rFonts w:ascii="Century" w:hAnsi="Century" w:cs="Century"/>
          <w:sz w:val="22"/>
        </w:rPr>
      </w:pPr>
      <w:r>
        <w:rPr>
          <w:rFonts w:ascii="Century" w:hAnsi="Century" w:cs="Century"/>
          <w:sz w:val="22"/>
          <w:sz w:val="22"/>
          <w:rtl w:val="true"/>
        </w:rPr>
        <w:t>כאמור לעיל</w:t>
      </w:r>
      <w:r>
        <w:rPr>
          <w:rFonts w:cs="Century" w:ascii="Century" w:hAnsi="Century"/>
          <w:sz w:val="22"/>
          <w:rtl w:val="true"/>
        </w:rPr>
        <w:t xml:space="preserve">, </w:t>
      </w:r>
      <w:r>
        <w:rPr>
          <w:rFonts w:ascii="Century" w:hAnsi="Century" w:cs="Century"/>
          <w:sz w:val="22"/>
          <w:sz w:val="22"/>
          <w:rtl w:val="true"/>
        </w:rPr>
        <w:t>מלבד התבססותו בעיקר על הענישה הנהוגה</w:t>
      </w:r>
      <w:r>
        <w:rPr>
          <w:rFonts w:cs="Century" w:ascii="Century" w:hAnsi="Century"/>
          <w:sz w:val="22"/>
          <w:rtl w:val="true"/>
        </w:rPr>
        <w:t xml:space="preserve">, </w:t>
      </w:r>
      <w:r>
        <w:rPr>
          <w:rFonts w:ascii="Century" w:hAnsi="Century" w:cs="Century"/>
          <w:sz w:val="22"/>
          <w:sz w:val="22"/>
          <w:rtl w:val="true"/>
        </w:rPr>
        <w:t>התחשב בית המשפט המחוזי בקביעת המתחם בגילו ובעברו הנקי של המערער</w:t>
      </w:r>
      <w:r>
        <w:rPr>
          <w:rFonts w:cs="Century" w:ascii="Century" w:hAnsi="Century"/>
          <w:sz w:val="22"/>
          <w:rtl w:val="true"/>
        </w:rPr>
        <w:t xml:space="preserve">, </w:t>
      </w:r>
      <w:r>
        <w:rPr>
          <w:rFonts w:ascii="Century" w:hAnsi="Century" w:cs="Century"/>
          <w:sz w:val="22"/>
          <w:sz w:val="22"/>
          <w:rtl w:val="true"/>
        </w:rPr>
        <w:t>שהן נסיבות חיצוניות לעבירה</w:t>
      </w:r>
      <w:r>
        <w:rPr>
          <w:rFonts w:cs="Century" w:ascii="Century" w:hAnsi="Century"/>
          <w:sz w:val="22"/>
          <w:rtl w:val="true"/>
        </w:rPr>
        <w:t xml:space="preserve">. </w:t>
      </w:r>
      <w:r>
        <w:rPr>
          <w:rFonts w:ascii="Century" w:hAnsi="Century" w:cs="Century"/>
          <w:sz w:val="22"/>
          <w:sz w:val="22"/>
          <w:rtl w:val="true"/>
        </w:rPr>
        <w:t>ברם</w:t>
      </w:r>
      <w:r>
        <w:rPr>
          <w:rFonts w:cs="Century" w:ascii="Century" w:hAnsi="Century"/>
          <w:sz w:val="22"/>
          <w:rtl w:val="true"/>
        </w:rPr>
        <w:t xml:space="preserve">, </w:t>
      </w:r>
      <w:r>
        <w:rPr>
          <w:rFonts w:ascii="Century" w:hAnsi="Century" w:cs="Century"/>
          <w:sz w:val="22"/>
          <w:sz w:val="22"/>
          <w:rtl w:val="true"/>
        </w:rPr>
        <w:t xml:space="preserve">תיקון </w:t>
      </w:r>
      <w:r>
        <w:rPr>
          <w:rFonts w:cs="Century" w:ascii="Century" w:hAnsi="Century"/>
          <w:sz w:val="22"/>
        </w:rPr>
        <w:t>113</w:t>
      </w:r>
      <w:r>
        <w:rPr>
          <w:rFonts w:cs="Century" w:ascii="Century" w:hAnsi="Century"/>
          <w:sz w:val="22"/>
          <w:rtl w:val="true"/>
        </w:rPr>
        <w:t xml:space="preserve"> </w:t>
      </w:r>
      <w:r>
        <w:rPr>
          <w:rFonts w:ascii="Century" w:hAnsi="Century" w:cs="Century"/>
          <w:sz w:val="22"/>
          <w:sz w:val="22"/>
          <w:rtl w:val="true"/>
        </w:rPr>
        <w:t>ל</w:t>
      </w:r>
      <w:hyperlink r:id="rId84">
        <w:r>
          <w:rPr>
            <w:rStyle w:val="Hyperlink"/>
            <w:rFonts w:ascii="Century" w:hAnsi="Century" w:cs="Century"/>
            <w:color w:val="0000FF"/>
            <w:sz w:val="22"/>
            <w:sz w:val="22"/>
            <w:u w:val="single"/>
            <w:rtl w:val="true"/>
          </w:rPr>
          <w:t>חוק</w:t>
        </w:r>
        <w:r>
          <w:rPr>
            <w:rStyle w:val="Hyperlink"/>
            <w:rFonts w:ascii="Century" w:hAnsi="Century" w:cs="Century"/>
            <w:color w:val="0000FF"/>
            <w:sz w:val="22"/>
            <w:sz w:val="22"/>
            <w:u w:val="single"/>
            <w:rtl w:val="true"/>
          </w:rPr>
          <w:t xml:space="preserve"> </w:t>
        </w:r>
        <w:r>
          <w:rPr>
            <w:rStyle w:val="Hyperlink"/>
            <w:rFonts w:ascii="Century" w:hAnsi="Century" w:cs="Century"/>
            <w:color w:val="0000FF"/>
            <w:sz w:val="22"/>
            <w:sz w:val="22"/>
            <w:u w:val="single"/>
            <w:rtl w:val="true"/>
          </w:rPr>
          <w:t>העונשין</w:t>
        </w:r>
      </w:hyperlink>
      <w:r>
        <w:rPr>
          <w:rFonts w:cs="Century" w:ascii="Century" w:hAnsi="Century"/>
          <w:sz w:val="22"/>
          <w:rtl w:val="true"/>
        </w:rPr>
        <w:t xml:space="preserve">, </w:t>
      </w:r>
      <w:r>
        <w:rPr>
          <w:rFonts w:ascii="Century" w:hAnsi="Century" w:cs="Century"/>
          <w:sz w:val="22"/>
          <w:sz w:val="22"/>
          <w:rtl w:val="true"/>
        </w:rPr>
        <w:t xml:space="preserve">מורה שהמקום להתחשב בהן הוא בשלב גזירת העונש במסגרת המתחם ולא בשלב קביעת המתחם </w:t>
      </w:r>
      <w:r>
        <w:rPr>
          <w:rFonts w:cs="Century" w:ascii="Century" w:hAnsi="Century"/>
          <w:sz w:val="22"/>
          <w:rtl w:val="true"/>
        </w:rPr>
        <w:t>(</w:t>
      </w:r>
      <w:r>
        <w:rPr>
          <w:rFonts w:ascii="Century" w:hAnsi="Century" w:cs="Century"/>
          <w:sz w:val="22"/>
          <w:sz w:val="22"/>
          <w:rtl w:val="true"/>
        </w:rPr>
        <w:t xml:space="preserve">ראו </w:t>
      </w:r>
      <w:hyperlink r:id="rId85">
        <w:r>
          <w:rPr>
            <w:rStyle w:val="Hyperlink"/>
            <w:rFonts w:ascii="Century" w:hAnsi="Century" w:cs="Century"/>
            <w:color w:val="0000FF"/>
            <w:sz w:val="22"/>
            <w:sz w:val="22"/>
            <w:u w:val="single"/>
            <w:rtl w:val="true"/>
          </w:rPr>
          <w:t>סעיפים</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40</w:t>
        </w:r>
        <w:r>
          <w:rPr>
            <w:rStyle w:val="Hyperlink"/>
            <w:rFonts w:ascii="Century" w:hAnsi="Century" w:cs="Century"/>
            <w:color w:val="0000FF"/>
            <w:sz w:val="22"/>
            <w:sz w:val="22"/>
            <w:u w:val="single"/>
            <w:rtl w:val="true"/>
          </w:rPr>
          <w:t>ג</w:t>
        </w:r>
        <w:r>
          <w:rPr>
            <w:rStyle w:val="Hyperlink"/>
            <w:rFonts w:cs="Century" w:ascii="Century" w:hAnsi="Century"/>
            <w:color w:val="0000FF"/>
            <w:sz w:val="22"/>
            <w:u w:val="single"/>
            <w:rtl w:val="true"/>
          </w:rPr>
          <w:t>(</w:t>
        </w:r>
        <w:r>
          <w:rPr>
            <w:rStyle w:val="Hyperlink"/>
            <w:rFonts w:ascii="Century" w:hAnsi="Century" w:cs="Century"/>
            <w:color w:val="0000FF"/>
            <w:sz w:val="22"/>
            <w:sz w:val="22"/>
            <w:u w:val="single"/>
            <w:rtl w:val="true"/>
          </w:rPr>
          <w:t>ב</w:t>
        </w:r>
        <w:r>
          <w:rPr>
            <w:rStyle w:val="Hyperlink"/>
            <w:rFonts w:cs="Century" w:ascii="Century" w:hAnsi="Century"/>
            <w:color w:val="0000FF"/>
            <w:sz w:val="22"/>
            <w:u w:val="single"/>
            <w:rtl w:val="true"/>
          </w:rPr>
          <w:t>)</w:t>
        </w:r>
      </w:hyperlink>
      <w:r>
        <w:rPr>
          <w:rFonts w:cs="Century" w:ascii="Century" w:hAnsi="Century"/>
          <w:sz w:val="22"/>
          <w:rtl w:val="true"/>
        </w:rPr>
        <w:t xml:space="preserve"> </w:t>
      </w:r>
      <w:r>
        <w:rPr>
          <w:rFonts w:ascii="Century" w:hAnsi="Century" w:cs="Century"/>
          <w:sz w:val="22"/>
          <w:sz w:val="22"/>
          <w:rtl w:val="true"/>
        </w:rPr>
        <w:t>ו</w:t>
      </w:r>
      <w:r>
        <w:rPr>
          <w:rFonts w:cs="Century" w:ascii="Century" w:hAnsi="Century"/>
          <w:sz w:val="22"/>
          <w:rtl w:val="true"/>
        </w:rPr>
        <w:t>-</w:t>
      </w:r>
      <w:hyperlink r:id="rId86">
        <w:r>
          <w:rPr>
            <w:rStyle w:val="Hyperlink"/>
            <w:rFonts w:cs="Century" w:ascii="Century" w:hAnsi="Century"/>
            <w:color w:val="0000FF"/>
            <w:sz w:val="22"/>
            <w:u w:val="single"/>
          </w:rPr>
          <w:t>40</w:t>
        </w:r>
        <w:r>
          <w:rPr>
            <w:rStyle w:val="Hyperlink"/>
            <w:rFonts w:ascii="Century" w:hAnsi="Century" w:cs="Century"/>
            <w:color w:val="0000FF"/>
            <w:sz w:val="22"/>
            <w:sz w:val="22"/>
            <w:u w:val="single"/>
            <w:rtl w:val="true"/>
          </w:rPr>
          <w:t>יא</w:t>
        </w:r>
      </w:hyperlink>
      <w:r>
        <w:rPr>
          <w:rFonts w:ascii="Century" w:hAnsi="Century" w:cs="Century"/>
          <w:sz w:val="22"/>
          <w:sz w:val="22"/>
          <w:rtl w:val="true"/>
        </w:rPr>
        <w:t xml:space="preserve"> לחוק העונשין</w:t>
      </w:r>
      <w:r>
        <w:rPr>
          <w:rFonts w:cs="Century" w:ascii="Century" w:hAnsi="Century"/>
          <w:sz w:val="22"/>
          <w:rtl w:val="true"/>
        </w:rPr>
        <w:t xml:space="preserve">). </w:t>
      </w:r>
      <w:r>
        <w:rPr>
          <w:rFonts w:ascii="Century" w:hAnsi="Century" w:cs="Century"/>
          <w:sz w:val="22"/>
          <w:sz w:val="22"/>
          <w:rtl w:val="true"/>
        </w:rPr>
        <w:t>כמו כן</w:t>
      </w:r>
      <w:r>
        <w:rPr>
          <w:rFonts w:cs="Century" w:ascii="Century" w:hAnsi="Century"/>
          <w:sz w:val="22"/>
          <w:rtl w:val="true"/>
        </w:rPr>
        <w:t xml:space="preserve">, </w:t>
      </w:r>
      <w:r>
        <w:rPr>
          <w:rFonts w:ascii="Century" w:hAnsi="Century" w:cs="Century"/>
          <w:sz w:val="22"/>
          <w:sz w:val="22"/>
          <w:rtl w:val="true"/>
        </w:rPr>
        <w:t>לא ניתן להתעלם מכך שהמתחם נקבע</w:t>
      </w:r>
      <w:r>
        <w:rPr>
          <w:rFonts w:cs="Century" w:ascii="Century" w:hAnsi="Century"/>
          <w:sz w:val="22"/>
          <w:rtl w:val="true"/>
        </w:rPr>
        <w:t xml:space="preserve">, </w:t>
      </w:r>
      <w:r>
        <w:rPr>
          <w:rFonts w:ascii="Century" w:hAnsi="Century" w:cs="Century"/>
          <w:sz w:val="22"/>
          <w:sz w:val="22"/>
          <w:rtl w:val="true"/>
        </w:rPr>
        <w:t>כך על פי גזר הדין</w:t>
      </w:r>
      <w:r>
        <w:rPr>
          <w:rFonts w:cs="Century" w:ascii="Century" w:hAnsi="Century"/>
          <w:sz w:val="22"/>
          <w:rtl w:val="true"/>
        </w:rPr>
        <w:t xml:space="preserve">, </w:t>
      </w:r>
      <w:r>
        <w:rPr>
          <w:rFonts w:ascii="Century" w:hAnsi="Century" w:cs="Century"/>
          <w:sz w:val="22"/>
          <w:sz w:val="22"/>
          <w:rtl w:val="true"/>
        </w:rPr>
        <w:t>גם בעקבות ריבוי מקרי השוד והצורך בהרתעה</w:t>
      </w:r>
      <w:r>
        <w:rPr>
          <w:rFonts w:cs="Century" w:ascii="Century" w:hAnsi="Century"/>
          <w:sz w:val="22"/>
          <w:rtl w:val="true"/>
        </w:rPr>
        <w:t xml:space="preserve">. </w:t>
      </w:r>
      <w:r>
        <w:rPr>
          <w:rFonts w:ascii="Century" w:hAnsi="Century" w:cs="Century"/>
          <w:sz w:val="22"/>
          <w:sz w:val="22"/>
          <w:rtl w:val="true"/>
        </w:rPr>
        <w:t>גם שיקולים אלה</w:t>
      </w:r>
      <w:r>
        <w:rPr>
          <w:rFonts w:cs="Century" w:ascii="Century" w:hAnsi="Century"/>
          <w:sz w:val="22"/>
          <w:rtl w:val="true"/>
        </w:rPr>
        <w:t xml:space="preserve">, </w:t>
      </w:r>
      <w:r>
        <w:rPr>
          <w:rFonts w:ascii="Century" w:hAnsi="Century" w:cs="Century"/>
          <w:sz w:val="22"/>
          <w:sz w:val="22"/>
          <w:rtl w:val="true"/>
        </w:rPr>
        <w:t>מקומם אינו בשלב קביעת המתחם</w:t>
      </w:r>
      <w:r>
        <w:rPr>
          <w:rFonts w:cs="Century" w:ascii="Century" w:hAnsi="Century"/>
          <w:sz w:val="22"/>
          <w:rtl w:val="true"/>
        </w:rPr>
        <w:t xml:space="preserve">, </w:t>
      </w:r>
      <w:r>
        <w:rPr>
          <w:rFonts w:ascii="Century" w:hAnsi="Century" w:cs="Century"/>
          <w:sz w:val="22"/>
          <w:sz w:val="22"/>
          <w:rtl w:val="true"/>
        </w:rPr>
        <w:t xml:space="preserve">אלא בשלב גזירת העונש במסגרתו </w:t>
      </w:r>
      <w:r>
        <w:rPr>
          <w:rFonts w:cs="Century" w:ascii="Century" w:hAnsi="Century"/>
          <w:sz w:val="22"/>
          <w:rtl w:val="true"/>
        </w:rPr>
        <w:t>(</w:t>
      </w:r>
      <w:r>
        <w:rPr>
          <w:rFonts w:ascii="Century" w:hAnsi="Century" w:cs="Century"/>
          <w:sz w:val="22"/>
          <w:sz w:val="22"/>
          <w:rtl w:val="true"/>
        </w:rPr>
        <w:t xml:space="preserve">ראו </w:t>
      </w:r>
      <w:hyperlink r:id="rId87">
        <w:r>
          <w:rPr>
            <w:rStyle w:val="Hyperlink"/>
            <w:rFonts w:ascii="Century" w:hAnsi="Century" w:cs="Century"/>
            <w:color w:val="0000FF"/>
            <w:sz w:val="22"/>
            <w:sz w:val="22"/>
            <w:u w:val="single"/>
            <w:rtl w:val="true"/>
          </w:rPr>
          <w:t>סעיף</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40</w:t>
        </w:r>
        <w:r>
          <w:rPr>
            <w:rStyle w:val="Hyperlink"/>
            <w:rFonts w:ascii="Century" w:hAnsi="Century" w:cs="Century"/>
            <w:color w:val="0000FF"/>
            <w:sz w:val="22"/>
            <w:sz w:val="22"/>
            <w:u w:val="single"/>
            <w:rtl w:val="true"/>
          </w:rPr>
          <w:t>ז</w:t>
        </w:r>
      </w:hyperlink>
      <w:r>
        <w:rPr>
          <w:rFonts w:ascii="Century" w:hAnsi="Century" w:cs="Century"/>
          <w:sz w:val="22"/>
          <w:sz w:val="22"/>
          <w:rtl w:val="true"/>
        </w:rPr>
        <w:t xml:space="preserve"> ל</w:t>
      </w:r>
      <w:hyperlink r:id="rId88">
        <w:r>
          <w:rPr>
            <w:rStyle w:val="Hyperlink"/>
            <w:rFonts w:ascii="Century" w:hAnsi="Century" w:cs="Century"/>
            <w:color w:val="0000FF"/>
            <w:sz w:val="22"/>
            <w:sz w:val="22"/>
            <w:u w:val="single"/>
            <w:rtl w:val="true"/>
          </w:rPr>
          <w:t>חוק</w:t>
        </w:r>
        <w:r>
          <w:rPr>
            <w:rStyle w:val="Hyperlink"/>
            <w:rFonts w:ascii="Century" w:hAnsi="Century" w:cs="Century"/>
            <w:color w:val="0000FF"/>
            <w:sz w:val="22"/>
            <w:sz w:val="22"/>
            <w:u w:val="single"/>
            <w:rtl w:val="true"/>
          </w:rPr>
          <w:t xml:space="preserve"> </w:t>
        </w:r>
        <w:r>
          <w:rPr>
            <w:rStyle w:val="Hyperlink"/>
            <w:rFonts w:ascii="Century" w:hAnsi="Century" w:cs="Century"/>
            <w:color w:val="0000FF"/>
            <w:sz w:val="22"/>
            <w:sz w:val="22"/>
            <w:u w:val="single"/>
            <w:rtl w:val="true"/>
          </w:rPr>
          <w:t>העונשין</w:t>
        </w:r>
      </w:hyperlink>
      <w:r>
        <w:rPr>
          <w:rFonts w:cs="Century" w:ascii="Century" w:hAnsi="Century"/>
          <w:sz w:val="22"/>
          <w:rtl w:val="true"/>
        </w:rPr>
        <w:t xml:space="preserve">). </w:t>
      </w:r>
    </w:p>
    <w:p>
      <w:pPr>
        <w:pStyle w:val="Ruller41"/>
        <w:spacing w:lineRule="auto" w:line="480"/>
        <w:ind w:end="0"/>
        <w:jc w:val="both"/>
        <w:rPr>
          <w:rFonts w:ascii="Century" w:hAnsi="Century" w:cs="Century"/>
          <w:sz w:val="22"/>
        </w:rPr>
      </w:pPr>
      <w:r>
        <w:rPr>
          <w:rFonts w:cs="Century" w:ascii="Century" w:hAnsi="Century"/>
          <w:sz w:val="22"/>
          <w:rtl w:val="true"/>
        </w:rPr>
      </w:r>
    </w:p>
    <w:p>
      <w:pPr>
        <w:pStyle w:val="Ruller41"/>
        <w:ind w:end="0"/>
        <w:jc w:val="both"/>
        <w:rPr>
          <w:rFonts w:ascii="Century" w:hAnsi="Century" w:cs="Miriam"/>
          <w:b/>
          <w:spacing w:val="0"/>
          <w:szCs w:val="24"/>
        </w:rPr>
      </w:pPr>
      <w:r>
        <w:rPr>
          <w:rFonts w:ascii="Century" w:hAnsi="Century" w:cs="Miriam"/>
          <w:b/>
          <w:b/>
          <w:spacing w:val="0"/>
          <w:szCs w:val="24"/>
          <w:rtl w:val="true"/>
        </w:rPr>
        <w:t>ענישה</w:t>
      </w:r>
      <w:r>
        <w:rPr>
          <w:rFonts w:ascii="Century" w:hAnsi="Century" w:eastAsia="Century" w:cs="Century"/>
          <w:b/>
          <w:b/>
          <w:spacing w:val="0"/>
          <w:szCs w:val="24"/>
          <w:rtl w:val="true"/>
        </w:rPr>
        <w:t xml:space="preserve"> </w:t>
      </w:r>
      <w:r>
        <w:rPr>
          <w:rFonts w:ascii="Century" w:hAnsi="Century" w:cs="Miriam"/>
          <w:b/>
          <w:b/>
          <w:spacing w:val="0"/>
          <w:szCs w:val="24"/>
          <w:rtl w:val="true"/>
        </w:rPr>
        <w:t>לאחר</w:t>
      </w:r>
      <w:r>
        <w:rPr>
          <w:rFonts w:ascii="Century" w:hAnsi="Century" w:eastAsia="Century" w:cs="Century"/>
          <w:b/>
          <w:b/>
          <w:spacing w:val="0"/>
          <w:szCs w:val="24"/>
          <w:rtl w:val="true"/>
        </w:rPr>
        <w:t xml:space="preserve"> </w:t>
      </w:r>
      <w:r>
        <w:rPr>
          <w:rFonts w:ascii="Century" w:hAnsi="Century" w:cs="Miriam"/>
          <w:b/>
          <w:b/>
          <w:spacing w:val="0"/>
          <w:szCs w:val="24"/>
          <w:rtl w:val="true"/>
        </w:rPr>
        <w:t>תיקון</w:t>
      </w:r>
      <w:r>
        <w:rPr>
          <w:rFonts w:ascii="Century" w:hAnsi="Century" w:eastAsia="Century" w:cs="Century"/>
          <w:b/>
          <w:b/>
          <w:spacing w:val="0"/>
          <w:szCs w:val="24"/>
          <w:rtl w:val="true"/>
        </w:rPr>
        <w:t xml:space="preserve"> </w:t>
      </w:r>
      <w:r>
        <w:rPr>
          <w:rFonts w:cs="Miriam" w:ascii="Century" w:hAnsi="Century"/>
          <w:b/>
          <w:spacing w:val="0"/>
          <w:szCs w:val="24"/>
        </w:rPr>
        <w:t>113</w:t>
      </w:r>
      <w:r>
        <w:rPr>
          <w:rFonts w:cs="Miriam" w:ascii="Century" w:hAnsi="Century"/>
          <w:b/>
          <w:spacing w:val="0"/>
          <w:szCs w:val="24"/>
          <w:rtl w:val="true"/>
        </w:rPr>
        <w:t xml:space="preserve"> </w:t>
      </w:r>
      <w:r>
        <w:rPr>
          <w:rFonts w:ascii="Century" w:hAnsi="Century" w:cs="Miriam"/>
          <w:b/>
          <w:b/>
          <w:spacing w:val="0"/>
          <w:szCs w:val="24"/>
          <w:rtl w:val="true"/>
        </w:rPr>
        <w:t>ל</w:t>
      </w:r>
      <w:hyperlink r:id="rId89">
        <w:r>
          <w:rPr>
            <w:rStyle w:val="Hyperlink"/>
            <w:rFonts w:ascii="Century" w:hAnsi="Century" w:cs="Miriam"/>
            <w:b/>
            <w:b/>
            <w:color w:val="0000FF"/>
            <w:spacing w:val="0"/>
            <w:szCs w:val="24"/>
            <w:u w:val="single"/>
            <w:rtl w:val="true"/>
          </w:rPr>
          <w:t>חוק</w:t>
        </w:r>
        <w:r>
          <w:rPr>
            <w:rStyle w:val="Hyperlink"/>
            <w:rFonts w:ascii="Century" w:hAnsi="Century" w:eastAsia="Century" w:cs="Century"/>
            <w:b/>
            <w:b/>
            <w:color w:val="0000FF"/>
            <w:spacing w:val="0"/>
            <w:szCs w:val="24"/>
            <w:u w:val="single"/>
            <w:rtl w:val="true"/>
          </w:rPr>
          <w:t xml:space="preserve"> </w:t>
        </w:r>
        <w:r>
          <w:rPr>
            <w:rStyle w:val="Hyperlink"/>
            <w:rFonts w:ascii="Century" w:hAnsi="Century" w:cs="Miriam"/>
            <w:b/>
            <w:b/>
            <w:color w:val="0000FF"/>
            <w:spacing w:val="0"/>
            <w:szCs w:val="24"/>
            <w:u w:val="single"/>
            <w:rtl w:val="true"/>
          </w:rPr>
          <w:t>העונשין</w:t>
        </w:r>
      </w:hyperlink>
    </w:p>
    <w:p>
      <w:pPr>
        <w:pStyle w:val="Ruller41"/>
        <w:spacing w:lineRule="auto" w:line="240"/>
        <w:ind w:end="0"/>
        <w:jc w:val="both"/>
        <w:rPr>
          <w:rFonts w:ascii="Century" w:hAnsi="Century" w:cs="Miriam"/>
          <w:b/>
          <w:spacing w:val="0"/>
          <w:szCs w:val="24"/>
        </w:rPr>
      </w:pPr>
      <w:r>
        <w:rPr>
          <w:rFonts w:cs="Miriam" w:ascii="Century" w:hAnsi="Century"/>
          <w:b/>
          <w:spacing w:val="0"/>
          <w:szCs w:val="24"/>
          <w:rtl w:val="true"/>
        </w:rPr>
      </w:r>
    </w:p>
    <w:p>
      <w:pPr>
        <w:pStyle w:val="Ruller42"/>
        <w:numPr>
          <w:ilvl w:val="0"/>
          <w:numId w:val="1"/>
        </w:numPr>
        <w:ind w:end="0"/>
        <w:jc w:val="both"/>
        <w:rPr/>
      </w:pPr>
      <w:r>
        <w:rPr>
          <w:rtl w:val="true"/>
        </w:rPr>
        <w:t xml:space="preserve">עם כניסתו לתוקף של תיקון </w:t>
      </w:r>
      <w:r>
        <w:rPr/>
        <w:t>113</w:t>
      </w:r>
      <w:r>
        <w:rPr>
          <w:rtl w:val="true"/>
        </w:rPr>
        <w:t xml:space="preserve"> </w:t>
      </w:r>
      <w:r>
        <w:rPr>
          <w:rtl w:val="true"/>
        </w:rPr>
        <w:t>ל</w:t>
      </w:r>
      <w:hyperlink r:id="rId90">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r>
        <w:rPr>
          <w:rtl w:val="true"/>
        </w:rPr>
        <w:t xml:space="preserve">ביולי </w:t>
      </w:r>
      <w:r>
        <w:rPr/>
        <w:t>2012</w:t>
      </w:r>
      <w:r>
        <w:rPr>
          <w:rtl w:val="true"/>
        </w:rPr>
        <w:t xml:space="preserve">, </w:t>
      </w:r>
      <w:r>
        <w:rPr>
          <w:rtl w:val="true"/>
        </w:rPr>
        <w:t>השתנה האופן בו בית המשפט גוזר עונשים</w:t>
      </w:r>
      <w:r>
        <w:rPr>
          <w:rtl w:val="true"/>
        </w:rPr>
        <w:t xml:space="preserve">. </w:t>
      </w:r>
      <w:r>
        <w:rPr>
          <w:rtl w:val="true"/>
        </w:rPr>
        <w:t>תיקון זה מתווה שלושה שלבים לקביעת עונשו של נאשם פלוני שהורשע במספר עבירות</w:t>
      </w:r>
      <w:r>
        <w:rPr>
          <w:rtl w:val="true"/>
        </w:rPr>
        <w:t xml:space="preserve">. </w:t>
      </w:r>
      <w:r>
        <w:rPr>
          <w:rtl w:val="true"/>
        </w:rPr>
        <w:t>בשלב הראשון</w:t>
      </w:r>
      <w:r>
        <w:rPr>
          <w:rtl w:val="true"/>
        </w:rPr>
        <w:t xml:space="preserve">, </w:t>
      </w:r>
      <w:r>
        <w:rPr>
          <w:rtl w:val="true"/>
        </w:rPr>
        <w:t>על בית המשפט לקבוע האם הנאשם הורשע בכמה עבירות</w:t>
      </w:r>
      <w:r>
        <w:rPr>
          <w:rtl w:val="true"/>
        </w:rPr>
        <w:t xml:space="preserve">. </w:t>
      </w:r>
      <w:r>
        <w:rPr>
          <w:rtl w:val="true"/>
        </w:rPr>
        <w:t>במקרה כזה</w:t>
      </w:r>
      <w:r>
        <w:rPr>
          <w:rtl w:val="true"/>
        </w:rPr>
        <w:t xml:space="preserve">, </w:t>
      </w:r>
      <w:r>
        <w:rPr>
          <w:rtl w:val="true"/>
        </w:rPr>
        <w:t>להבדיל ממקרה בו הורשע נאשם בעבירה אחת</w:t>
      </w:r>
      <w:r>
        <w:rPr>
          <w:rtl w:val="true"/>
        </w:rPr>
        <w:t xml:space="preserve">, </w:t>
      </w:r>
      <w:r>
        <w:rPr>
          <w:rtl w:val="true"/>
        </w:rPr>
        <w:t>על בית המשפט לבחון האם מדובר בעבירות המהוות אירוע אחד או מספר אירועים</w:t>
      </w:r>
      <w:r>
        <w:rPr>
          <w:rtl w:val="true"/>
        </w:rPr>
        <w:t xml:space="preserve">, </w:t>
      </w:r>
      <w:r>
        <w:rPr>
          <w:rtl w:val="true"/>
        </w:rPr>
        <w:t>ובהתאם לקבוע מתחם ענישה הולם לכל אירוע בנפרד</w:t>
      </w:r>
      <w:r>
        <w:rPr>
          <w:rtl w:val="true"/>
        </w:rPr>
        <w:t xml:space="preserve">. </w:t>
      </w:r>
      <w:r>
        <w:rPr>
          <w:rtl w:val="true"/>
        </w:rPr>
        <w:t>בשלב השני</w:t>
      </w:r>
      <w:r>
        <w:rPr>
          <w:rtl w:val="true"/>
        </w:rPr>
        <w:t xml:space="preserve">, </w:t>
      </w:r>
      <w:r>
        <w:rPr>
          <w:rtl w:val="true"/>
        </w:rPr>
        <w:t>על בית המשפט לקבוע את מתחם הענישה ההולם לעבירה ולאור נסיבות ביצועה</w:t>
      </w:r>
      <w:r>
        <w:rPr>
          <w:rtl w:val="true"/>
        </w:rPr>
        <w:t xml:space="preserve">. </w:t>
      </w:r>
      <w:r>
        <w:rPr>
          <w:rtl w:val="true"/>
        </w:rPr>
        <w:t>לבסוף</w:t>
      </w:r>
      <w:r>
        <w:rPr>
          <w:rtl w:val="true"/>
        </w:rPr>
        <w:t xml:space="preserve">, </w:t>
      </w:r>
      <w:r>
        <w:rPr>
          <w:rtl w:val="true"/>
        </w:rPr>
        <w:t>בשלב השלישי</w:t>
      </w:r>
      <w:r>
        <w:rPr>
          <w:rtl w:val="true"/>
        </w:rPr>
        <w:t xml:space="preserve">, </w:t>
      </w:r>
      <w:r>
        <w:rPr>
          <w:rtl w:val="true"/>
        </w:rPr>
        <w:t>בית המשפט יגזור את עונשו של הנאשם בתוך המתחם</w:t>
      </w:r>
      <w:r>
        <w:rPr>
          <w:rtl w:val="true"/>
        </w:rPr>
        <w:t xml:space="preserve">, </w:t>
      </w:r>
      <w:r>
        <w:rPr>
          <w:rtl w:val="true"/>
        </w:rPr>
        <w:t xml:space="preserve">תוך בחינת נסיבות שאינן קשורות לביצוע העבירה </w:t>
      </w:r>
      <w:r>
        <w:rPr>
          <w:rtl w:val="true"/>
        </w:rPr>
        <w:t>(</w:t>
      </w:r>
      <w:r>
        <w:rPr>
          <w:rtl w:val="true"/>
        </w:rPr>
        <w:t>ראו גם</w:t>
      </w:r>
      <w:r>
        <w:rPr>
          <w:rtl w:val="true"/>
        </w:rPr>
        <w:t xml:space="preserve">: </w:t>
      </w:r>
      <w:hyperlink r:id="rId91">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8641/12</w:t>
        </w:r>
      </w:hyperlink>
      <w:r>
        <w:rPr>
          <w:rtl w:val="true"/>
        </w:rPr>
        <w:t xml:space="preserve"> </w:t>
      </w:r>
      <w:r>
        <w:rPr>
          <w:rFonts w:ascii="Century" w:hAnsi="Century" w:cs="Miriam"/>
          <w:b/>
          <w:b/>
          <w:spacing w:val="0"/>
          <w:sz w:val="22"/>
          <w:sz w:val="22"/>
          <w:szCs w:val="24"/>
          <w:rtl w:val="true"/>
        </w:rPr>
        <w:t>סעד</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cs="Century" w:ascii="Century" w:hAnsi="Century"/>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ascii="Century" w:hAnsi="Century" w:cs="Century"/>
          <w:sz w:val="22"/>
          <w:sz w:val="22"/>
          <w:rtl w:val="true"/>
        </w:rPr>
        <w:t xml:space="preserve">פסקה </w:t>
      </w:r>
      <w:r>
        <w:rPr>
          <w:rFonts w:cs="Century" w:ascii="Century" w:hAnsi="Century"/>
          <w:sz w:val="22"/>
        </w:rPr>
        <w:t>22</w:t>
      </w:r>
      <w:r>
        <w:rPr>
          <w:rFonts w:cs="Century" w:ascii="Century" w:hAnsi="Century"/>
          <w:sz w:val="22"/>
          <w:rtl w:val="true"/>
        </w:rPr>
        <w:t xml:space="preserve"> </w:t>
      </w:r>
      <w:r>
        <w:rPr>
          <w:rFonts w:ascii="Century" w:hAnsi="Century" w:cs="Century"/>
          <w:sz w:val="22"/>
          <w:sz w:val="22"/>
          <w:rtl w:val="true"/>
        </w:rPr>
        <w:t xml:space="preserve">לפסק דינו של השופט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סולברג</w:t>
      </w:r>
      <w:r>
        <w:rPr>
          <w:rFonts w:ascii="Century" w:hAnsi="Century" w:cs="Century"/>
          <w:sz w:val="22"/>
          <w:sz w:val="22"/>
          <w:rtl w:val="true"/>
        </w:rPr>
        <w:t xml:space="preserve"> </w:t>
      </w:r>
      <w:r>
        <w:rPr>
          <w:rFonts w:cs="Century" w:ascii="Century" w:hAnsi="Century"/>
          <w:sz w:val="22"/>
          <w:rtl w:val="true"/>
        </w:rPr>
        <w:t>(</w:t>
      </w:r>
      <w:r>
        <w:rPr>
          <w:rFonts w:cs="Century" w:ascii="Century" w:hAnsi="Century"/>
          <w:sz w:val="22"/>
        </w:rPr>
        <w:t>6.8.2013</w:t>
      </w:r>
      <w:r>
        <w:rPr>
          <w:rFonts w:cs="Century" w:ascii="Century" w:hAnsi="Century"/>
          <w:sz w:val="22"/>
          <w:rtl w:val="true"/>
        </w:rPr>
        <w:t>))</w:t>
      </w:r>
      <w:r>
        <w:rPr>
          <w:rtl w:val="true"/>
        </w:rPr>
        <w:t xml:space="preserve">. </w:t>
      </w:r>
    </w:p>
    <w:p>
      <w:pPr>
        <w:pStyle w:val="Ruller41"/>
        <w:spacing w:lineRule="auto" w:line="480"/>
        <w:ind w:end="0"/>
        <w:jc w:val="both"/>
        <w:rPr>
          <w:rFonts w:ascii="Century" w:hAnsi="Century" w:cs="Miriam"/>
          <w:b/>
          <w:spacing w:val="0"/>
          <w:szCs w:val="24"/>
        </w:rPr>
      </w:pPr>
      <w:r>
        <w:rPr>
          <w:rFonts w:cs="Miriam" w:ascii="Century" w:hAnsi="Century"/>
          <w:b/>
          <w:spacing w:val="0"/>
          <w:szCs w:val="24"/>
          <w:rtl w:val="true"/>
        </w:rPr>
      </w:r>
    </w:p>
    <w:p>
      <w:pPr>
        <w:pStyle w:val="Ruller41"/>
        <w:ind w:end="0"/>
        <w:jc w:val="both"/>
        <w:rPr>
          <w:rFonts w:ascii="Century" w:hAnsi="Century" w:cs="Century"/>
        </w:rPr>
      </w:pPr>
      <w:r>
        <w:rPr>
          <w:rFonts w:ascii="Century" w:hAnsi="Century" w:cs="Miriam"/>
          <w:b/>
          <w:b/>
          <w:spacing w:val="0"/>
          <w:szCs w:val="24"/>
          <w:rtl w:val="true"/>
        </w:rPr>
        <w:t>השלב</w:t>
      </w:r>
      <w:r>
        <w:rPr>
          <w:rFonts w:ascii="Century" w:hAnsi="Century" w:eastAsia="Century" w:cs="Century"/>
          <w:b/>
          <w:b/>
          <w:spacing w:val="0"/>
          <w:szCs w:val="24"/>
          <w:rtl w:val="true"/>
        </w:rPr>
        <w:t xml:space="preserve"> </w:t>
      </w:r>
      <w:r>
        <w:rPr>
          <w:rFonts w:ascii="Century" w:hAnsi="Century" w:cs="Miriam"/>
          <w:b/>
          <w:b/>
          <w:spacing w:val="0"/>
          <w:szCs w:val="24"/>
          <w:rtl w:val="true"/>
        </w:rPr>
        <w:t>הראשון</w:t>
      </w:r>
      <w:r>
        <w:rPr>
          <w:rFonts w:ascii="Century" w:hAnsi="Century" w:eastAsia="Century" w:cs="Century"/>
          <w:b/>
          <w:b/>
          <w:spacing w:val="0"/>
          <w:szCs w:val="24"/>
          <w:rtl w:val="true"/>
        </w:rPr>
        <w:t xml:space="preserve"> </w:t>
      </w:r>
      <w:r>
        <w:rPr>
          <w:rFonts w:cs="Miriam" w:ascii="Century" w:hAnsi="Century"/>
          <w:b/>
          <w:spacing w:val="0"/>
          <w:szCs w:val="24"/>
          <w:rtl w:val="true"/>
        </w:rPr>
        <w:t xml:space="preserve">- </w:t>
      </w:r>
      <w:r>
        <w:rPr>
          <w:rFonts w:ascii="Century" w:hAnsi="Century" w:cs="Miriam"/>
          <w:b/>
          <w:b/>
          <w:spacing w:val="0"/>
          <w:szCs w:val="24"/>
          <w:rtl w:val="true"/>
        </w:rPr>
        <w:t>ריבוי</w:t>
      </w:r>
      <w:r>
        <w:rPr>
          <w:rFonts w:ascii="Century" w:hAnsi="Century" w:eastAsia="Century" w:cs="Century"/>
          <w:b/>
          <w:b/>
          <w:spacing w:val="0"/>
          <w:szCs w:val="24"/>
          <w:rtl w:val="true"/>
        </w:rPr>
        <w:t xml:space="preserve"> </w:t>
      </w:r>
      <w:r>
        <w:rPr>
          <w:rFonts w:ascii="Century" w:hAnsi="Century" w:cs="Miriam"/>
          <w:b/>
          <w:b/>
          <w:spacing w:val="0"/>
          <w:szCs w:val="24"/>
          <w:rtl w:val="true"/>
        </w:rPr>
        <w:t>עבירות</w:t>
      </w:r>
    </w:p>
    <w:p>
      <w:pPr>
        <w:pStyle w:val="Ruller41"/>
        <w:spacing w:lineRule="auto" w:line="240"/>
        <w:ind w:end="0"/>
        <w:jc w:val="both"/>
        <w:rPr>
          <w:rFonts w:ascii="Century" w:hAnsi="Century" w:cs="Century"/>
        </w:rPr>
      </w:pPr>
      <w:r>
        <w:rPr>
          <w:rFonts w:cs="Century" w:ascii="Century" w:hAnsi="Century"/>
          <w:rtl w:val="true"/>
        </w:rPr>
      </w:r>
    </w:p>
    <w:p>
      <w:pPr>
        <w:pStyle w:val="Ruller42"/>
        <w:numPr>
          <w:ilvl w:val="0"/>
          <w:numId w:val="1"/>
        </w:numPr>
        <w:ind w:end="0"/>
        <w:jc w:val="both"/>
        <w:rPr/>
      </w:pPr>
      <w:r>
        <w:rPr>
          <w:rtl w:val="true"/>
        </w:rPr>
        <w:t>בשלב זה קובע בית המשפט את מספר מתחמי הענישה הנדרשים בעבירות שנעברו</w:t>
      </w:r>
      <w:r>
        <w:rPr>
          <w:rtl w:val="true"/>
        </w:rPr>
        <w:t xml:space="preserve">. </w:t>
      </w:r>
      <w:hyperlink r:id="rId92">
        <w:r>
          <w:rPr>
            <w:rStyle w:val="Hyperlink"/>
            <w:color w:val="0000FF"/>
            <w:u w:val="single"/>
            <w:rtl w:val="true"/>
          </w:rPr>
          <w:t>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יג</w:t>
        </w:r>
      </w:hyperlink>
      <w:r>
        <w:rPr>
          <w:rtl w:val="true"/>
        </w:rPr>
        <w:t xml:space="preserve"> ל</w:t>
      </w:r>
      <w:hyperlink r:id="rId93">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r>
        <w:rPr>
          <w:rtl w:val="true"/>
        </w:rPr>
        <w:t>קובע כי אם הרשיע בית המשפט נאשם במספר עבירות</w:t>
      </w:r>
      <w:r>
        <w:rPr>
          <w:rtl w:val="true"/>
        </w:rPr>
        <w:t xml:space="preserve">, </w:t>
      </w:r>
      <w:r>
        <w:rPr>
          <w:rtl w:val="true"/>
        </w:rPr>
        <w:t>עליו לקבוע אם עבירות אלה היוו אירוע אחד או כמה אירועים</w:t>
      </w:r>
      <w:r>
        <w:rPr>
          <w:rtl w:val="true"/>
        </w:rPr>
        <w:t xml:space="preserve">. </w:t>
      </w:r>
      <w:r>
        <w:rPr>
          <w:rtl w:val="true"/>
        </w:rPr>
        <w:t>במידה ומהוות הן אירוע אחד</w:t>
      </w:r>
      <w:r>
        <w:rPr>
          <w:rtl w:val="true"/>
        </w:rPr>
        <w:t xml:space="preserve">, </w:t>
      </w:r>
      <w:r>
        <w:rPr>
          <w:rtl w:val="true"/>
        </w:rPr>
        <w:t>יקבע מתחם ענישה הולם לאירוע כולו</w:t>
      </w:r>
      <w:r>
        <w:rPr>
          <w:rtl w:val="true"/>
        </w:rPr>
        <w:t xml:space="preserve">, </w:t>
      </w:r>
      <w:r>
        <w:rPr>
          <w:rtl w:val="true"/>
        </w:rPr>
        <w:t xml:space="preserve">וייגזר עונש כולל לכל העבירות באותו אירוע </w:t>
      </w:r>
      <w:r>
        <w:rPr>
          <w:rtl w:val="true"/>
        </w:rPr>
        <w:t>(</w:t>
      </w:r>
      <w:hyperlink r:id="rId94">
        <w:r>
          <w:rPr>
            <w:rStyle w:val="Hyperlink"/>
            <w:color w:val="0000FF"/>
            <w:u w:val="single"/>
            <w:rtl w:val="true"/>
          </w:rPr>
          <w:t>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יג</w:t>
        </w:r>
        <w:r>
          <w:rPr>
            <w:rStyle w:val="Hyperlink"/>
            <w:color w:val="0000FF"/>
            <w:u w:val="single"/>
            <w:rtl w:val="true"/>
          </w:rPr>
          <w:t>(</w:t>
        </w:r>
        <w:r>
          <w:rPr>
            <w:rStyle w:val="Hyperlink"/>
            <w:color w:val="0000FF"/>
            <w:u w:val="single"/>
            <w:rtl w:val="true"/>
          </w:rPr>
          <w:t>א</w:t>
        </w:r>
        <w:r>
          <w:rPr>
            <w:rStyle w:val="Hyperlink"/>
            <w:color w:val="0000FF"/>
            <w:u w:val="single"/>
            <w:rtl w:val="true"/>
          </w:rPr>
          <w:t>)).</w:t>
        </w:r>
      </w:hyperlink>
      <w:r>
        <w:rPr>
          <w:rtl w:val="true"/>
        </w:rPr>
        <w:t xml:space="preserve"> </w:t>
      </w:r>
      <w:r>
        <w:rPr>
          <w:rtl w:val="true"/>
        </w:rPr>
        <w:t>אם קבע בית המשפט כי העבירות מהוות כמה אירועים</w:t>
      </w:r>
      <w:r>
        <w:rPr>
          <w:rtl w:val="true"/>
        </w:rPr>
        <w:t xml:space="preserve">, </w:t>
      </w:r>
      <w:r>
        <w:rPr>
          <w:rtl w:val="true"/>
        </w:rPr>
        <w:t>עליו לקבוע מתחם ענישה הולם לכל אירוע בנפרד</w:t>
      </w:r>
      <w:r>
        <w:rPr>
          <w:rtl w:val="true"/>
        </w:rPr>
        <w:t xml:space="preserve">, </w:t>
      </w:r>
      <w:r>
        <w:rPr>
          <w:rtl w:val="true"/>
        </w:rPr>
        <w:t>ולאחר מכן הוא רשאי לגזור עונש נפרד לכל אירוע או עונש כולל לכל האירועים</w:t>
      </w:r>
      <w:r>
        <w:rPr>
          <w:rtl w:val="true"/>
        </w:rPr>
        <w:t xml:space="preserve">. </w:t>
      </w:r>
      <w:r>
        <w:rPr>
          <w:rtl w:val="true"/>
        </w:rPr>
        <w:t>במידה וייגזרו עונשים נפרדים</w:t>
      </w:r>
      <w:r>
        <w:rPr>
          <w:rtl w:val="true"/>
        </w:rPr>
        <w:t xml:space="preserve">, </w:t>
      </w:r>
      <w:r>
        <w:rPr>
          <w:rtl w:val="true"/>
        </w:rPr>
        <w:t xml:space="preserve">יש גם לקבוע את מידת החפיפה או ההצטברות ביניהם </w:t>
      </w:r>
      <w:r>
        <w:rPr>
          <w:rtl w:val="true"/>
        </w:rPr>
        <w:t>(</w:t>
      </w:r>
      <w:hyperlink r:id="rId95">
        <w:r>
          <w:rPr>
            <w:rStyle w:val="Hyperlink"/>
            <w:color w:val="0000FF"/>
            <w:u w:val="single"/>
            <w:rtl w:val="true"/>
          </w:rPr>
          <w:t>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יג</w:t>
        </w:r>
        <w:r>
          <w:rPr>
            <w:rStyle w:val="Hyperlink"/>
            <w:color w:val="0000FF"/>
            <w:u w:val="single"/>
            <w:rtl w:val="true"/>
          </w:rPr>
          <w:t>(</w:t>
        </w:r>
        <w:r>
          <w:rPr>
            <w:rStyle w:val="Hyperlink"/>
            <w:color w:val="0000FF"/>
            <w:u w:val="single"/>
            <w:rtl w:val="true"/>
          </w:rPr>
          <w:t>ב</w:t>
        </w:r>
        <w:r>
          <w:rPr>
            <w:rStyle w:val="Hyperlink"/>
            <w:color w:val="0000FF"/>
            <w:u w:val="single"/>
            <w:rtl w:val="true"/>
          </w:rPr>
          <w:t>)).</w:t>
        </w:r>
      </w:hyperlink>
      <w:r>
        <w:rPr>
          <w:rtl w:val="true"/>
        </w:rPr>
        <w:t xml:space="preserve"> </w:t>
      </w:r>
    </w:p>
    <w:p>
      <w:pPr>
        <w:pStyle w:val="Ruller42"/>
        <w:numPr>
          <w:ilvl w:val="0"/>
          <w:numId w:val="0"/>
        </w:numPr>
        <w:ind w:hanging="0" w:start="0" w:end="0"/>
        <w:jc w:val="both"/>
        <w:rPr/>
      </w:pPr>
      <w:r>
        <w:rPr>
          <w:rtl w:val="true"/>
        </w:rPr>
      </w:r>
    </w:p>
    <w:p>
      <w:pPr>
        <w:pStyle w:val="Ruller42"/>
        <w:numPr>
          <w:ilvl w:val="0"/>
          <w:numId w:val="1"/>
        </w:numPr>
        <w:ind w:end="0"/>
        <w:jc w:val="both"/>
        <w:rPr/>
      </w:pPr>
      <w:r>
        <w:rPr>
          <w:rtl w:val="true"/>
        </w:rPr>
        <w:t>אחת השאלות המרכזיות בהקשר זה</w:t>
      </w:r>
      <w:r>
        <w:rPr>
          <w:rtl w:val="true"/>
        </w:rPr>
        <w:t xml:space="preserve">, </w:t>
      </w:r>
      <w:r>
        <w:rPr>
          <w:rtl w:val="true"/>
        </w:rPr>
        <w:t>היא כיצד יש לקבוע את מתחם הענישה כאשר לפני בית המשפט מספר עבירות המהוות אירוע אחד</w:t>
      </w:r>
      <w:r>
        <w:rPr>
          <w:rtl w:val="true"/>
        </w:rPr>
        <w:t xml:space="preserve">. </w:t>
      </w:r>
      <w:r>
        <w:rPr>
          <w:rtl w:val="true"/>
        </w:rPr>
        <w:t>לטעמי</w:t>
      </w:r>
      <w:r>
        <w:rPr>
          <w:rtl w:val="true"/>
        </w:rPr>
        <w:t xml:space="preserve">, </w:t>
      </w:r>
      <w:r>
        <w:rPr>
          <w:rtl w:val="true"/>
        </w:rPr>
        <w:t>גם בעניין זה</w:t>
      </w:r>
      <w:r>
        <w:rPr>
          <w:rtl w:val="true"/>
        </w:rPr>
        <w:t xml:space="preserve">, </w:t>
      </w:r>
      <w:r>
        <w:rPr>
          <w:rtl w:val="true"/>
        </w:rPr>
        <w:t>הכלל המנחה הוא שמירת ההלימה בין חומרת המעשה וגובה העונש</w:t>
      </w:r>
      <w:r>
        <w:rPr>
          <w:rtl w:val="true"/>
        </w:rPr>
        <w:t xml:space="preserve">, </w:t>
      </w:r>
      <w:r>
        <w:rPr>
          <w:rtl w:val="true"/>
        </w:rPr>
        <w:t>זאת בהתחשבות בערך החברתי שמגלות כל העבירות יחדיו</w:t>
      </w:r>
      <w:r>
        <w:rPr>
          <w:rtl w:val="true"/>
        </w:rPr>
        <w:t xml:space="preserve">; </w:t>
      </w:r>
      <w:r>
        <w:rPr>
          <w:rtl w:val="true"/>
        </w:rPr>
        <w:t>מדיניות הענישה הנוהגת של כל אחת מן העבירות ולבסוף גם הנסיבות של כל העבירות</w:t>
      </w:r>
      <w:r>
        <w:rPr>
          <w:rtl w:val="true"/>
        </w:rPr>
        <w:t xml:space="preserve">. </w:t>
      </w:r>
      <w:r>
        <w:rPr>
          <w:rtl w:val="true"/>
        </w:rPr>
        <w:t>ייתכן ובמקרה אחד</w:t>
      </w:r>
      <w:r>
        <w:rPr>
          <w:rtl w:val="true"/>
        </w:rPr>
        <w:t xml:space="preserve">, </w:t>
      </w:r>
      <w:r>
        <w:rPr>
          <w:rtl w:val="true"/>
        </w:rPr>
        <w:t>עבירה אחת תהיה הדומיננטית</w:t>
      </w:r>
      <w:r>
        <w:rPr>
          <w:rtl w:val="true"/>
        </w:rPr>
        <w:t xml:space="preserve">, </w:t>
      </w:r>
      <w:r>
        <w:rPr>
          <w:rtl w:val="true"/>
        </w:rPr>
        <w:t>והעבירות האחרות יהיו קשורות באותה העבירה</w:t>
      </w:r>
      <w:r>
        <w:rPr>
          <w:rtl w:val="true"/>
        </w:rPr>
        <w:t xml:space="preserve">. </w:t>
      </w:r>
      <w:r>
        <w:rPr>
          <w:rtl w:val="true"/>
        </w:rPr>
        <w:t>במקרה מסוג כזה</w:t>
      </w:r>
      <w:r>
        <w:rPr>
          <w:rtl w:val="true"/>
        </w:rPr>
        <w:t xml:space="preserve">, </w:t>
      </w:r>
      <w:r>
        <w:rPr>
          <w:rtl w:val="true"/>
        </w:rPr>
        <w:t>ייתכן ויהיה ראוי לומר כי מתחם הענישה ההולם את העבירות</w:t>
      </w:r>
      <w:r>
        <w:rPr>
          <w:rtl w:val="true"/>
        </w:rPr>
        <w:t xml:space="preserve">, </w:t>
      </w:r>
      <w:r>
        <w:rPr>
          <w:rtl w:val="true"/>
        </w:rPr>
        <w:t>מבוסס בעיקרו על העבירה הדומיננטית</w:t>
      </w:r>
      <w:r>
        <w:rPr>
          <w:rtl w:val="true"/>
        </w:rPr>
        <w:t xml:space="preserve">. </w:t>
      </w:r>
      <w:r>
        <w:rPr>
          <w:rtl w:val="true"/>
        </w:rPr>
        <w:t>אך כאמור</w:t>
      </w:r>
      <w:r>
        <w:rPr>
          <w:rtl w:val="true"/>
        </w:rPr>
        <w:t xml:space="preserve">, </w:t>
      </w:r>
      <w:r>
        <w:rPr>
          <w:rtl w:val="true"/>
        </w:rPr>
        <w:t>אין תשובה אחת ויחידה לעניין זה</w:t>
      </w:r>
      <w:r>
        <w:rPr>
          <w:rtl w:val="true"/>
        </w:rPr>
        <w:t xml:space="preserve">, </w:t>
      </w:r>
      <w:r>
        <w:rPr>
          <w:rtl w:val="true"/>
        </w:rPr>
        <w:t xml:space="preserve">וכל מקרה ידרוש הנמקה יסודית </w:t>
      </w:r>
      <w:r>
        <w:rPr>
          <w:rtl w:val="true"/>
        </w:rPr>
        <w:t>(</w:t>
      </w:r>
      <w:r>
        <w:rPr>
          <w:rtl w:val="true"/>
        </w:rPr>
        <w:t xml:space="preserve">וראו </w:t>
      </w:r>
      <w:hyperlink r:id="rId96">
        <w:r>
          <w:rPr>
            <w:rStyle w:val="Hyperlink"/>
            <w:color w:val="0000FF"/>
            <w:u w:val="single"/>
            <w:rtl w:val="true"/>
          </w:rPr>
          <w:t>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יד</w:t>
        </w:r>
        <w:r>
          <w:rPr>
            <w:rStyle w:val="Hyperlink"/>
            <w:color w:val="0000FF"/>
            <w:u w:val="single"/>
            <w:rtl w:val="true"/>
          </w:rPr>
          <w:t>(</w:t>
        </w:r>
        <w:r>
          <w:rPr>
            <w:rStyle w:val="Hyperlink"/>
            <w:color w:val="0000FF"/>
            <w:u w:val="single"/>
          </w:rPr>
          <w:t>1</w:t>
        </w:r>
        <w:r>
          <w:rPr>
            <w:rStyle w:val="Hyperlink"/>
            <w:color w:val="0000FF"/>
            <w:u w:val="single"/>
            <w:rtl w:val="true"/>
          </w:rPr>
          <w:t>)).</w:t>
        </w:r>
      </w:hyperlink>
      <w:r>
        <w:rPr>
          <w:rtl w:val="true"/>
        </w:rPr>
        <w:t xml:space="preserve"> </w:t>
      </w:r>
    </w:p>
    <w:p>
      <w:pPr>
        <w:pStyle w:val="Ruller41"/>
        <w:ind w:end="0"/>
        <w:jc w:val="both"/>
        <w:rPr>
          <w:rFonts w:ascii="Century" w:hAnsi="Century" w:cs="Miriam"/>
          <w:b/>
          <w:spacing w:val="0"/>
          <w:szCs w:val="24"/>
        </w:rPr>
      </w:pPr>
      <w:r>
        <w:rPr>
          <w:rFonts w:cs="Miriam" w:ascii="Century" w:hAnsi="Century"/>
          <w:b/>
          <w:spacing w:val="0"/>
          <w:szCs w:val="24"/>
          <w:rtl w:val="true"/>
        </w:rPr>
      </w:r>
    </w:p>
    <w:p>
      <w:pPr>
        <w:pStyle w:val="Ruller41"/>
        <w:ind w:end="0"/>
        <w:jc w:val="both"/>
        <w:rPr>
          <w:rFonts w:ascii="Century" w:hAnsi="Century"/>
          <w:b/>
          <w:spacing w:val="0"/>
          <w:szCs w:val="24"/>
        </w:rPr>
      </w:pPr>
      <w:r>
        <w:rPr>
          <w:rFonts w:ascii="Century" w:hAnsi="Century" w:cs="Miriam"/>
          <w:b/>
          <w:b/>
          <w:spacing w:val="0"/>
          <w:szCs w:val="24"/>
          <w:rtl w:val="true"/>
        </w:rPr>
        <w:t>השלב</w:t>
      </w:r>
      <w:r>
        <w:rPr>
          <w:rFonts w:ascii="Century" w:hAnsi="Century" w:eastAsia="Century" w:cs="Century"/>
          <w:b/>
          <w:b/>
          <w:spacing w:val="0"/>
          <w:szCs w:val="24"/>
          <w:rtl w:val="true"/>
        </w:rPr>
        <w:t xml:space="preserve"> </w:t>
      </w:r>
      <w:r>
        <w:rPr>
          <w:rFonts w:ascii="Century" w:hAnsi="Century" w:cs="Miriam"/>
          <w:b/>
          <w:b/>
          <w:spacing w:val="0"/>
          <w:szCs w:val="24"/>
          <w:rtl w:val="true"/>
        </w:rPr>
        <w:t>השני</w:t>
      </w:r>
      <w:r>
        <w:rPr>
          <w:rFonts w:ascii="Century" w:hAnsi="Century" w:eastAsia="Century" w:cs="Century"/>
          <w:b/>
          <w:b/>
          <w:spacing w:val="0"/>
          <w:szCs w:val="24"/>
          <w:rtl w:val="true"/>
        </w:rPr>
        <w:t xml:space="preserve"> </w:t>
      </w:r>
      <w:r>
        <w:rPr>
          <w:rFonts w:ascii="Century" w:hAnsi="Century" w:cs="Miriam"/>
          <w:b/>
          <w:b/>
          <w:spacing w:val="0"/>
          <w:szCs w:val="24"/>
          <w:rtl w:val="true"/>
        </w:rPr>
        <w:t>–</w:t>
      </w:r>
      <w:r>
        <w:rPr>
          <w:rFonts w:ascii="Century" w:hAnsi="Century" w:eastAsia="Century" w:cs="Century"/>
          <w:b/>
          <w:b/>
          <w:spacing w:val="0"/>
          <w:szCs w:val="24"/>
          <w:rtl w:val="true"/>
        </w:rPr>
        <w:t xml:space="preserve"> </w:t>
      </w:r>
      <w:r>
        <w:rPr>
          <w:rFonts w:ascii="Century" w:hAnsi="Century" w:cs="Miriam"/>
          <w:b/>
          <w:b/>
          <w:spacing w:val="0"/>
          <w:szCs w:val="24"/>
          <w:rtl w:val="true"/>
        </w:rPr>
        <w:t>קביעת</w:t>
      </w:r>
      <w:r>
        <w:rPr>
          <w:rFonts w:ascii="Century" w:hAnsi="Century" w:eastAsia="Century" w:cs="Century"/>
          <w:b/>
          <w:b/>
          <w:spacing w:val="0"/>
          <w:szCs w:val="24"/>
          <w:rtl w:val="true"/>
        </w:rPr>
        <w:t xml:space="preserve"> </w:t>
      </w:r>
      <w:r>
        <w:rPr>
          <w:rFonts w:ascii="Century" w:hAnsi="Century" w:cs="Miriam"/>
          <w:b/>
          <w:b/>
          <w:spacing w:val="0"/>
          <w:szCs w:val="24"/>
          <w:rtl w:val="true"/>
        </w:rPr>
        <w:t>מתחם</w:t>
      </w:r>
      <w:r>
        <w:rPr>
          <w:rFonts w:ascii="Century" w:hAnsi="Century" w:eastAsia="Century" w:cs="Century"/>
          <w:b/>
          <w:b/>
          <w:spacing w:val="0"/>
          <w:szCs w:val="24"/>
          <w:rtl w:val="true"/>
        </w:rPr>
        <w:t xml:space="preserve"> </w:t>
      </w:r>
      <w:r>
        <w:rPr>
          <w:rFonts w:ascii="Century" w:hAnsi="Century" w:cs="Miriam"/>
          <w:b/>
          <w:b/>
          <w:spacing w:val="0"/>
          <w:szCs w:val="24"/>
          <w:rtl w:val="true"/>
        </w:rPr>
        <w:t>ענישה</w:t>
      </w:r>
      <w:r>
        <w:rPr>
          <w:rFonts w:ascii="Century" w:hAnsi="Century" w:eastAsia="Century" w:cs="Century"/>
          <w:b/>
          <w:b/>
          <w:spacing w:val="0"/>
          <w:szCs w:val="24"/>
          <w:rtl w:val="true"/>
        </w:rPr>
        <w:t xml:space="preserve"> </w:t>
      </w:r>
      <w:r>
        <w:rPr>
          <w:rFonts w:ascii="Century" w:hAnsi="Century" w:cs="Miriam"/>
          <w:b/>
          <w:b/>
          <w:spacing w:val="0"/>
          <w:szCs w:val="24"/>
          <w:rtl w:val="true"/>
        </w:rPr>
        <w:t>הולם</w:t>
      </w:r>
    </w:p>
    <w:p>
      <w:pPr>
        <w:pStyle w:val="Ruller42"/>
        <w:numPr>
          <w:ilvl w:val="0"/>
          <w:numId w:val="0"/>
        </w:numPr>
        <w:spacing w:lineRule="auto" w:line="240"/>
        <w:ind w:hanging="0" w:start="0" w:end="0"/>
        <w:jc w:val="both"/>
        <w:rPr>
          <w:rFonts w:ascii="Century" w:hAnsi="Century" w:cs="Miriam"/>
          <w:b/>
          <w:spacing w:val="0"/>
          <w:szCs w:val="24"/>
        </w:rPr>
      </w:pPr>
      <w:r>
        <w:rPr>
          <w:rFonts w:cs="Miriam" w:ascii="Century" w:hAnsi="Century"/>
          <w:b/>
          <w:spacing w:val="0"/>
          <w:szCs w:val="24"/>
          <w:rtl w:val="true"/>
        </w:rPr>
      </w:r>
    </w:p>
    <w:p>
      <w:pPr>
        <w:pStyle w:val="Ruller42"/>
        <w:numPr>
          <w:ilvl w:val="0"/>
          <w:numId w:val="1"/>
        </w:numPr>
        <w:ind w:end="0"/>
        <w:jc w:val="both"/>
        <w:rPr/>
      </w:pPr>
      <w:r>
        <w:rPr>
          <w:rtl w:val="true"/>
        </w:rPr>
        <w:t xml:space="preserve">קביעת מתחם הענישה ההולם נעשית באמצעות ההוראה המצויה </w:t>
      </w:r>
      <w:hyperlink r:id="rId97">
        <w:r>
          <w:rPr>
            <w:rStyle w:val="Hyperlink"/>
            <w:color w:val="0000FF"/>
            <w:u w:val="single"/>
            <w:rtl w:val="true"/>
          </w:rPr>
          <w:t>בסעיף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ג</w:t>
        </w:r>
        <w:r>
          <w:rPr>
            <w:rStyle w:val="Hyperlink"/>
            <w:color w:val="0000FF"/>
            <w:u w:val="single"/>
            <w:rtl w:val="true"/>
          </w:rPr>
          <w:t>(</w:t>
        </w:r>
        <w:r>
          <w:rPr>
            <w:rStyle w:val="Hyperlink"/>
            <w:color w:val="0000FF"/>
            <w:u w:val="single"/>
            <w:rtl w:val="true"/>
          </w:rPr>
          <w:t>א</w:t>
        </w:r>
        <w:r>
          <w:rPr>
            <w:rStyle w:val="Hyperlink"/>
            <w:color w:val="0000FF"/>
            <w:u w:val="single"/>
            <w:rtl w:val="true"/>
          </w:rPr>
          <w:t>)</w:t>
        </w:r>
      </w:hyperlink>
      <w:r>
        <w:rPr>
          <w:rtl w:val="true"/>
        </w:rPr>
        <w:t xml:space="preserve"> </w:t>
      </w:r>
      <w:r>
        <w:rPr>
          <w:rtl w:val="true"/>
        </w:rPr>
        <w:t>ל</w:t>
      </w:r>
      <w:hyperlink r:id="rId98">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ובהתאם לעיקרון ההלימות בין חומרת מעשה העבירה בנסיבותיו ובין העונש המוטל על הנאשם</w:t>
      </w:r>
      <w:r>
        <w:rPr>
          <w:rtl w:val="true"/>
        </w:rPr>
        <w:t xml:space="preserve">. </w:t>
      </w:r>
      <w:r>
        <w:rPr>
          <w:rtl w:val="true"/>
        </w:rPr>
        <w:t>למטרת יישומו של עיקרון זה בית המשפט יתחשב בערך החברתי הנפגע בביצוע העבירה ובמידת הפגיעה בו</w:t>
      </w:r>
      <w:r>
        <w:rPr>
          <w:rtl w:val="true"/>
        </w:rPr>
        <w:t xml:space="preserve">; </w:t>
      </w:r>
      <w:r>
        <w:rPr>
          <w:rtl w:val="true"/>
        </w:rPr>
        <w:t>במדיניות הענישה הנהוגה</w:t>
      </w:r>
      <w:r>
        <w:rPr>
          <w:rtl w:val="true"/>
        </w:rPr>
        <w:t xml:space="preserve">; </w:t>
      </w:r>
      <w:r>
        <w:rPr>
          <w:rtl w:val="true"/>
        </w:rPr>
        <w:t xml:space="preserve">וכן בנסיבות הקשורות בביצוע העבירה המפורטות </w:t>
      </w:r>
      <w:hyperlink r:id="rId99">
        <w:r>
          <w:rPr>
            <w:rStyle w:val="Hyperlink"/>
            <w:color w:val="0000FF"/>
            <w:u w:val="single"/>
            <w:rtl w:val="true"/>
          </w:rPr>
          <w:t>בסעיף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ט</w:t>
        </w:r>
      </w:hyperlink>
      <w:r>
        <w:rPr>
          <w:rtl w:val="true"/>
        </w:rPr>
        <w:t xml:space="preserve"> ל</w:t>
      </w:r>
      <w:hyperlink r:id="rId100">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p>
    <w:p>
      <w:pPr>
        <w:pStyle w:val="Ruller41"/>
        <w:spacing w:lineRule="auto" w:line="240"/>
        <w:ind w:end="0"/>
        <w:jc w:val="both"/>
        <w:rPr/>
      </w:pPr>
      <w:r>
        <w:rPr>
          <w:rtl w:val="true"/>
        </w:rPr>
      </w:r>
    </w:p>
    <w:p>
      <w:pPr>
        <w:pStyle w:val="Ruller42"/>
        <w:numPr>
          <w:ilvl w:val="0"/>
          <w:numId w:val="1"/>
        </w:numPr>
        <w:ind w:end="0"/>
        <w:jc w:val="both"/>
        <w:rPr>
          <w:rFonts w:ascii="Century" w:hAnsi="Century" w:cs="Century"/>
          <w:sz w:val="22"/>
        </w:rPr>
      </w:pPr>
      <w:r>
        <w:rPr>
          <w:rtl w:val="true"/>
        </w:rPr>
        <w:t>היות שבקביעת מתחם הענישה על בית המשפט להתחשב לא רק בסוג העבירה</w:t>
      </w:r>
      <w:r>
        <w:rPr>
          <w:rtl w:val="true"/>
        </w:rPr>
        <w:t xml:space="preserve">, </w:t>
      </w:r>
      <w:r>
        <w:rPr>
          <w:rtl w:val="true"/>
        </w:rPr>
        <w:t>אלא גם בנסיבות ביצועה ובמידת האשם של הנאשם בביצועה</w:t>
      </w:r>
      <w:r>
        <w:rPr>
          <w:rtl w:val="true"/>
        </w:rPr>
        <w:t xml:space="preserve">, </w:t>
      </w:r>
      <w:r>
        <w:rPr>
          <w:rtl w:val="true"/>
        </w:rPr>
        <w:t>סביר כי לאותה עבירה יהיו כמה מתחמי ענישה שונים</w:t>
      </w:r>
      <w:r>
        <w:rPr>
          <w:rtl w:val="true"/>
        </w:rPr>
        <w:t xml:space="preserve">, </w:t>
      </w:r>
      <w:r>
        <w:rPr>
          <w:rtl w:val="true"/>
        </w:rPr>
        <w:t>הנגזרים כל אחד מנסיבות שונות</w:t>
      </w:r>
      <w:r>
        <w:rPr>
          <w:rtl w:val="true"/>
        </w:rPr>
        <w:t xml:space="preserve">. </w:t>
      </w:r>
      <w:r>
        <w:rPr>
          <w:rtl w:val="true"/>
        </w:rPr>
        <w:t>בפרשה קודמת הבעתי דעתי כי אין להמציא הגלגל מחדש בכל מקרה ומקרה בו אנו נדרשים לקביעת מתחם עונש הולם</w:t>
      </w:r>
      <w:r>
        <w:rPr>
          <w:rtl w:val="true"/>
        </w:rPr>
        <w:t xml:space="preserve">, </w:t>
      </w:r>
      <w:r>
        <w:rPr>
          <w:rtl w:val="true"/>
        </w:rPr>
        <w:t>שהרי בכך נרוקן מתוכן את התיקון לחוק</w:t>
      </w:r>
      <w:r>
        <w:rPr>
          <w:rtl w:val="true"/>
        </w:rPr>
        <w:t xml:space="preserve">, </w:t>
      </w:r>
      <w:r>
        <w:rPr>
          <w:rtl w:val="true"/>
        </w:rPr>
        <w:t xml:space="preserve">ובמידה רבה אף נסכל את מטרת </w:t>
      </w:r>
      <w:r>
        <w:rPr>
          <w:rtl w:val="true"/>
        </w:rPr>
        <w:t>"</w:t>
      </w:r>
      <w:r>
        <w:rPr>
          <w:rtl w:val="true"/>
        </w:rPr>
        <w:t>הבניית שיקול הדעת</w:t>
      </w:r>
      <w:r>
        <w:rPr>
          <w:rtl w:val="true"/>
        </w:rPr>
        <w:t xml:space="preserve">" </w:t>
      </w:r>
      <w:r>
        <w:rPr>
          <w:rtl w:val="true"/>
        </w:rPr>
        <w:t xml:space="preserve">שהתיקון כיוון אליה </w:t>
      </w:r>
      <w:r>
        <w:rPr>
          <w:rtl w:val="true"/>
        </w:rPr>
        <w:t>(</w:t>
      </w:r>
      <w:r>
        <w:rPr>
          <w:rtl w:val="true"/>
        </w:rPr>
        <w:t>ככותרתו</w:t>
      </w:r>
      <w:r>
        <w:rPr>
          <w:rtl w:val="true"/>
        </w:rPr>
        <w:t xml:space="preserve">). </w:t>
      </w:r>
      <w:r>
        <w:rPr>
          <w:rtl w:val="true"/>
        </w:rPr>
        <w:t>עם זאת</w:t>
      </w:r>
      <w:r>
        <w:rPr>
          <w:rtl w:val="true"/>
        </w:rPr>
        <w:t xml:space="preserve">, </w:t>
      </w:r>
      <w:r>
        <w:rPr>
          <w:rtl w:val="true"/>
        </w:rPr>
        <w:t xml:space="preserve">הוספתי </w:t>
      </w:r>
      <w:r>
        <w:rPr>
          <w:rFonts w:ascii="Century" w:hAnsi="Century" w:cs="Century"/>
          <w:sz w:val="22"/>
          <w:sz w:val="22"/>
          <w:rtl w:val="true"/>
        </w:rPr>
        <w:t>כי לא ראוי לקבוע מתחם ענישה כללי ורחב לעבירה אשר לה ייתכנו נסיבות שונות ורבות ברמות חומרה משתנות</w:t>
      </w:r>
      <w:r>
        <w:rPr>
          <w:rtl w:val="true"/>
        </w:rPr>
        <w:t xml:space="preserve"> </w:t>
      </w:r>
      <w:r>
        <w:rPr>
          <w:rtl w:val="true"/>
        </w:rPr>
        <w:t>(</w:t>
      </w:r>
      <w:r>
        <w:rPr>
          <w:rtl w:val="true"/>
        </w:rPr>
        <w:t>ראו</w:t>
      </w:r>
      <w:r>
        <w:rPr>
          <w:rtl w:val="true"/>
        </w:rPr>
        <w:t xml:space="preserve">: </w:t>
      </w:r>
      <w:hyperlink r:id="rId101">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7655/12</w:t>
        </w:r>
      </w:hyperlink>
      <w:r>
        <w:rPr>
          <w:rtl w:val="true"/>
        </w:rPr>
        <w:t xml:space="preserve"> </w:t>
      </w:r>
      <w:r>
        <w:rPr>
          <w:rFonts w:ascii="Century" w:hAnsi="Century" w:cs="Miriam"/>
          <w:b/>
          <w:b/>
          <w:spacing w:val="0"/>
          <w:sz w:val="22"/>
          <w:sz w:val="22"/>
          <w:szCs w:val="24"/>
          <w:rtl w:val="true"/>
        </w:rPr>
        <w:t>פייסל</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cs="Century" w:ascii="Century" w:hAnsi="Century"/>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ascii="Century" w:hAnsi="Century" w:cs="Century"/>
          <w:sz w:val="22"/>
          <w:sz w:val="22"/>
          <w:rtl w:val="true"/>
        </w:rPr>
        <w:t xml:space="preserve">פסקה </w:t>
      </w:r>
      <w:r>
        <w:rPr>
          <w:rFonts w:cs="Century" w:ascii="Century" w:hAnsi="Century"/>
          <w:sz w:val="22"/>
        </w:rPr>
        <w:t>7</w:t>
      </w:r>
      <w:r>
        <w:rPr>
          <w:rFonts w:cs="Century" w:ascii="Century" w:hAnsi="Century"/>
          <w:sz w:val="22"/>
          <w:rtl w:val="true"/>
        </w:rPr>
        <w:t xml:space="preserve"> </w:t>
      </w:r>
      <w:r>
        <w:rPr>
          <w:rFonts w:ascii="Century" w:hAnsi="Century" w:cs="Century"/>
          <w:sz w:val="22"/>
          <w:sz w:val="22"/>
          <w:rtl w:val="true"/>
        </w:rPr>
        <w:t xml:space="preserve">לפסק דיני </w:t>
      </w:r>
      <w:r>
        <w:rPr>
          <w:rFonts w:cs="Century" w:ascii="Century" w:hAnsi="Century"/>
          <w:sz w:val="22"/>
          <w:rtl w:val="true"/>
        </w:rPr>
        <w:t>(</w:t>
      </w:r>
      <w:r>
        <w:rPr>
          <w:rFonts w:cs="Century" w:ascii="Century" w:hAnsi="Century"/>
          <w:sz w:val="22"/>
        </w:rPr>
        <w:t>4.4.2013</w:t>
      </w:r>
      <w:r>
        <w:rPr>
          <w:rFonts w:cs="Century" w:ascii="Century" w:hAnsi="Century"/>
          <w:sz w:val="22"/>
          <w:rtl w:val="true"/>
        </w:rPr>
        <w:t>) (</w:t>
      </w:r>
      <w:r>
        <w:rPr>
          <w:rFonts w:ascii="Century" w:hAnsi="Century" w:cs="Century"/>
          <w:sz w:val="22"/>
          <w:sz w:val="22"/>
          <w:rtl w:val="true"/>
        </w:rPr>
        <w:t>להלן</w:t>
      </w:r>
      <w:r>
        <w:rPr>
          <w:rFonts w:cs="Century" w:ascii="Century" w:hAnsi="Century"/>
          <w:sz w:val="22"/>
          <w:rtl w:val="true"/>
        </w:rPr>
        <w:t xml:space="preserve">: </w:t>
      </w:r>
      <w:r>
        <w:rPr>
          <w:rFonts w:ascii="Century" w:hAnsi="Century" w:cs="Century"/>
          <w:sz w:val="22"/>
          <w:sz w:val="22"/>
          <w:rtl w:val="true"/>
        </w:rPr>
        <w:t xml:space="preserve">עניין </w:t>
      </w:r>
      <w:r>
        <w:rPr>
          <w:rFonts w:ascii="Century" w:hAnsi="Century" w:cs="Miriam"/>
          <w:b/>
          <w:b/>
          <w:spacing w:val="0"/>
          <w:sz w:val="22"/>
          <w:sz w:val="22"/>
          <w:szCs w:val="24"/>
          <w:rtl w:val="true"/>
        </w:rPr>
        <w:t>פייסל</w:t>
      </w:r>
      <w:r>
        <w:rPr>
          <w:rFonts w:cs="Century" w:ascii="Century" w:hAnsi="Century"/>
          <w:sz w:val="22"/>
          <w:rtl w:val="true"/>
        </w:rPr>
        <w:t xml:space="preserve">); </w:t>
      </w:r>
      <w:r>
        <w:rPr>
          <w:rFonts w:ascii="Century" w:hAnsi="Century" w:cs="Century"/>
          <w:sz w:val="22"/>
          <w:sz w:val="22"/>
          <w:rtl w:val="true"/>
        </w:rPr>
        <w:t>וראו גם</w:t>
      </w:r>
      <w:r>
        <w:rPr>
          <w:rFonts w:cs="Century" w:ascii="Century" w:hAnsi="Century"/>
          <w:sz w:val="22"/>
          <w:rtl w:val="true"/>
        </w:rPr>
        <w:t xml:space="preserve">: </w:t>
      </w:r>
      <w:hyperlink r:id="rId102">
        <w:r>
          <w:rPr>
            <w:rStyle w:val="Hyperlink"/>
            <w:rFonts w:ascii="Century" w:hAnsi="Century" w:cs="Century"/>
            <w:color w:val="0000FF"/>
            <w:sz w:val="22"/>
            <w:sz w:val="22"/>
            <w:u w:val="single"/>
            <w:rtl w:val="true"/>
          </w:rPr>
          <w:t>רע</w:t>
        </w:r>
        <w:r>
          <w:rPr>
            <w:rStyle w:val="Hyperlink"/>
            <w:rFonts w:cs="Century" w:ascii="Century" w:hAnsi="Century"/>
            <w:color w:val="0000FF"/>
            <w:sz w:val="22"/>
            <w:u w:val="single"/>
            <w:rtl w:val="true"/>
          </w:rPr>
          <w:t>"</w:t>
        </w:r>
        <w:r>
          <w:rPr>
            <w:rStyle w:val="Hyperlink"/>
            <w:rFonts w:ascii="Century" w:hAnsi="Century" w:cs="Century"/>
            <w:color w:val="0000FF"/>
            <w:sz w:val="22"/>
            <w:sz w:val="22"/>
            <w:u w:val="single"/>
            <w:rtl w:val="true"/>
          </w:rPr>
          <w:t>פ</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4088/13</w:t>
        </w:r>
      </w:hyperlink>
      <w:r>
        <w:rPr>
          <w:rFonts w:cs="Century" w:ascii="Century" w:hAnsi="Century"/>
          <w:sz w:val="22"/>
          <w:rtl w:val="true"/>
        </w:rPr>
        <w:t xml:space="preserve"> </w:t>
      </w:r>
      <w:r>
        <w:rPr>
          <w:rFonts w:ascii="Century" w:hAnsi="Century" w:cs="Miriam"/>
          <w:b/>
          <w:b/>
          <w:spacing w:val="0"/>
          <w:sz w:val="22"/>
          <w:sz w:val="22"/>
          <w:szCs w:val="24"/>
          <w:rtl w:val="true"/>
        </w:rPr>
        <w:t>הדרי</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cs="Century" w:ascii="Century" w:hAnsi="Century"/>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ascii="Century" w:hAnsi="Century" w:cs="Century"/>
          <w:sz w:val="22"/>
          <w:sz w:val="22"/>
          <w:rtl w:val="true"/>
        </w:rPr>
        <w:t xml:space="preserve">פסקה </w:t>
      </w:r>
      <w:r>
        <w:rPr>
          <w:rFonts w:cs="Century" w:ascii="Century" w:hAnsi="Century"/>
          <w:sz w:val="22"/>
        </w:rPr>
        <w:t>6</w:t>
      </w:r>
      <w:r>
        <w:rPr>
          <w:rFonts w:cs="Century" w:ascii="Century" w:hAnsi="Century"/>
          <w:sz w:val="22"/>
          <w:rtl w:val="true"/>
        </w:rPr>
        <w:t xml:space="preserve"> </w:t>
      </w:r>
      <w:r>
        <w:rPr>
          <w:rFonts w:ascii="Century" w:hAnsi="Century" w:cs="Century"/>
          <w:sz w:val="22"/>
          <w:sz w:val="22"/>
          <w:rtl w:val="true"/>
        </w:rPr>
        <w:t xml:space="preserve">להחלטתו של השופט </w:t>
      </w:r>
      <w:r>
        <w:rPr>
          <w:rFonts w:ascii="Century" w:hAnsi="Century" w:cs="Miriam"/>
          <w:b/>
          <w:b/>
          <w:spacing w:val="0"/>
          <w:sz w:val="22"/>
          <w:sz w:val="22"/>
          <w:szCs w:val="24"/>
          <w:rtl w:val="true"/>
        </w:rPr>
        <w:t>א</w:t>
      </w:r>
      <w:r>
        <w:rPr>
          <w:rFonts w:cs="Miriam" w:ascii="Century" w:hAnsi="Century"/>
          <w:b/>
          <w:spacing w:val="0"/>
          <w:sz w:val="22"/>
          <w:szCs w:val="24"/>
          <w:rtl w:val="true"/>
        </w:rPr>
        <w:t xml:space="preserve">' </w:t>
      </w:r>
      <w:r>
        <w:rPr>
          <w:rFonts w:ascii="Century" w:hAnsi="Century" w:cs="Miriam"/>
          <w:b/>
          <w:b/>
          <w:spacing w:val="0"/>
          <w:sz w:val="22"/>
          <w:sz w:val="22"/>
          <w:szCs w:val="24"/>
          <w:rtl w:val="true"/>
        </w:rPr>
        <w:t>שהם</w:t>
      </w:r>
      <w:r>
        <w:rPr>
          <w:rFonts w:ascii="Century" w:hAnsi="Century" w:cs="Century"/>
          <w:sz w:val="22"/>
          <w:sz w:val="22"/>
          <w:rtl w:val="true"/>
        </w:rPr>
        <w:t xml:space="preserve"> </w:t>
      </w:r>
      <w:r>
        <w:rPr>
          <w:rFonts w:cs="Century" w:ascii="Century" w:hAnsi="Century"/>
          <w:sz w:val="22"/>
          <w:rtl w:val="true"/>
        </w:rPr>
        <w:t>(</w:t>
      </w:r>
      <w:r>
        <w:rPr>
          <w:rFonts w:cs="Century" w:ascii="Century" w:hAnsi="Century"/>
          <w:sz w:val="22"/>
        </w:rPr>
        <w:t>11.6.2013</w:t>
      </w:r>
      <w:r>
        <w:rPr>
          <w:rFonts w:cs="Century" w:ascii="Century" w:hAnsi="Century"/>
          <w:sz w:val="22"/>
          <w:rtl w:val="true"/>
        </w:rPr>
        <w:t xml:space="preserve">); </w:t>
      </w:r>
      <w:r>
        <w:rPr>
          <w:rtl w:val="true"/>
        </w:rPr>
        <w:t xml:space="preserve">אורן </w:t>
      </w:r>
      <w:hyperlink r:id="rId103">
        <w:r>
          <w:rPr>
            <w:rStyle w:val="Hyperlink"/>
            <w:color w:val="0000FF"/>
            <w:u w:val="single"/>
            <w:rtl w:val="true"/>
          </w:rPr>
          <w:t>גזל</w:t>
        </w:r>
        <w:r>
          <w:rPr>
            <w:rStyle w:val="Hyperlink"/>
            <w:color w:val="0000FF"/>
            <w:u w:val="single"/>
            <w:rtl w:val="true"/>
          </w:rPr>
          <w:t>-</w:t>
        </w:r>
        <w:r>
          <w:rPr>
            <w:rStyle w:val="Hyperlink"/>
            <w:color w:val="0000FF"/>
            <w:u w:val="single"/>
            <w:rtl w:val="true"/>
          </w:rPr>
          <w:t>אייל</w:t>
        </w:r>
        <w:r>
          <w:rPr>
            <w:rStyle w:val="Hyperlink"/>
            <w:color w:val="0000FF"/>
            <w:u w:val="single"/>
            <w:rtl w:val="true"/>
          </w:rPr>
          <w:t xml:space="preserve"> </w:t>
        </w:r>
        <w:r>
          <w:rPr>
            <w:rStyle w:val="Hyperlink"/>
            <w:color w:val="0000FF"/>
            <w:u w:val="single"/>
            <w:rtl w:val="true"/>
          </w:rPr>
          <w:t>"</w:t>
        </w:r>
        <w:r>
          <w:rPr>
            <w:rStyle w:val="Hyperlink"/>
            <w:color w:val="0000FF"/>
            <w:u w:val="single"/>
            <w:rtl w:val="true"/>
          </w:rPr>
          <w:t>מתחמים</w:t>
        </w:r>
        <w:r>
          <w:rPr>
            <w:rStyle w:val="Hyperlink"/>
            <w:color w:val="0000FF"/>
            <w:u w:val="single"/>
            <w:rtl w:val="true"/>
          </w:rPr>
          <w:t xml:space="preserve"> </w:t>
        </w:r>
        <w:r>
          <w:rPr>
            <w:rStyle w:val="Hyperlink"/>
            <w:color w:val="0000FF"/>
            <w:u w:val="single"/>
            <w:rtl w:val="true"/>
          </w:rPr>
          <w:t>לא</w:t>
        </w:r>
        <w:r>
          <w:rPr>
            <w:rStyle w:val="Hyperlink"/>
            <w:color w:val="0000FF"/>
            <w:u w:val="single"/>
            <w:rtl w:val="true"/>
          </w:rPr>
          <w:t xml:space="preserve"> </w:t>
        </w:r>
        <w:r>
          <w:rPr>
            <w:rStyle w:val="Hyperlink"/>
            <w:color w:val="0000FF"/>
            <w:u w:val="single"/>
            <w:rtl w:val="true"/>
          </w:rPr>
          <w:t>הולמים</w:t>
        </w:r>
        <w:r>
          <w:rPr>
            <w:rStyle w:val="Hyperlink"/>
            <w:color w:val="0000FF"/>
            <w:u w:val="single"/>
            <w:rtl w:val="true"/>
          </w:rPr>
          <w:t xml:space="preserve">: </w:t>
        </w:r>
        <w:r>
          <w:rPr>
            <w:rStyle w:val="Hyperlink"/>
            <w:color w:val="0000FF"/>
            <w:u w:val="single"/>
            <w:rtl w:val="true"/>
          </w:rPr>
          <w:t>על</w:t>
        </w:r>
        <w:r>
          <w:rPr>
            <w:rStyle w:val="Hyperlink"/>
            <w:color w:val="0000FF"/>
            <w:u w:val="single"/>
            <w:rtl w:val="true"/>
          </w:rPr>
          <w:t xml:space="preserve"> </w:t>
        </w:r>
      </w:hyperlink>
      <w:r>
        <w:rPr>
          <w:rtl w:val="true"/>
        </w:rPr>
        <w:t xml:space="preserve"> עקרון ההלימה בקביעת מתחם העונש ההולם</w:t>
      </w:r>
      <w:r>
        <w:rPr>
          <w:rtl w:val="true"/>
        </w:rPr>
        <w:t xml:space="preserve">" </w:t>
      </w:r>
      <w:r>
        <w:rPr>
          <w:rFonts w:ascii="Century" w:hAnsi="Century" w:cs="Miriam"/>
          <w:b/>
          <w:b/>
          <w:spacing w:val="0"/>
          <w:sz w:val="22"/>
          <w:sz w:val="22"/>
          <w:szCs w:val="24"/>
          <w:rtl w:val="true"/>
        </w:rPr>
        <w:t>משפטים</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על</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אתר</w:t>
      </w:r>
      <w:r>
        <w:rPr>
          <w:rFonts w:ascii="Century" w:hAnsi="Century" w:eastAsia="Century" w:cs="Century"/>
          <w:b/>
          <w:b/>
          <w:spacing w:val="0"/>
          <w:sz w:val="22"/>
          <w:sz w:val="22"/>
          <w:szCs w:val="24"/>
          <w:rtl w:val="true"/>
        </w:rPr>
        <w:t xml:space="preserve"> </w:t>
      </w:r>
      <w:r>
        <w:rPr>
          <w:rFonts w:ascii="Century" w:hAnsi="Century" w:cs="Century"/>
          <w:sz w:val="22"/>
          <w:sz w:val="22"/>
          <w:rtl w:val="true"/>
        </w:rPr>
        <w:t xml:space="preserve">ו </w:t>
      </w:r>
      <w:r>
        <w:rPr>
          <w:rFonts w:cs="Century" w:ascii="Century" w:hAnsi="Century"/>
          <w:sz w:val="22"/>
        </w:rPr>
        <w:t>1</w:t>
      </w:r>
      <w:r>
        <w:rPr>
          <w:rFonts w:cs="Century" w:ascii="Century" w:hAnsi="Century"/>
          <w:sz w:val="22"/>
          <w:rtl w:val="true"/>
        </w:rPr>
        <w:t xml:space="preserve">, </w:t>
      </w:r>
      <w:r>
        <w:rPr>
          <w:rFonts w:cs="Century" w:ascii="Century" w:hAnsi="Century"/>
          <w:sz w:val="22"/>
        </w:rPr>
        <w:t>13</w:t>
      </w:r>
      <w:r>
        <w:rPr>
          <w:rFonts w:cs="Century" w:ascii="Century" w:hAnsi="Century"/>
          <w:sz w:val="22"/>
          <w:rtl w:val="true"/>
        </w:rPr>
        <w:t xml:space="preserve"> (</w:t>
      </w:r>
      <w:r>
        <w:rPr>
          <w:rFonts w:cs="Century" w:ascii="Century" w:hAnsi="Century"/>
          <w:sz w:val="22"/>
        </w:rPr>
        <w:t>2013</w:t>
      </w:r>
      <w:r>
        <w:rPr>
          <w:rFonts w:cs="Century" w:ascii="Century" w:hAnsi="Century"/>
          <w:sz w:val="22"/>
          <w:rtl w:val="true"/>
        </w:rPr>
        <w:t>) (</w:t>
      </w:r>
      <w:r>
        <w:rPr>
          <w:rFonts w:ascii="Century" w:hAnsi="Century" w:cs="Century"/>
          <w:sz w:val="22"/>
          <w:sz w:val="22"/>
          <w:rtl w:val="true"/>
        </w:rPr>
        <w:t>להלן</w:t>
      </w:r>
      <w:r>
        <w:rPr>
          <w:rFonts w:cs="Century" w:ascii="Century" w:hAnsi="Century"/>
          <w:sz w:val="22"/>
          <w:rtl w:val="true"/>
        </w:rPr>
        <w:t xml:space="preserve">: </w:t>
      </w:r>
      <w:r>
        <w:rPr>
          <w:rFonts w:ascii="Century" w:hAnsi="Century" w:cs="Miriam"/>
          <w:b/>
          <w:b/>
          <w:spacing w:val="0"/>
          <w:sz w:val="22"/>
          <w:sz w:val="22"/>
          <w:szCs w:val="24"/>
          <w:rtl w:val="true"/>
        </w:rPr>
        <w:t>גזל</w:t>
      </w:r>
      <w:r>
        <w:rPr>
          <w:rFonts w:cs="Miriam" w:ascii="Century" w:hAnsi="Century"/>
          <w:b/>
          <w:spacing w:val="0"/>
          <w:sz w:val="22"/>
          <w:szCs w:val="24"/>
          <w:rtl w:val="true"/>
        </w:rPr>
        <w:t>-</w:t>
      </w:r>
      <w:r>
        <w:rPr>
          <w:rFonts w:ascii="Century" w:hAnsi="Century" w:cs="Miriam"/>
          <w:b/>
          <w:b/>
          <w:spacing w:val="0"/>
          <w:sz w:val="22"/>
          <w:sz w:val="22"/>
          <w:szCs w:val="24"/>
          <w:rtl w:val="true"/>
        </w:rPr>
        <w:t>אייל</w:t>
      </w:r>
      <w:r>
        <w:rPr>
          <w:rFonts w:cs="Century" w:ascii="Century" w:hAnsi="Century"/>
          <w:sz w:val="22"/>
          <w:rtl w:val="true"/>
        </w:rPr>
        <w:t xml:space="preserve">)). </w:t>
      </w:r>
      <w:r>
        <w:rPr>
          <w:rFonts w:ascii="Century" w:hAnsi="Century" w:cs="Century"/>
          <w:sz w:val="22"/>
          <w:sz w:val="22"/>
          <w:rtl w:val="true"/>
        </w:rPr>
        <w:t>לאמירה זו חשיבות מיוחדת בענייננו</w:t>
      </w:r>
      <w:r>
        <w:rPr>
          <w:rFonts w:cs="Century" w:ascii="Century" w:hAnsi="Century"/>
          <w:sz w:val="22"/>
          <w:rtl w:val="true"/>
        </w:rPr>
        <w:t xml:space="preserve">, </w:t>
      </w:r>
      <w:r>
        <w:rPr>
          <w:rFonts w:ascii="Century" w:hAnsi="Century" w:cs="Century"/>
          <w:sz w:val="22"/>
          <w:sz w:val="22"/>
          <w:rtl w:val="true"/>
        </w:rPr>
        <w:t>כפי שיובהר</w:t>
      </w:r>
      <w:r>
        <w:rPr>
          <w:rFonts w:cs="Century" w:ascii="Century" w:hAnsi="Century"/>
          <w:sz w:val="22"/>
          <w:rtl w:val="true"/>
        </w:rPr>
        <w:t xml:space="preserve">. </w:t>
      </w:r>
      <w:r>
        <w:rPr>
          <w:rFonts w:ascii="Century" w:hAnsi="Century" w:cs="Century"/>
          <w:sz w:val="22"/>
          <w:sz w:val="22"/>
          <w:rtl w:val="true"/>
        </w:rPr>
        <w:t>חברתי</w:t>
      </w:r>
      <w:r>
        <w:rPr>
          <w:rFonts w:cs="Century" w:ascii="Century" w:hAnsi="Century"/>
          <w:sz w:val="22"/>
          <w:rtl w:val="true"/>
        </w:rPr>
        <w:t xml:space="preserve">, </w:t>
      </w:r>
      <w:r>
        <w:rPr>
          <w:rFonts w:ascii="Century" w:hAnsi="Century" w:cs="Century"/>
          <w:sz w:val="22"/>
          <w:sz w:val="22"/>
          <w:rtl w:val="true"/>
        </w:rPr>
        <w:t xml:space="preserve">השופטת </w:t>
      </w:r>
      <w:r>
        <w:rPr>
          <w:rFonts w:ascii="Century" w:hAnsi="Century" w:cs="Miriam"/>
          <w:b/>
          <w:b/>
          <w:spacing w:val="0"/>
          <w:sz w:val="22"/>
          <w:sz w:val="22"/>
          <w:szCs w:val="24"/>
          <w:rtl w:val="true"/>
        </w:rPr>
        <w:t>ע</w:t>
      </w:r>
      <w:r>
        <w:rPr>
          <w:rFonts w:cs="Miriam" w:ascii="Century" w:hAnsi="Century"/>
          <w:b/>
          <w:spacing w:val="0"/>
          <w:sz w:val="22"/>
          <w:szCs w:val="24"/>
          <w:rtl w:val="true"/>
        </w:rPr>
        <w:t xml:space="preserve">' </w:t>
      </w:r>
      <w:r>
        <w:rPr>
          <w:rFonts w:ascii="Century" w:hAnsi="Century" w:cs="Miriam"/>
          <w:b/>
          <w:b/>
          <w:spacing w:val="0"/>
          <w:sz w:val="22"/>
          <w:sz w:val="22"/>
          <w:szCs w:val="24"/>
          <w:rtl w:val="true"/>
        </w:rPr>
        <w:t>ארבל</w:t>
      </w:r>
      <w:r>
        <w:rPr>
          <w:rFonts w:cs="Century" w:ascii="Century" w:hAnsi="Century"/>
          <w:sz w:val="22"/>
          <w:rtl w:val="true"/>
        </w:rPr>
        <w:t xml:space="preserve">, </w:t>
      </w:r>
      <w:r>
        <w:rPr>
          <w:rFonts w:ascii="Century" w:hAnsi="Century" w:cs="Century"/>
          <w:sz w:val="22"/>
          <w:sz w:val="22"/>
          <w:rtl w:val="true"/>
        </w:rPr>
        <w:t>עמדה בפרשה אחרת על דקות זו</w:t>
      </w:r>
      <w:r>
        <w:rPr>
          <w:rFonts w:cs="Century" w:ascii="Century" w:hAnsi="Century"/>
          <w:sz w:val="22"/>
          <w:rtl w:val="true"/>
        </w:rPr>
        <w:t xml:space="preserve">, </w:t>
      </w:r>
      <w:r>
        <w:rPr>
          <w:rFonts w:ascii="Century" w:hAnsi="Century" w:cs="Century"/>
          <w:sz w:val="22"/>
          <w:sz w:val="22"/>
          <w:rtl w:val="true"/>
        </w:rPr>
        <w:t>וקבעה</w:t>
      </w:r>
      <w:r>
        <w:rPr>
          <w:rFonts w:cs="Century" w:ascii="Century" w:hAnsi="Century"/>
          <w:sz w:val="22"/>
          <w:rtl w:val="true"/>
        </w:rPr>
        <w:t xml:space="preserve">, </w:t>
      </w:r>
      <w:r>
        <w:rPr>
          <w:rFonts w:ascii="Century" w:hAnsi="Century" w:cs="Century"/>
          <w:sz w:val="22"/>
          <w:sz w:val="22"/>
          <w:rtl w:val="true"/>
        </w:rPr>
        <w:t>כי בעת קביעת מתחם הענישה לא ניתן להסתמך אך ורק על הענישה הנוהגת</w:t>
      </w:r>
      <w:r>
        <w:rPr>
          <w:rFonts w:cs="Century" w:ascii="Century" w:hAnsi="Century"/>
          <w:sz w:val="22"/>
          <w:rtl w:val="true"/>
        </w:rPr>
        <w:t xml:space="preserve">, </w:t>
      </w:r>
      <w:r>
        <w:rPr>
          <w:rFonts w:ascii="Century" w:hAnsi="Century" w:cs="Century"/>
          <w:sz w:val="22"/>
          <w:sz w:val="22"/>
          <w:rtl w:val="true"/>
        </w:rPr>
        <w:t xml:space="preserve">ולקבוע </w:t>
      </w:r>
      <w:r>
        <w:rPr>
          <w:rFonts w:cs="Century" w:ascii="Century" w:hAnsi="Century"/>
          <w:sz w:val="22"/>
          <w:rtl w:val="true"/>
        </w:rPr>
        <w:t>"</w:t>
      </w:r>
      <w:r>
        <w:rPr>
          <w:rFonts w:ascii="Century" w:hAnsi="Century" w:cs="Century"/>
          <w:sz w:val="22"/>
          <w:sz w:val="22"/>
          <w:rtl w:val="true"/>
        </w:rPr>
        <w:t>מתחם כללי</w:t>
      </w:r>
      <w:r>
        <w:rPr>
          <w:rFonts w:cs="Century" w:ascii="Century" w:hAnsi="Century"/>
          <w:sz w:val="22"/>
          <w:rtl w:val="true"/>
        </w:rPr>
        <w:t xml:space="preserve">", </w:t>
      </w:r>
      <w:r>
        <w:rPr>
          <w:rFonts w:ascii="Century" w:hAnsi="Century" w:cs="Century"/>
          <w:sz w:val="22"/>
          <w:sz w:val="22"/>
          <w:rtl w:val="true"/>
        </w:rPr>
        <w:t>שכן גם בכך</w:t>
      </w:r>
      <w:r>
        <w:rPr>
          <w:rFonts w:cs="Century" w:ascii="Century" w:hAnsi="Century"/>
          <w:sz w:val="22"/>
          <w:rtl w:val="true"/>
        </w:rPr>
        <w:t xml:space="preserve">, </w:t>
      </w:r>
      <w:r>
        <w:rPr>
          <w:rFonts w:ascii="Century" w:hAnsi="Century" w:cs="Century"/>
          <w:sz w:val="22"/>
          <w:sz w:val="22"/>
          <w:rtl w:val="true"/>
        </w:rPr>
        <w:t>לא תוגשם תכלית התיקון לחוק</w:t>
      </w:r>
      <w:r>
        <w:rPr>
          <w:rFonts w:cs="Century" w:ascii="Century" w:hAnsi="Century"/>
          <w:sz w:val="22"/>
          <w:rtl w:val="true"/>
        </w:rPr>
        <w:t xml:space="preserve">, </w:t>
      </w:r>
      <w:r>
        <w:rPr>
          <w:rFonts w:ascii="Century" w:hAnsi="Century" w:cs="Century"/>
          <w:sz w:val="22"/>
          <w:sz w:val="22"/>
          <w:rtl w:val="true"/>
        </w:rPr>
        <w:t>המבקשת לעמוד על הנסיבות הספציפיות של כל מעשה עבירה</w:t>
      </w:r>
      <w:r>
        <w:rPr>
          <w:rFonts w:cs="Century" w:ascii="Century" w:hAnsi="Century"/>
          <w:sz w:val="22"/>
          <w:rtl w:val="true"/>
        </w:rPr>
        <w:t xml:space="preserve">, </w:t>
      </w:r>
      <w:r>
        <w:rPr>
          <w:rFonts w:ascii="Century" w:hAnsi="Century" w:cs="Century"/>
          <w:sz w:val="22"/>
          <w:sz w:val="22"/>
          <w:rtl w:val="true"/>
        </w:rPr>
        <w:t>טרם קביעת המתחם</w:t>
      </w:r>
      <w:r>
        <w:rPr>
          <w:rFonts w:cs="Century" w:ascii="Century" w:hAnsi="Century"/>
          <w:sz w:val="22"/>
          <w:rtl w:val="true"/>
        </w:rPr>
        <w:t xml:space="preserve">. </w:t>
      </w:r>
      <w:r>
        <w:rPr>
          <w:rFonts w:ascii="Century" w:hAnsi="Century" w:cs="Century"/>
          <w:sz w:val="22"/>
          <w:sz w:val="22"/>
          <w:rtl w:val="true"/>
        </w:rPr>
        <w:t>חברתי הטעימה בעניין זה כי גודלו של מתחם הענישה ייקבע ממקרה למקרה</w:t>
      </w:r>
      <w:r>
        <w:rPr>
          <w:rFonts w:cs="Century" w:ascii="Century" w:hAnsi="Century"/>
          <w:sz w:val="22"/>
          <w:rtl w:val="true"/>
        </w:rPr>
        <w:t xml:space="preserve">, </w:t>
      </w:r>
      <w:r>
        <w:rPr>
          <w:rFonts w:ascii="Century" w:hAnsi="Century" w:cs="Century"/>
          <w:sz w:val="22"/>
          <w:sz w:val="22"/>
          <w:rtl w:val="true"/>
        </w:rPr>
        <w:t>בהתאם לנסיבות מעשה העבירה ולשונותן</w:t>
      </w:r>
      <w:r>
        <w:rPr>
          <w:rFonts w:cs="Century" w:ascii="Century" w:hAnsi="Century"/>
          <w:sz w:val="22"/>
          <w:rtl w:val="true"/>
        </w:rPr>
        <w:t>:</w:t>
      </w:r>
    </w:p>
    <w:p>
      <w:pPr>
        <w:pStyle w:val="Ruller51"/>
        <w:ind w:end="1282"/>
        <w:jc w:val="both"/>
        <w:rPr>
          <w:rFonts w:ascii="Century" w:hAnsi="Century" w:cs="Century"/>
          <w:sz w:val="22"/>
        </w:rPr>
      </w:pPr>
      <w:r>
        <w:rPr>
          <w:rFonts w:cs="Century" w:ascii="Century" w:hAnsi="Century"/>
          <w:sz w:val="22"/>
          <w:rtl w:val="true"/>
        </w:rPr>
      </w:r>
    </w:p>
    <w:p>
      <w:pPr>
        <w:pStyle w:val="Ruller51"/>
        <w:ind w:end="1282"/>
        <w:jc w:val="both"/>
        <w:rPr/>
      </w:pPr>
      <w:r>
        <w:rPr>
          <w:rtl w:val="true"/>
        </w:rPr>
        <w:t>"</w:t>
      </w:r>
      <w:r>
        <w:rPr>
          <w:rtl w:val="true"/>
        </w:rPr>
        <w:t>דומני</w:t>
      </w:r>
      <w:r>
        <w:rPr>
          <w:rFonts w:eastAsia="Arial TUR;Arial" w:cs="Arial TUR;Arial"/>
          <w:rtl w:val="true"/>
        </w:rPr>
        <w:t xml:space="preserve"> </w:t>
      </w:r>
      <w:r>
        <w:rPr>
          <w:rtl w:val="true"/>
        </w:rPr>
        <w:t>כי</w:t>
      </w:r>
      <w:r>
        <w:rPr>
          <w:rFonts w:eastAsia="Arial TUR;Arial" w:cs="Arial TUR;Arial"/>
          <w:rtl w:val="true"/>
        </w:rPr>
        <w:t xml:space="preserve"> </w:t>
      </w:r>
      <w:r>
        <w:rPr>
          <w:rtl w:val="true"/>
        </w:rPr>
        <w:t>רוחב</w:t>
      </w:r>
      <w:r>
        <w:rPr>
          <w:rFonts w:eastAsia="Arial TUR;Arial" w:cs="Arial TUR;Arial"/>
          <w:rtl w:val="true"/>
        </w:rPr>
        <w:t xml:space="preserve"> </w:t>
      </w:r>
      <w:r>
        <w:rPr>
          <w:rtl w:val="true"/>
        </w:rPr>
        <w:t>המתחם</w:t>
      </w:r>
      <w:r>
        <w:rPr>
          <w:rFonts w:eastAsia="Arial TUR;Arial" w:cs="Arial TUR;Arial"/>
          <w:rtl w:val="true"/>
        </w:rPr>
        <w:t xml:space="preserve"> </w:t>
      </w:r>
      <w:r>
        <w:rPr>
          <w:rtl w:val="true"/>
        </w:rPr>
        <w:t>שייקבע</w:t>
      </w:r>
      <w:r>
        <w:rPr>
          <w:rFonts w:eastAsia="Arial TUR;Arial" w:cs="Arial TUR;Arial"/>
          <w:rtl w:val="true"/>
        </w:rPr>
        <w:t xml:space="preserve"> </w:t>
      </w:r>
      <w:r>
        <w:rPr>
          <w:rtl w:val="true"/>
        </w:rPr>
        <w:t>תלוי</w:t>
      </w:r>
      <w:r>
        <w:rPr>
          <w:rFonts w:eastAsia="Arial TUR;Arial" w:cs="Arial TUR;Arial"/>
          <w:rtl w:val="true"/>
        </w:rPr>
        <w:t xml:space="preserve"> </w:t>
      </w:r>
      <w:r>
        <w:rPr>
          <w:rtl w:val="true"/>
        </w:rPr>
        <w:t>במורכבות</w:t>
      </w:r>
      <w:r>
        <w:rPr>
          <w:rFonts w:eastAsia="Arial TUR;Arial" w:cs="Arial TUR;Arial"/>
          <w:rtl w:val="true"/>
        </w:rPr>
        <w:t xml:space="preserve"> </w:t>
      </w:r>
      <w:r>
        <w:rPr>
          <w:rtl w:val="true"/>
        </w:rPr>
        <w:t>העבירה</w:t>
      </w:r>
      <w:r>
        <w:rPr>
          <w:rFonts w:eastAsia="Arial TUR;Arial" w:cs="Arial TUR;Arial"/>
          <w:rtl w:val="true"/>
        </w:rPr>
        <w:t xml:space="preserve"> </w:t>
      </w:r>
      <w:r>
        <w:rPr>
          <w:rtl w:val="true"/>
        </w:rPr>
        <w:t>הנדונה</w:t>
      </w:r>
      <w:r>
        <w:rPr>
          <w:rtl w:val="true"/>
        </w:rPr>
        <w:t xml:space="preserve">, </w:t>
      </w:r>
      <w:r>
        <w:rPr>
          <w:rtl w:val="true"/>
        </w:rPr>
        <w:t>כלומר</w:t>
      </w:r>
      <w:r>
        <w:rPr>
          <w:rFonts w:eastAsia="Arial TUR;Arial" w:cs="Arial TUR;Arial"/>
          <w:rtl w:val="true"/>
        </w:rPr>
        <w:t xml:space="preserve"> </w:t>
      </w:r>
      <w:r>
        <w:rPr>
          <w:rtl w:val="true"/>
        </w:rPr>
        <w:t>במידת</w:t>
      </w:r>
      <w:r>
        <w:rPr>
          <w:rFonts w:eastAsia="Arial TUR;Arial" w:cs="Arial TUR;Arial"/>
          <w:rtl w:val="true"/>
        </w:rPr>
        <w:t xml:space="preserve"> </w:t>
      </w:r>
      <w:r>
        <w:rPr>
          <w:rtl w:val="true"/>
        </w:rPr>
        <w:t>השונוּת</w:t>
      </w:r>
      <w:r>
        <w:rPr>
          <w:rFonts w:eastAsia="Arial TUR;Arial" w:cs="Arial TUR;Arial"/>
          <w:rtl w:val="true"/>
        </w:rPr>
        <w:t xml:space="preserve"> </w:t>
      </w:r>
      <w:r>
        <w:rPr>
          <w:rtl w:val="true"/>
        </w:rPr>
        <w:t>שבנסיבות</w:t>
      </w:r>
      <w:r>
        <w:rPr>
          <w:rFonts w:eastAsia="Arial TUR;Arial" w:cs="Arial TUR;Arial"/>
          <w:rtl w:val="true"/>
        </w:rPr>
        <w:t xml:space="preserve"> </w:t>
      </w:r>
      <w:r>
        <w:rPr>
          <w:rFonts w:ascii="Century" w:hAnsi="Century" w:cs="Century"/>
          <w:rtl w:val="true"/>
        </w:rPr>
        <w:t>ביצועה</w:t>
      </w:r>
      <w:r>
        <w:rPr>
          <w:rtl w:val="true"/>
        </w:rPr>
        <w:t xml:space="preserve">. </w:t>
      </w:r>
      <w:r>
        <w:rPr>
          <w:rtl w:val="true"/>
        </w:rPr>
        <w:t>ככל</w:t>
      </w:r>
      <w:r>
        <w:rPr>
          <w:rFonts w:eastAsia="Arial TUR;Arial" w:cs="Arial TUR;Arial"/>
          <w:rtl w:val="true"/>
        </w:rPr>
        <w:t xml:space="preserve"> </w:t>
      </w:r>
      <w:r>
        <w:rPr>
          <w:rtl w:val="true"/>
        </w:rPr>
        <w:t>שתהיינה</w:t>
      </w:r>
      <w:r>
        <w:rPr>
          <w:rFonts w:eastAsia="Arial TUR;Arial" w:cs="Arial TUR;Arial"/>
          <w:rtl w:val="true"/>
        </w:rPr>
        <w:t xml:space="preserve"> </w:t>
      </w:r>
      <w:r>
        <w:rPr>
          <w:rtl w:val="true"/>
        </w:rPr>
        <w:t>יותר</w:t>
      </w:r>
      <w:r>
        <w:rPr>
          <w:rFonts w:eastAsia="Arial TUR;Arial" w:cs="Arial TUR;Arial"/>
          <w:rtl w:val="true"/>
        </w:rPr>
        <w:t xml:space="preserve"> </w:t>
      </w:r>
      <w:r>
        <w:rPr>
          <w:rtl w:val="true"/>
        </w:rPr>
        <w:t>נסיבות</w:t>
      </w:r>
      <w:r>
        <w:rPr>
          <w:rFonts w:eastAsia="Arial TUR;Arial" w:cs="Arial TUR;Arial"/>
          <w:rtl w:val="true"/>
        </w:rPr>
        <w:t xml:space="preserve"> </w:t>
      </w:r>
      <w:r>
        <w:rPr>
          <w:rtl w:val="true"/>
        </w:rPr>
        <w:t>רלוונטיות</w:t>
      </w:r>
      <w:r>
        <w:rPr>
          <w:rtl w:val="true"/>
        </w:rPr>
        <w:t xml:space="preserve">, </w:t>
      </w:r>
      <w:r>
        <w:rPr>
          <w:rtl w:val="true"/>
        </w:rPr>
        <w:t>המשליכות</w:t>
      </w:r>
      <w:r>
        <w:rPr>
          <w:rFonts w:eastAsia="Arial TUR;Arial" w:cs="Arial TUR;Arial"/>
          <w:rtl w:val="true"/>
        </w:rPr>
        <w:t xml:space="preserve"> </w:t>
      </w:r>
      <w:r>
        <w:rPr>
          <w:rtl w:val="true"/>
        </w:rPr>
        <w:t>על</w:t>
      </w:r>
      <w:r>
        <w:rPr>
          <w:rFonts w:eastAsia="Arial TUR;Arial" w:cs="Arial TUR;Arial"/>
          <w:rtl w:val="true"/>
        </w:rPr>
        <w:t xml:space="preserve"> </w:t>
      </w:r>
      <w:r>
        <w:rPr>
          <w:rtl w:val="true"/>
        </w:rPr>
        <w:t>חומרת</w:t>
      </w:r>
      <w:r>
        <w:rPr>
          <w:rFonts w:eastAsia="Arial TUR;Arial" w:cs="Arial TUR;Arial"/>
          <w:rtl w:val="true"/>
        </w:rPr>
        <w:t xml:space="preserve"> </w:t>
      </w:r>
      <w:r>
        <w:rPr>
          <w:rtl w:val="true"/>
        </w:rPr>
        <w:t>המעשה</w:t>
      </w:r>
      <w:r>
        <w:rPr>
          <w:rtl w:val="true"/>
        </w:rPr>
        <w:t xml:space="preserve">, </w:t>
      </w:r>
      <w:r>
        <w:rPr>
          <w:rtl w:val="true"/>
        </w:rPr>
        <w:t>הרי</w:t>
      </w:r>
      <w:r>
        <w:rPr>
          <w:rFonts w:eastAsia="Arial TUR;Arial" w:cs="Arial TUR;Arial"/>
          <w:rtl w:val="true"/>
        </w:rPr>
        <w:t xml:space="preserve"> </w:t>
      </w:r>
      <w:r>
        <w:rPr>
          <w:rtl w:val="true"/>
        </w:rPr>
        <w:t>שהמתחם</w:t>
      </w:r>
      <w:r>
        <w:rPr>
          <w:rFonts w:eastAsia="Arial TUR;Arial" w:cs="Arial TUR;Arial"/>
          <w:rtl w:val="true"/>
        </w:rPr>
        <w:t xml:space="preserve"> </w:t>
      </w:r>
      <w:r>
        <w:rPr>
          <w:rtl w:val="true"/>
        </w:rPr>
        <w:t>יעוצב</w:t>
      </w:r>
      <w:r>
        <w:rPr>
          <w:rFonts w:eastAsia="Arial TUR;Arial" w:cs="Arial TUR;Arial"/>
          <w:rtl w:val="true"/>
        </w:rPr>
        <w:t xml:space="preserve"> </w:t>
      </w:r>
      <w:r>
        <w:rPr>
          <w:rtl w:val="true"/>
        </w:rPr>
        <w:t>בצורה</w:t>
      </w:r>
      <w:r>
        <w:rPr>
          <w:rFonts w:eastAsia="Arial TUR;Arial" w:cs="Arial TUR;Arial"/>
          <w:rtl w:val="true"/>
        </w:rPr>
        <w:t xml:space="preserve"> </w:t>
      </w:r>
      <w:r>
        <w:rPr>
          <w:rtl w:val="true"/>
        </w:rPr>
        <w:t>פרטנית</w:t>
      </w:r>
      <w:r>
        <w:rPr>
          <w:rtl w:val="true"/>
        </w:rPr>
        <w:t xml:space="preserve">, </w:t>
      </w:r>
      <w:r>
        <w:rPr>
          <w:rtl w:val="true"/>
        </w:rPr>
        <w:t>קונקרטית</w:t>
      </w:r>
      <w:r>
        <w:rPr>
          <w:rFonts w:eastAsia="Arial TUR;Arial" w:cs="Arial TUR;Arial"/>
          <w:rtl w:val="true"/>
        </w:rPr>
        <w:t xml:space="preserve"> </w:t>
      </w:r>
      <w:r>
        <w:rPr>
          <w:rtl w:val="true"/>
        </w:rPr>
        <w:t>ומדויקת</w:t>
      </w:r>
      <w:r>
        <w:rPr>
          <w:rFonts w:eastAsia="Arial TUR;Arial" w:cs="Arial TUR;Arial"/>
          <w:rtl w:val="true"/>
        </w:rPr>
        <w:t xml:space="preserve"> </w:t>
      </w:r>
      <w:r>
        <w:rPr>
          <w:rtl w:val="true"/>
        </w:rPr>
        <w:t>יותר</w:t>
      </w:r>
      <w:r>
        <w:rPr>
          <w:rFonts w:eastAsia="Arial TUR;Arial" w:cs="Arial TUR;Arial"/>
          <w:rtl w:val="true"/>
        </w:rPr>
        <w:t xml:space="preserve"> </w:t>
      </w:r>
      <w:r>
        <w:rPr>
          <w:rtl w:val="true"/>
        </w:rPr>
        <w:t>בהתאם</w:t>
      </w:r>
      <w:r>
        <w:rPr>
          <w:rFonts w:eastAsia="Arial TUR;Arial" w:cs="Arial TUR;Arial"/>
          <w:rtl w:val="true"/>
        </w:rPr>
        <w:t xml:space="preserve"> </w:t>
      </w:r>
      <w:r>
        <w:rPr>
          <w:rtl w:val="true"/>
        </w:rPr>
        <w:t>לנסיבות</w:t>
      </w:r>
      <w:r>
        <w:rPr>
          <w:rFonts w:eastAsia="Arial TUR;Arial" w:cs="Arial TUR;Arial"/>
          <w:rtl w:val="true"/>
        </w:rPr>
        <w:t xml:space="preserve"> </w:t>
      </w:r>
      <w:r>
        <w:rPr>
          <w:rtl w:val="true"/>
        </w:rPr>
        <w:t>אלה</w:t>
      </w:r>
      <w:r>
        <w:rPr>
          <w:rtl w:val="true"/>
        </w:rPr>
        <w:t>". (</w:t>
      </w:r>
      <w:hyperlink r:id="rId104">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rFonts w:eastAsia="Arial TUR;Arial" w:cs="Arial TUR;Arial"/>
            <w:color w:val="0000FF"/>
            <w:u w:val="single"/>
            <w:rtl w:val="true"/>
          </w:rPr>
          <w:t xml:space="preserve"> </w:t>
        </w:r>
        <w:r>
          <w:rPr>
            <w:rStyle w:val="Hyperlink"/>
            <w:color w:val="0000FF"/>
            <w:u w:val="single"/>
          </w:rPr>
          <w:t>1323/13</w:t>
        </w:r>
      </w:hyperlink>
      <w:r>
        <w:rPr>
          <w:rtl w:val="true"/>
        </w:rPr>
        <w:t xml:space="preserve"> </w:t>
      </w:r>
      <w:r>
        <w:rPr>
          <w:rFonts w:ascii="Century" w:hAnsi="Century" w:cs="Miriam"/>
          <w:b/>
          <w:b/>
          <w:spacing w:val="0"/>
          <w:szCs w:val="24"/>
          <w:rtl w:val="true"/>
        </w:rPr>
        <w:t>חסן</w:t>
      </w:r>
      <w:r>
        <w:rPr>
          <w:rFonts w:ascii="Century" w:hAnsi="Century" w:eastAsia="Century" w:cs="Century"/>
          <w:b/>
          <w:b/>
          <w:spacing w:val="0"/>
          <w:szCs w:val="24"/>
          <w:rtl w:val="true"/>
        </w:rPr>
        <w:t xml:space="preserve"> </w:t>
      </w:r>
      <w:r>
        <w:rPr>
          <w:rFonts w:ascii="Century" w:hAnsi="Century" w:cs="Miriam"/>
          <w:b/>
          <w:b/>
          <w:spacing w:val="0"/>
          <w:szCs w:val="24"/>
          <w:rtl w:val="true"/>
        </w:rPr>
        <w:t>נ</w:t>
      </w:r>
      <w:r>
        <w:rPr>
          <w:rFonts w:cs="Miriam" w:ascii="Century" w:hAnsi="Century"/>
          <w:b/>
          <w:spacing w:val="0"/>
          <w:szCs w:val="24"/>
          <w:rtl w:val="true"/>
        </w:rPr>
        <w:t xml:space="preserve">' </w:t>
      </w:r>
      <w:r>
        <w:rPr>
          <w:rFonts w:ascii="Century" w:hAnsi="Century" w:cs="Miriam"/>
          <w:b/>
          <w:b/>
          <w:spacing w:val="0"/>
          <w:szCs w:val="24"/>
          <w:rtl w:val="true"/>
        </w:rPr>
        <w:t>מדינת</w:t>
      </w:r>
      <w:r>
        <w:rPr>
          <w:rFonts w:ascii="Century" w:hAnsi="Century" w:eastAsia="Century" w:cs="Century"/>
          <w:b/>
          <w:b/>
          <w:spacing w:val="0"/>
          <w:szCs w:val="24"/>
          <w:rtl w:val="true"/>
        </w:rPr>
        <w:t xml:space="preserve"> </w:t>
      </w:r>
      <w:r>
        <w:rPr>
          <w:rFonts w:ascii="Century" w:hAnsi="Century" w:cs="Miriam"/>
          <w:b/>
          <w:b/>
          <w:spacing w:val="0"/>
          <w:szCs w:val="24"/>
          <w:rtl w:val="true"/>
        </w:rPr>
        <w:t>ישראל</w:t>
      </w:r>
      <w:r>
        <w:rPr>
          <w:rFonts w:cs="Century" w:ascii="Century" w:hAnsi="Century"/>
          <w:rtl w:val="true"/>
        </w:rPr>
        <w:t xml:space="preserve">, </w:t>
      </w:r>
      <w:r>
        <w:rPr>
          <w:rFonts w:cs="David" w:ascii="Times New Roman" w:hAnsi="Times New Roman"/>
          <w:spacing w:val="0"/>
          <w:szCs w:val="24"/>
          <w:rtl w:val="true"/>
        </w:rPr>
        <w:t>[</w:t>
      </w:r>
      <w:r>
        <w:rPr>
          <w:rFonts w:ascii="Times New Roman" w:hAnsi="Times New Roman" w:cs="David"/>
          <w:spacing w:val="0"/>
          <w:szCs w:val="24"/>
          <w:rtl w:val="true"/>
        </w:rPr>
        <w:t>פורסם</w:t>
      </w:r>
      <w:r>
        <w:rPr>
          <w:rFonts w:ascii="Times New Roman" w:hAnsi="Times New Roman" w:cs="Times New Roman"/>
          <w:spacing w:val="0"/>
          <w:szCs w:val="24"/>
          <w:rtl w:val="true"/>
        </w:rPr>
        <w:t xml:space="preserve"> </w:t>
      </w:r>
      <w:r>
        <w:rPr>
          <w:rFonts w:ascii="Times New Roman" w:hAnsi="Times New Roman" w:cs="David"/>
          <w:spacing w:val="0"/>
          <w:szCs w:val="24"/>
          <w:rtl w:val="true"/>
        </w:rPr>
        <w:t>בנבו</w:t>
      </w:r>
      <w:r>
        <w:rPr>
          <w:rFonts w:cs="David" w:ascii="Times New Roman" w:hAnsi="Times New Roman"/>
          <w:spacing w:val="0"/>
          <w:szCs w:val="24"/>
          <w:rtl w:val="true"/>
        </w:rPr>
        <w:t xml:space="preserve">] </w:t>
      </w:r>
      <w:r>
        <w:rPr>
          <w:rFonts w:ascii="Century" w:hAnsi="Century" w:cs="Century"/>
          <w:rtl w:val="true"/>
        </w:rPr>
        <w:t xml:space="preserve">פסקה </w:t>
      </w:r>
      <w:r>
        <w:rPr>
          <w:rFonts w:cs="Century" w:ascii="Century" w:hAnsi="Century"/>
        </w:rPr>
        <w:t>8</w:t>
      </w:r>
      <w:r>
        <w:rPr>
          <w:rFonts w:cs="Century" w:ascii="Century" w:hAnsi="Century"/>
          <w:rtl w:val="true"/>
        </w:rPr>
        <w:t xml:space="preserve"> </w:t>
      </w:r>
      <w:r>
        <w:rPr>
          <w:rFonts w:ascii="Century" w:hAnsi="Century" w:cs="Century"/>
          <w:rtl w:val="true"/>
        </w:rPr>
        <w:t xml:space="preserve">לפסק דינה </w:t>
      </w:r>
      <w:r>
        <w:rPr>
          <w:rFonts w:cs="Century" w:ascii="Century" w:hAnsi="Century"/>
          <w:rtl w:val="true"/>
        </w:rPr>
        <w:t>(</w:t>
      </w:r>
      <w:r>
        <w:rPr>
          <w:rFonts w:cs="Century" w:ascii="Century" w:hAnsi="Century"/>
        </w:rPr>
        <w:t>5.6.2013</w:t>
      </w:r>
      <w:r>
        <w:rPr>
          <w:rFonts w:cs="Century" w:ascii="Century" w:hAnsi="Century"/>
          <w:rtl w:val="true"/>
        </w:rPr>
        <w:t>))</w:t>
      </w:r>
    </w:p>
    <w:p>
      <w:pPr>
        <w:pStyle w:val="Ruller51"/>
        <w:spacing w:lineRule="auto" w:line="360"/>
        <w:ind w:end="1282"/>
        <w:jc w:val="both"/>
        <w:rPr>
          <w:rFonts w:ascii="Century" w:hAnsi="Century" w:cs="Century"/>
        </w:rPr>
      </w:pPr>
      <w:r>
        <w:rPr>
          <w:rFonts w:cs="Century" w:ascii="Century" w:hAnsi="Century"/>
          <w:rtl w:val="true"/>
        </w:rPr>
      </w:r>
    </w:p>
    <w:p>
      <w:pPr>
        <w:pStyle w:val="Ruller42"/>
        <w:numPr>
          <w:ilvl w:val="0"/>
          <w:numId w:val="0"/>
        </w:numPr>
        <w:ind w:hanging="0" w:start="0" w:end="0"/>
        <w:jc w:val="both"/>
        <w:rPr/>
      </w:pPr>
      <w:r>
        <w:rPr>
          <w:rtl w:val="true"/>
        </w:rPr>
        <w:tab/>
      </w:r>
      <w:r>
        <w:rPr>
          <w:rtl w:val="true"/>
        </w:rPr>
        <w:t>ויודגש</w:t>
      </w:r>
      <w:r>
        <w:rPr>
          <w:rtl w:val="true"/>
        </w:rPr>
        <w:t xml:space="preserve">, </w:t>
      </w:r>
      <w:r>
        <w:rPr>
          <w:rtl w:val="true"/>
        </w:rPr>
        <w:t>הנסיבות בהן יש להתחשב לצורך קביעת מתחם הענישה ההולם הן נסיבות הקשורות בעבירה</w:t>
      </w:r>
      <w:r>
        <w:rPr>
          <w:rtl w:val="true"/>
        </w:rPr>
        <w:t xml:space="preserve">, </w:t>
      </w:r>
      <w:r>
        <w:rPr>
          <w:rtl w:val="true"/>
        </w:rPr>
        <w:t xml:space="preserve">ולא נסיבות שאינן קשורות בביצועה </w:t>
      </w:r>
      <w:r>
        <w:rPr>
          <w:rtl w:val="true"/>
        </w:rPr>
        <w:t>(</w:t>
      </w:r>
      <w:r>
        <w:rPr>
          <w:rtl w:val="true"/>
        </w:rPr>
        <w:t xml:space="preserve">וראו </w:t>
      </w:r>
      <w:hyperlink r:id="rId105">
        <w:r>
          <w:rPr>
            <w:rStyle w:val="Hyperlink"/>
            <w:color w:val="0000FF"/>
            <w:u w:val="single"/>
            <w:rtl w:val="true"/>
          </w:rPr>
          <w:t>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יא</w:t>
        </w:r>
      </w:hyperlink>
      <w:r>
        <w:rPr>
          <w:rtl w:val="true"/>
        </w:rPr>
        <w:t xml:space="preserve"> ל</w:t>
      </w:r>
      <w:hyperlink r:id="rId106">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r>
        <w:rPr>
          <w:rtl w:val="true"/>
        </w:rPr>
        <w:t>נסיבות שאינן קשורות בביצוע העבירה</w:t>
      </w:r>
      <w:r>
        <w:rPr>
          <w:rtl w:val="true"/>
        </w:rPr>
        <w:t xml:space="preserve">, </w:t>
      </w:r>
      <w:r>
        <w:rPr>
          <w:rtl w:val="true"/>
        </w:rPr>
        <w:t>מקומן אינו בשלב קביעת מתחם העונש</w:t>
      </w:r>
      <w:r>
        <w:rPr>
          <w:rtl w:val="true"/>
        </w:rPr>
        <w:t xml:space="preserve">, </w:t>
      </w:r>
      <w:r>
        <w:rPr>
          <w:rtl w:val="true"/>
        </w:rPr>
        <w:t>אלא רק בשלב גזירת עונשו של הנאשם</w:t>
      </w:r>
      <w:r>
        <w:rPr>
          <w:rtl w:val="true"/>
        </w:rPr>
        <w:t xml:space="preserve">. </w:t>
      </w:r>
    </w:p>
    <w:p>
      <w:pPr>
        <w:pStyle w:val="Ruller41"/>
        <w:spacing w:lineRule="auto" w:line="480"/>
        <w:ind w:end="0"/>
        <w:jc w:val="both"/>
        <w:rPr/>
      </w:pPr>
      <w:r>
        <w:rPr>
          <w:rtl w:val="true"/>
        </w:rPr>
      </w:r>
    </w:p>
    <w:p>
      <w:pPr>
        <w:pStyle w:val="Ruller41"/>
        <w:ind w:end="0"/>
        <w:jc w:val="both"/>
        <w:rPr>
          <w:rFonts w:ascii="Century" w:hAnsi="Century"/>
          <w:b/>
          <w:spacing w:val="0"/>
          <w:szCs w:val="24"/>
        </w:rPr>
      </w:pPr>
      <w:r>
        <w:rPr>
          <w:rFonts w:ascii="Century" w:hAnsi="Century" w:cs="Miriam"/>
          <w:b/>
          <w:b/>
          <w:spacing w:val="0"/>
          <w:szCs w:val="24"/>
          <w:rtl w:val="true"/>
        </w:rPr>
        <w:t>השלב</w:t>
      </w:r>
      <w:r>
        <w:rPr>
          <w:rFonts w:ascii="Century" w:hAnsi="Century" w:eastAsia="Century" w:cs="Century"/>
          <w:b/>
          <w:b/>
          <w:spacing w:val="0"/>
          <w:szCs w:val="24"/>
          <w:rtl w:val="true"/>
        </w:rPr>
        <w:t xml:space="preserve"> </w:t>
      </w:r>
      <w:r>
        <w:rPr>
          <w:rFonts w:ascii="Century" w:hAnsi="Century" w:cs="Miriam"/>
          <w:b/>
          <w:b/>
          <w:spacing w:val="0"/>
          <w:szCs w:val="24"/>
          <w:rtl w:val="true"/>
        </w:rPr>
        <w:t>השלישי</w:t>
      </w:r>
      <w:r>
        <w:rPr>
          <w:rFonts w:ascii="Century" w:hAnsi="Century" w:eastAsia="Century" w:cs="Century"/>
          <w:b/>
          <w:b/>
          <w:spacing w:val="0"/>
          <w:szCs w:val="24"/>
          <w:rtl w:val="true"/>
        </w:rPr>
        <w:t xml:space="preserve"> </w:t>
      </w:r>
      <w:r>
        <w:rPr>
          <w:rFonts w:ascii="Century" w:hAnsi="Century" w:cs="Miriam"/>
          <w:b/>
          <w:b/>
          <w:spacing w:val="0"/>
          <w:szCs w:val="24"/>
          <w:rtl w:val="true"/>
        </w:rPr>
        <w:t>–</w:t>
      </w:r>
      <w:r>
        <w:rPr>
          <w:rFonts w:ascii="Century" w:hAnsi="Century" w:eastAsia="Century" w:cs="Century"/>
          <w:b/>
          <w:b/>
          <w:spacing w:val="0"/>
          <w:szCs w:val="24"/>
          <w:rtl w:val="true"/>
        </w:rPr>
        <w:t xml:space="preserve"> </w:t>
      </w:r>
      <w:r>
        <w:rPr>
          <w:rFonts w:ascii="Century" w:hAnsi="Century" w:cs="Miriam"/>
          <w:b/>
          <w:b/>
          <w:spacing w:val="0"/>
          <w:szCs w:val="24"/>
          <w:rtl w:val="true"/>
        </w:rPr>
        <w:t>גזירת</w:t>
      </w:r>
      <w:r>
        <w:rPr>
          <w:rFonts w:ascii="Century" w:hAnsi="Century" w:eastAsia="Century" w:cs="Century"/>
          <w:b/>
          <w:b/>
          <w:spacing w:val="0"/>
          <w:szCs w:val="24"/>
          <w:rtl w:val="true"/>
        </w:rPr>
        <w:t xml:space="preserve"> </w:t>
      </w:r>
      <w:r>
        <w:rPr>
          <w:rFonts w:ascii="Century" w:hAnsi="Century" w:cs="Miriam"/>
          <w:b/>
          <w:b/>
          <w:spacing w:val="0"/>
          <w:szCs w:val="24"/>
          <w:rtl w:val="true"/>
        </w:rPr>
        <w:t>עונשו</w:t>
      </w:r>
      <w:r>
        <w:rPr>
          <w:rFonts w:ascii="Century" w:hAnsi="Century" w:eastAsia="Century" w:cs="Century"/>
          <w:b/>
          <w:b/>
          <w:spacing w:val="0"/>
          <w:szCs w:val="24"/>
          <w:rtl w:val="true"/>
        </w:rPr>
        <w:t xml:space="preserve"> </w:t>
      </w:r>
      <w:r>
        <w:rPr>
          <w:rFonts w:ascii="Century" w:hAnsi="Century" w:cs="Miriam"/>
          <w:b/>
          <w:b/>
          <w:spacing w:val="0"/>
          <w:szCs w:val="24"/>
          <w:rtl w:val="true"/>
        </w:rPr>
        <w:t>של</w:t>
      </w:r>
      <w:r>
        <w:rPr>
          <w:rFonts w:ascii="Century" w:hAnsi="Century" w:eastAsia="Century" w:cs="Century"/>
          <w:b/>
          <w:b/>
          <w:spacing w:val="0"/>
          <w:szCs w:val="24"/>
          <w:rtl w:val="true"/>
        </w:rPr>
        <w:t xml:space="preserve"> </w:t>
      </w:r>
      <w:r>
        <w:rPr>
          <w:rFonts w:ascii="Century" w:hAnsi="Century" w:cs="Miriam"/>
          <w:b/>
          <w:b/>
          <w:spacing w:val="0"/>
          <w:szCs w:val="24"/>
          <w:rtl w:val="true"/>
        </w:rPr>
        <w:t>הנאשם</w:t>
      </w:r>
      <w:r>
        <w:rPr>
          <w:rFonts w:ascii="Century" w:hAnsi="Century" w:eastAsia="Century" w:cs="Century"/>
          <w:b/>
          <w:b/>
          <w:spacing w:val="0"/>
          <w:szCs w:val="24"/>
          <w:rtl w:val="true"/>
        </w:rPr>
        <w:t xml:space="preserve"> </w:t>
      </w:r>
      <w:r>
        <w:rPr>
          <w:rFonts w:ascii="Century" w:hAnsi="Century" w:cs="Miriam"/>
          <w:b/>
          <w:b/>
          <w:spacing w:val="0"/>
          <w:szCs w:val="24"/>
          <w:rtl w:val="true"/>
        </w:rPr>
        <w:t>בתוך</w:t>
      </w:r>
      <w:r>
        <w:rPr>
          <w:rFonts w:ascii="Century" w:hAnsi="Century" w:eastAsia="Century" w:cs="Century"/>
          <w:b/>
          <w:b/>
          <w:spacing w:val="0"/>
          <w:szCs w:val="24"/>
          <w:rtl w:val="true"/>
        </w:rPr>
        <w:t xml:space="preserve"> </w:t>
      </w:r>
      <w:r>
        <w:rPr>
          <w:rFonts w:ascii="Century" w:hAnsi="Century" w:cs="Miriam"/>
          <w:b/>
          <w:b/>
          <w:spacing w:val="0"/>
          <w:szCs w:val="24"/>
          <w:rtl w:val="true"/>
        </w:rPr>
        <w:t>המתחם</w:t>
      </w:r>
    </w:p>
    <w:p>
      <w:pPr>
        <w:pStyle w:val="Ruller41"/>
        <w:spacing w:lineRule="auto" w:line="240"/>
        <w:ind w:end="0"/>
        <w:jc w:val="both"/>
        <w:rPr>
          <w:rFonts w:ascii="Century" w:hAnsi="Century" w:cs="Miriam"/>
          <w:b/>
          <w:spacing w:val="0"/>
          <w:szCs w:val="24"/>
        </w:rPr>
      </w:pPr>
      <w:r>
        <w:rPr>
          <w:rFonts w:cs="Miriam" w:ascii="Century" w:hAnsi="Century"/>
          <w:b/>
          <w:spacing w:val="0"/>
          <w:szCs w:val="24"/>
          <w:rtl w:val="true"/>
        </w:rPr>
      </w:r>
    </w:p>
    <w:p>
      <w:pPr>
        <w:pStyle w:val="Ruller42"/>
        <w:numPr>
          <w:ilvl w:val="0"/>
          <w:numId w:val="1"/>
        </w:numPr>
        <w:ind w:end="0"/>
        <w:jc w:val="both"/>
        <w:rPr>
          <w:rFonts w:ascii="Century" w:hAnsi="Century" w:cs="Century"/>
          <w:sz w:val="22"/>
        </w:rPr>
      </w:pPr>
      <w:r>
        <w:rPr>
          <w:rtl w:val="true"/>
        </w:rPr>
        <w:t>בשלב גזירת עונשו של נאשם</w:t>
      </w:r>
      <w:r>
        <w:rPr>
          <w:rtl w:val="true"/>
        </w:rPr>
        <w:t xml:space="preserve">, </w:t>
      </w:r>
      <w:r>
        <w:rPr>
          <w:rtl w:val="true"/>
        </w:rPr>
        <w:t xml:space="preserve">בית המשפט </w:t>
      </w:r>
      <w:r>
        <w:rPr>
          <w:rFonts w:ascii="Century" w:hAnsi="Century" w:cs="Miriam"/>
          <w:b/>
          <w:b/>
          <w:spacing w:val="0"/>
          <w:sz w:val="22"/>
          <w:sz w:val="22"/>
          <w:szCs w:val="24"/>
          <w:rtl w:val="true"/>
        </w:rPr>
        <w:t>רשאי</w:t>
      </w:r>
      <w:r>
        <w:rPr>
          <w:rtl w:val="true"/>
        </w:rPr>
        <w:t xml:space="preserve"> להתחשב בנסיבות שאינן קשורות בביצוע העבירה </w:t>
      </w:r>
      <w:r>
        <w:rPr>
          <w:rtl w:val="true"/>
        </w:rPr>
        <w:t>(</w:t>
      </w:r>
      <w:r>
        <w:rPr>
          <w:rtl w:val="true"/>
        </w:rPr>
        <w:t xml:space="preserve">כך על פי </w:t>
      </w:r>
      <w:hyperlink r:id="rId107">
        <w:r>
          <w:rPr>
            <w:rStyle w:val="Hyperlink"/>
            <w:color w:val="0000FF"/>
            <w:u w:val="single"/>
            <w:rtl w:val="true"/>
          </w:rPr>
          <w:t>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ג</w:t>
        </w:r>
        <w:r>
          <w:rPr>
            <w:rStyle w:val="Hyperlink"/>
            <w:color w:val="0000FF"/>
            <w:u w:val="single"/>
            <w:rtl w:val="true"/>
          </w:rPr>
          <w:t>(</w:t>
        </w:r>
        <w:r>
          <w:rPr>
            <w:rStyle w:val="Hyperlink"/>
            <w:color w:val="0000FF"/>
            <w:u w:val="single"/>
            <w:rtl w:val="true"/>
          </w:rPr>
          <w:t>ב</w:t>
        </w:r>
        <w:r>
          <w:rPr>
            <w:rStyle w:val="Hyperlink"/>
            <w:color w:val="0000FF"/>
            <w:u w:val="single"/>
            <w:rtl w:val="true"/>
          </w:rPr>
          <w:t>)).</w:t>
        </w:r>
      </w:hyperlink>
      <w:r>
        <w:rPr>
          <w:rtl w:val="true"/>
        </w:rPr>
        <w:t xml:space="preserve"> </w:t>
      </w:r>
      <w:r>
        <w:rPr>
          <w:rtl w:val="true"/>
        </w:rPr>
        <w:t xml:space="preserve">נוסף על נסיבות אלה המנויות </w:t>
      </w:r>
      <w:hyperlink r:id="rId108">
        <w:r>
          <w:rPr>
            <w:rStyle w:val="Hyperlink"/>
            <w:color w:val="0000FF"/>
            <w:u w:val="single"/>
            <w:rtl w:val="true"/>
          </w:rPr>
          <w:t>בסעיף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יא</w:t>
        </w:r>
      </w:hyperlink>
      <w:r>
        <w:rPr>
          <w:rtl w:val="true"/>
        </w:rPr>
        <w:t xml:space="preserve">, </w:t>
      </w:r>
      <w:r>
        <w:rPr>
          <w:rtl w:val="true"/>
        </w:rPr>
        <w:t xml:space="preserve">רשאי בית המשפט גם לחרוג ממתחם הענישה ההולם בשל שיקולי שיקום או הגנה על שלום הציבור לפי הוראות </w:t>
      </w:r>
      <w:hyperlink r:id="rId109">
        <w:r>
          <w:rPr>
            <w:rStyle w:val="Hyperlink"/>
            <w:color w:val="0000FF"/>
            <w:u w:val="single"/>
            <w:rtl w:val="true"/>
          </w:rPr>
          <w:t>סעיפים</w:t>
        </w:r>
        <w:r>
          <w:rPr>
            <w:rStyle w:val="Hyperlink"/>
            <w:color w:val="0000FF"/>
            <w:u w:val="single"/>
            <w:rtl w:val="true"/>
          </w:rPr>
          <w:t xml:space="preserve"> </w:t>
        </w:r>
        <w:r>
          <w:rPr>
            <w:rStyle w:val="Hyperlink"/>
            <w:color w:val="0000FF"/>
            <w:u w:val="single"/>
          </w:rPr>
          <w:t>40</w:t>
        </w:r>
        <w:r>
          <w:rPr>
            <w:rStyle w:val="Hyperlink"/>
            <w:color w:val="0000FF"/>
            <w:u w:val="single"/>
            <w:rtl w:val="true"/>
          </w:rPr>
          <w:t>ד</w:t>
        </w:r>
      </w:hyperlink>
      <w:r>
        <w:rPr>
          <w:rtl w:val="true"/>
        </w:rPr>
        <w:t xml:space="preserve"> ו</w:t>
      </w:r>
      <w:r>
        <w:rPr>
          <w:rtl w:val="true"/>
        </w:rPr>
        <w:t>-</w:t>
      </w:r>
      <w:hyperlink r:id="rId110">
        <w:r>
          <w:rPr>
            <w:rStyle w:val="Hyperlink"/>
            <w:color w:val="0000FF"/>
            <w:u w:val="single"/>
          </w:rPr>
          <w:t>40</w:t>
        </w:r>
        <w:r>
          <w:rPr>
            <w:rStyle w:val="Hyperlink"/>
            <w:color w:val="0000FF"/>
            <w:u w:val="single"/>
            <w:rtl w:val="true"/>
          </w:rPr>
          <w:t>ה</w:t>
        </w:r>
      </w:hyperlink>
      <w:r>
        <w:rPr>
          <w:rtl w:val="true"/>
        </w:rPr>
        <w:t xml:space="preserve"> ל</w:t>
      </w:r>
      <w:hyperlink r:id="rId111">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r>
        <w:rPr>
          <w:rtl w:val="true"/>
        </w:rPr>
        <w:t>כמו כן</w:t>
      </w:r>
      <w:r>
        <w:rPr>
          <w:rtl w:val="true"/>
        </w:rPr>
        <w:t xml:space="preserve">, </w:t>
      </w:r>
      <w:r>
        <w:rPr>
          <w:rtl w:val="true"/>
        </w:rPr>
        <w:t>יכול בית המשפט להתחשב בשני שיקולים נוספים בעת גזירת העונש</w:t>
      </w:r>
      <w:r>
        <w:rPr>
          <w:rtl w:val="true"/>
        </w:rPr>
        <w:t xml:space="preserve">, </w:t>
      </w:r>
      <w:r>
        <w:rPr>
          <w:rtl w:val="true"/>
        </w:rPr>
        <w:t xml:space="preserve">הרתעה אישית והרתעת הרבים </w:t>
      </w:r>
      <w:r>
        <w:rPr>
          <w:rtl w:val="true"/>
        </w:rPr>
        <w:t>(</w:t>
      </w:r>
      <w:hyperlink r:id="rId112">
        <w:r>
          <w:rPr>
            <w:rStyle w:val="Hyperlink"/>
            <w:color w:val="0000FF"/>
            <w:u w:val="single"/>
            <w:rtl w:val="true"/>
          </w:rPr>
          <w:t>סעיפים</w:t>
        </w:r>
        <w:r>
          <w:rPr>
            <w:rStyle w:val="Hyperlink"/>
            <w:color w:val="0000FF"/>
            <w:u w:val="single"/>
            <w:rtl w:val="true"/>
          </w:rPr>
          <w:t xml:space="preserve"> </w:t>
        </w:r>
        <w:r>
          <w:rPr>
            <w:rStyle w:val="Hyperlink"/>
            <w:color w:val="0000FF"/>
            <w:u w:val="single"/>
          </w:rPr>
          <w:t>40</w:t>
        </w:r>
        <w:r>
          <w:rPr>
            <w:rStyle w:val="Hyperlink"/>
            <w:color w:val="0000FF"/>
            <w:u w:val="single"/>
            <w:rtl w:val="true"/>
          </w:rPr>
          <w:t>ו</w:t>
        </w:r>
      </w:hyperlink>
      <w:r>
        <w:rPr>
          <w:rtl w:val="true"/>
        </w:rPr>
        <w:t xml:space="preserve"> ו</w:t>
      </w:r>
      <w:r>
        <w:rPr>
          <w:rtl w:val="true"/>
        </w:rPr>
        <w:t>-</w:t>
      </w:r>
      <w:hyperlink r:id="rId113">
        <w:r>
          <w:rPr>
            <w:rStyle w:val="Hyperlink"/>
            <w:color w:val="0000FF"/>
            <w:u w:val="single"/>
          </w:rPr>
          <w:t>40</w:t>
        </w:r>
        <w:r>
          <w:rPr>
            <w:rStyle w:val="Hyperlink"/>
            <w:color w:val="0000FF"/>
            <w:u w:val="single"/>
            <w:rtl w:val="true"/>
          </w:rPr>
          <w:t>ז</w:t>
        </w:r>
      </w:hyperlink>
      <w:r>
        <w:rPr>
          <w:rtl w:val="true"/>
        </w:rPr>
        <w:t xml:space="preserve">), </w:t>
      </w:r>
      <w:r>
        <w:rPr>
          <w:rtl w:val="true"/>
        </w:rPr>
        <w:t xml:space="preserve">אך אין בהם כדי </w:t>
      </w:r>
      <w:r>
        <w:rPr>
          <w:rFonts w:ascii="Century" w:hAnsi="Century" w:cs="Century"/>
          <w:sz w:val="22"/>
          <w:sz w:val="22"/>
          <w:rtl w:val="true"/>
        </w:rPr>
        <w:t>להביא לחריגה ממתחם הענישה ההולם</w:t>
      </w:r>
      <w:r>
        <w:rPr>
          <w:rFonts w:cs="Century" w:ascii="Century" w:hAnsi="Century"/>
          <w:sz w:val="22"/>
          <w:rtl w:val="true"/>
        </w:rPr>
        <w:t xml:space="preserve">. </w:t>
      </w:r>
    </w:p>
    <w:p>
      <w:pPr>
        <w:pStyle w:val="Ruller41"/>
        <w:spacing w:lineRule="auto" w:line="240"/>
        <w:ind w:end="0"/>
        <w:jc w:val="both"/>
        <w:rPr>
          <w:rFonts w:ascii="Century" w:hAnsi="Century" w:cs="Century"/>
          <w:sz w:val="22"/>
        </w:rPr>
      </w:pPr>
      <w:r>
        <w:rPr>
          <w:rFonts w:cs="Century" w:ascii="Century" w:hAnsi="Century"/>
          <w:sz w:val="22"/>
          <w:rtl w:val="true"/>
        </w:rPr>
      </w:r>
    </w:p>
    <w:p>
      <w:pPr>
        <w:pStyle w:val="Ruller41"/>
        <w:ind w:end="0"/>
        <w:jc w:val="both"/>
        <w:rPr>
          <w:rFonts w:ascii="Century" w:hAnsi="Century"/>
          <w:b/>
          <w:spacing w:val="0"/>
          <w:szCs w:val="24"/>
        </w:rPr>
      </w:pPr>
      <w:r>
        <w:rPr>
          <w:rFonts w:ascii="Century" w:hAnsi="Century" w:cs="Miriam"/>
          <w:b/>
          <w:b/>
          <w:spacing w:val="0"/>
          <w:szCs w:val="24"/>
          <w:rtl w:val="true"/>
        </w:rPr>
        <w:t>ומן</w:t>
      </w:r>
      <w:r>
        <w:rPr>
          <w:rFonts w:ascii="Century" w:hAnsi="Century" w:eastAsia="Century" w:cs="Century"/>
          <w:b/>
          <w:b/>
          <w:spacing w:val="0"/>
          <w:szCs w:val="24"/>
          <w:rtl w:val="true"/>
        </w:rPr>
        <w:t xml:space="preserve"> </w:t>
      </w:r>
      <w:r>
        <w:rPr>
          <w:rFonts w:ascii="Century" w:hAnsi="Century" w:cs="Miriam"/>
          <w:b/>
          <w:b/>
          <w:spacing w:val="0"/>
          <w:szCs w:val="24"/>
          <w:rtl w:val="true"/>
        </w:rPr>
        <w:t>הכלל</w:t>
      </w:r>
      <w:r>
        <w:rPr>
          <w:rFonts w:ascii="Century" w:hAnsi="Century" w:eastAsia="Century" w:cs="Century"/>
          <w:b/>
          <w:b/>
          <w:spacing w:val="0"/>
          <w:szCs w:val="24"/>
          <w:rtl w:val="true"/>
        </w:rPr>
        <w:t xml:space="preserve"> </w:t>
      </w:r>
      <w:r>
        <w:rPr>
          <w:rFonts w:ascii="Century" w:hAnsi="Century" w:cs="Miriam"/>
          <w:b/>
          <w:b/>
          <w:spacing w:val="0"/>
          <w:szCs w:val="24"/>
          <w:rtl w:val="true"/>
        </w:rPr>
        <w:t>אל</w:t>
      </w:r>
      <w:r>
        <w:rPr>
          <w:rFonts w:ascii="Century" w:hAnsi="Century" w:eastAsia="Century" w:cs="Century"/>
          <w:b/>
          <w:b/>
          <w:spacing w:val="0"/>
          <w:szCs w:val="24"/>
          <w:rtl w:val="true"/>
        </w:rPr>
        <w:t xml:space="preserve"> </w:t>
      </w:r>
      <w:r>
        <w:rPr>
          <w:rFonts w:ascii="Century" w:hAnsi="Century" w:cs="Miriam"/>
          <w:b/>
          <w:b/>
          <w:spacing w:val="0"/>
          <w:szCs w:val="24"/>
          <w:rtl w:val="true"/>
        </w:rPr>
        <w:t>הפרט</w:t>
      </w:r>
      <w:r>
        <w:rPr>
          <w:rFonts w:ascii="Century" w:hAnsi="Century" w:eastAsia="Century" w:cs="Century"/>
          <w:b/>
          <w:b/>
          <w:spacing w:val="0"/>
          <w:szCs w:val="24"/>
          <w:rtl w:val="true"/>
        </w:rPr>
        <w:t xml:space="preserve"> </w:t>
      </w:r>
      <w:r>
        <w:rPr>
          <w:rFonts w:ascii="Century" w:hAnsi="Century" w:cs="Miriam"/>
          <w:b/>
          <w:b/>
          <w:spacing w:val="0"/>
          <w:szCs w:val="24"/>
          <w:rtl w:val="true"/>
        </w:rPr>
        <w:t>–</w:t>
      </w:r>
      <w:r>
        <w:rPr>
          <w:rFonts w:ascii="Century" w:hAnsi="Century" w:eastAsia="Century" w:cs="Century"/>
          <w:b/>
          <w:b/>
          <w:spacing w:val="0"/>
          <w:szCs w:val="24"/>
          <w:rtl w:val="true"/>
        </w:rPr>
        <w:t xml:space="preserve"> </w:t>
      </w:r>
      <w:r>
        <w:rPr>
          <w:rFonts w:ascii="Century" w:hAnsi="Century" w:cs="Miriam"/>
          <w:b/>
          <w:b/>
          <w:spacing w:val="0"/>
          <w:szCs w:val="24"/>
          <w:rtl w:val="true"/>
        </w:rPr>
        <w:t>גזירת</w:t>
      </w:r>
      <w:r>
        <w:rPr>
          <w:rFonts w:ascii="Century" w:hAnsi="Century" w:eastAsia="Century" w:cs="Century"/>
          <w:b/>
          <w:b/>
          <w:spacing w:val="0"/>
          <w:szCs w:val="24"/>
          <w:rtl w:val="true"/>
        </w:rPr>
        <w:t xml:space="preserve"> </w:t>
      </w:r>
      <w:r>
        <w:rPr>
          <w:rFonts w:ascii="Century" w:hAnsi="Century" w:cs="Miriam"/>
          <w:b/>
          <w:b/>
          <w:spacing w:val="0"/>
          <w:szCs w:val="24"/>
          <w:rtl w:val="true"/>
        </w:rPr>
        <w:t>העונש</w:t>
      </w:r>
      <w:r>
        <w:rPr>
          <w:rFonts w:ascii="Century" w:hAnsi="Century" w:eastAsia="Century" w:cs="Century"/>
          <w:b/>
          <w:b/>
          <w:spacing w:val="0"/>
          <w:szCs w:val="24"/>
          <w:rtl w:val="true"/>
        </w:rPr>
        <w:t xml:space="preserve"> </w:t>
      </w:r>
      <w:r>
        <w:rPr>
          <w:rFonts w:ascii="Century" w:hAnsi="Century" w:cs="Miriam"/>
          <w:b/>
          <w:b/>
          <w:spacing w:val="0"/>
          <w:szCs w:val="24"/>
          <w:rtl w:val="true"/>
        </w:rPr>
        <w:t>בענייננו</w:t>
      </w:r>
      <w:r>
        <w:rPr>
          <w:rFonts w:ascii="Century" w:hAnsi="Century" w:eastAsia="Century" w:cs="Century"/>
          <w:b/>
          <w:b/>
          <w:spacing w:val="0"/>
          <w:szCs w:val="24"/>
          <w:rtl w:val="true"/>
        </w:rPr>
        <w:t xml:space="preserve"> </w:t>
      </w:r>
      <w:r>
        <w:rPr>
          <w:rFonts w:ascii="Century" w:hAnsi="Century" w:cs="Miriam"/>
          <w:b/>
          <w:b/>
          <w:spacing w:val="0"/>
          <w:szCs w:val="24"/>
          <w:rtl w:val="true"/>
        </w:rPr>
        <w:t>על</w:t>
      </w:r>
      <w:r>
        <w:rPr>
          <w:rFonts w:ascii="Century" w:hAnsi="Century" w:eastAsia="Century" w:cs="Century"/>
          <w:b/>
          <w:b/>
          <w:spacing w:val="0"/>
          <w:szCs w:val="24"/>
          <w:rtl w:val="true"/>
        </w:rPr>
        <w:t xml:space="preserve"> </w:t>
      </w:r>
      <w:r>
        <w:rPr>
          <w:rFonts w:ascii="Century" w:hAnsi="Century" w:cs="Miriam"/>
          <w:b/>
          <w:b/>
          <w:spacing w:val="0"/>
          <w:szCs w:val="24"/>
          <w:rtl w:val="true"/>
        </w:rPr>
        <w:t>פי</w:t>
      </w:r>
      <w:r>
        <w:rPr>
          <w:rFonts w:ascii="Century" w:hAnsi="Century" w:eastAsia="Century" w:cs="Century"/>
          <w:b/>
          <w:b/>
          <w:spacing w:val="0"/>
          <w:szCs w:val="24"/>
          <w:rtl w:val="true"/>
        </w:rPr>
        <w:t xml:space="preserve"> </w:t>
      </w:r>
      <w:r>
        <w:rPr>
          <w:rFonts w:ascii="Century" w:hAnsi="Century" w:cs="Miriam"/>
          <w:b/>
          <w:b/>
          <w:spacing w:val="0"/>
          <w:szCs w:val="24"/>
          <w:rtl w:val="true"/>
        </w:rPr>
        <w:t>תיקון</w:t>
      </w:r>
      <w:r>
        <w:rPr>
          <w:rFonts w:ascii="Century" w:hAnsi="Century" w:eastAsia="Century" w:cs="Century"/>
          <w:b/>
          <w:b/>
          <w:spacing w:val="0"/>
          <w:szCs w:val="24"/>
          <w:rtl w:val="true"/>
        </w:rPr>
        <w:t xml:space="preserve"> </w:t>
      </w:r>
      <w:r>
        <w:rPr>
          <w:rFonts w:cs="Miriam" w:ascii="Century" w:hAnsi="Century"/>
          <w:b/>
          <w:spacing w:val="0"/>
          <w:szCs w:val="24"/>
        </w:rPr>
        <w:t>113</w:t>
      </w:r>
    </w:p>
    <w:p>
      <w:pPr>
        <w:pStyle w:val="Ruller41"/>
        <w:spacing w:lineRule="auto" w:line="240"/>
        <w:ind w:end="0"/>
        <w:jc w:val="both"/>
        <w:rPr>
          <w:rFonts w:ascii="Century" w:hAnsi="Century" w:cs="Miriam"/>
          <w:b/>
          <w:spacing w:val="0"/>
          <w:szCs w:val="24"/>
        </w:rPr>
      </w:pPr>
      <w:r>
        <w:rPr>
          <w:rFonts w:cs="Miriam" w:ascii="Century" w:hAnsi="Century"/>
          <w:b/>
          <w:spacing w:val="0"/>
          <w:szCs w:val="24"/>
          <w:rtl w:val="true"/>
        </w:rPr>
      </w:r>
    </w:p>
    <w:p>
      <w:pPr>
        <w:pStyle w:val="Ruller41"/>
        <w:ind w:end="0"/>
        <w:jc w:val="both"/>
        <w:rPr>
          <w:rFonts w:cs="Miriam"/>
        </w:rPr>
      </w:pPr>
      <w:r>
        <w:rPr>
          <w:rFonts w:ascii="Century" w:hAnsi="Century" w:cs="Miriam"/>
          <w:b/>
          <w:b/>
          <w:spacing w:val="0"/>
          <w:szCs w:val="24"/>
          <w:rtl w:val="true"/>
        </w:rPr>
        <w:t>השלב</w:t>
      </w:r>
      <w:r>
        <w:rPr>
          <w:rFonts w:ascii="Century" w:hAnsi="Century" w:eastAsia="Century" w:cs="Century"/>
          <w:b/>
          <w:b/>
          <w:spacing w:val="0"/>
          <w:szCs w:val="24"/>
          <w:rtl w:val="true"/>
        </w:rPr>
        <w:t xml:space="preserve"> </w:t>
      </w:r>
      <w:r>
        <w:rPr>
          <w:rFonts w:ascii="Century" w:hAnsi="Century" w:cs="Miriam"/>
          <w:b/>
          <w:b/>
          <w:spacing w:val="0"/>
          <w:szCs w:val="24"/>
          <w:rtl w:val="true"/>
        </w:rPr>
        <w:t>הראשון</w:t>
      </w:r>
      <w:r>
        <w:rPr>
          <w:rFonts w:ascii="Century" w:hAnsi="Century" w:eastAsia="Century" w:cs="Century"/>
          <w:b/>
          <w:b/>
          <w:spacing w:val="0"/>
          <w:szCs w:val="24"/>
          <w:rtl w:val="true"/>
        </w:rPr>
        <w:t xml:space="preserve"> </w:t>
      </w:r>
      <w:r>
        <w:rPr>
          <w:rFonts w:ascii="Century" w:hAnsi="Century" w:cs="Miriam"/>
          <w:b/>
          <w:b/>
          <w:spacing w:val="0"/>
          <w:szCs w:val="24"/>
          <w:rtl w:val="true"/>
        </w:rPr>
        <w:t>–</w:t>
      </w:r>
      <w:r>
        <w:rPr>
          <w:rFonts w:ascii="Century" w:hAnsi="Century" w:eastAsia="Century" w:cs="Century"/>
          <w:b/>
          <w:b/>
          <w:spacing w:val="0"/>
          <w:szCs w:val="24"/>
          <w:rtl w:val="true"/>
        </w:rPr>
        <w:t xml:space="preserve"> </w:t>
      </w:r>
      <w:r>
        <w:rPr>
          <w:rFonts w:ascii="Century" w:hAnsi="Century" w:cs="Miriam"/>
          <w:b/>
          <w:b/>
          <w:spacing w:val="0"/>
          <w:szCs w:val="24"/>
          <w:rtl w:val="true"/>
        </w:rPr>
        <w:t>ריבוי</w:t>
      </w:r>
      <w:r>
        <w:rPr>
          <w:rFonts w:ascii="Century" w:hAnsi="Century" w:eastAsia="Century" w:cs="Century"/>
          <w:b/>
          <w:b/>
          <w:spacing w:val="0"/>
          <w:szCs w:val="24"/>
          <w:rtl w:val="true"/>
        </w:rPr>
        <w:t xml:space="preserve"> </w:t>
      </w:r>
      <w:r>
        <w:rPr>
          <w:rFonts w:ascii="Century" w:hAnsi="Century" w:cs="Miriam"/>
          <w:b/>
          <w:b/>
          <w:spacing w:val="0"/>
          <w:szCs w:val="24"/>
          <w:rtl w:val="true"/>
        </w:rPr>
        <w:t>עבירות</w:t>
      </w:r>
      <w:r>
        <w:rPr>
          <w:rFonts w:ascii="Century" w:hAnsi="Century" w:eastAsia="Century" w:cs="Century"/>
          <w:b/>
          <w:b/>
          <w:spacing w:val="0"/>
          <w:szCs w:val="24"/>
          <w:rtl w:val="true"/>
        </w:rPr>
        <w:t xml:space="preserve"> </w:t>
      </w:r>
    </w:p>
    <w:p>
      <w:pPr>
        <w:pStyle w:val="Ruller41"/>
        <w:spacing w:lineRule="auto" w:line="240"/>
        <w:ind w:end="0"/>
        <w:jc w:val="both"/>
        <w:rPr>
          <w:rFonts w:ascii="Century" w:hAnsi="Century" w:cs="Miriam"/>
          <w:b/>
          <w:spacing w:val="0"/>
          <w:szCs w:val="24"/>
        </w:rPr>
      </w:pPr>
      <w:r>
        <w:rPr>
          <w:rFonts w:cs="Miriam" w:ascii="Century" w:hAnsi="Century"/>
          <w:b/>
          <w:spacing w:val="0"/>
          <w:szCs w:val="24"/>
          <w:rtl w:val="true"/>
        </w:rPr>
      </w:r>
    </w:p>
    <w:p>
      <w:pPr>
        <w:pStyle w:val="Ruller42"/>
        <w:numPr>
          <w:ilvl w:val="0"/>
          <w:numId w:val="1"/>
        </w:numPr>
        <w:ind w:end="0"/>
        <w:jc w:val="both"/>
        <w:rPr/>
      </w:pPr>
      <w:r>
        <w:rPr>
          <w:rtl w:val="true"/>
        </w:rPr>
        <w:t>מגזר הדין עולה כי בית המשפט המחוזי הכריע ש</w:t>
      </w:r>
      <w:r>
        <w:rPr>
          <w:rtl w:val="true"/>
        </w:rPr>
        <w:t>"</w:t>
      </w:r>
      <w:r>
        <w:rPr>
          <w:rtl w:val="true"/>
        </w:rPr>
        <w:t>הנאשם לא תקף לבדו את המתלונן</w:t>
      </w:r>
      <w:r>
        <w:rPr>
          <w:rtl w:val="true"/>
        </w:rPr>
        <w:t xml:space="preserve">, </w:t>
      </w:r>
      <w:r>
        <w:rPr>
          <w:rtl w:val="true"/>
        </w:rPr>
        <w:t>אלא בשותפות ולאחר קשירת קשר עם שניים נוספים</w:t>
      </w:r>
      <w:r>
        <w:rPr>
          <w:rtl w:val="true"/>
        </w:rPr>
        <w:t xml:space="preserve">... </w:t>
      </w:r>
      <w:r>
        <w:rPr>
          <w:rtl w:val="true"/>
        </w:rPr>
        <w:t>נוסף לזאת יש להזכיר את העובדה שהנאשם החזיק בכליו סכין מתקפלת</w:t>
      </w:r>
      <w:r>
        <w:rPr>
          <w:rtl w:val="true"/>
        </w:rPr>
        <w:t xml:space="preserve">... </w:t>
      </w:r>
      <w:r>
        <w:rPr>
          <w:rtl w:val="true"/>
        </w:rPr>
        <w:t>כפי שרואים היטב בתצלומים</w:t>
      </w:r>
      <w:r>
        <w:rPr>
          <w:rtl w:val="true"/>
        </w:rPr>
        <w:t>" (</w:t>
      </w:r>
      <w:r>
        <w:rPr>
          <w:rtl w:val="true"/>
        </w:rPr>
        <w:t xml:space="preserve">עמודים </w:t>
      </w:r>
      <w:r>
        <w:rPr/>
        <w:t>4-3</w:t>
      </w:r>
      <w:r>
        <w:rPr>
          <w:rtl w:val="true"/>
        </w:rPr>
        <w:t xml:space="preserve"> </w:t>
      </w:r>
      <w:r>
        <w:rPr>
          <w:rtl w:val="true"/>
        </w:rPr>
        <w:t>לגזר הדין</w:t>
      </w:r>
      <w:r>
        <w:rPr>
          <w:rtl w:val="true"/>
        </w:rPr>
        <w:t xml:space="preserve">). </w:t>
      </w:r>
      <w:r>
        <w:rPr>
          <w:rtl w:val="true"/>
        </w:rPr>
        <w:t>כלומר</w:t>
      </w:r>
      <w:r>
        <w:rPr>
          <w:rtl w:val="true"/>
        </w:rPr>
        <w:t xml:space="preserve">, </w:t>
      </w:r>
      <w:r>
        <w:rPr>
          <w:rtl w:val="true"/>
        </w:rPr>
        <w:t>בענייננו אירוע אחד</w:t>
      </w:r>
      <w:r>
        <w:rPr>
          <w:rtl w:val="true"/>
        </w:rPr>
        <w:t xml:space="preserve">, </w:t>
      </w:r>
      <w:r>
        <w:rPr>
          <w:rtl w:val="true"/>
        </w:rPr>
        <w:t>אשר יש לקבוע לו מתחם עונש אחד שיהלום את העבירות בו</w:t>
      </w:r>
      <w:r>
        <w:rPr>
          <w:rtl w:val="true"/>
        </w:rPr>
        <w:t xml:space="preserve">. </w:t>
      </w:r>
      <w:r>
        <w:rPr>
          <w:rtl w:val="true"/>
        </w:rPr>
        <w:t>ניתן עוד לראות כי משמצא בית המשפט המחוזי שמדובר בעבירות קשורות</w:t>
      </w:r>
      <w:r>
        <w:rPr>
          <w:rtl w:val="true"/>
        </w:rPr>
        <w:t xml:space="preserve">, </w:t>
      </w:r>
      <w:r>
        <w:rPr>
          <w:rtl w:val="true"/>
        </w:rPr>
        <w:t>הכריע כי העבירה המרכזית היא עבירת השוד ופנה לדון בטווח הענישה הראוי לה</w:t>
      </w:r>
      <w:r>
        <w:rPr>
          <w:rtl w:val="true"/>
        </w:rPr>
        <w:t xml:space="preserve">. </w:t>
      </w:r>
      <w:r>
        <w:rPr>
          <w:rtl w:val="true"/>
        </w:rPr>
        <w:t>הכרעה זו נכונה היא</w:t>
      </w:r>
      <w:r>
        <w:rPr>
          <w:rtl w:val="true"/>
        </w:rPr>
        <w:t xml:space="preserve">. </w:t>
      </w:r>
      <w:r>
        <w:rPr>
          <w:rtl w:val="true"/>
        </w:rPr>
        <w:t>עבירות קשירת הקשר והחזקת הסכין הן משניות לעבירת השוד בנסיבות מחמירות</w:t>
      </w:r>
      <w:r>
        <w:rPr>
          <w:rtl w:val="true"/>
        </w:rPr>
        <w:t xml:space="preserve">. </w:t>
      </w:r>
      <w:r>
        <w:rPr>
          <w:rtl w:val="true"/>
        </w:rPr>
        <w:t>ויודגש</w:t>
      </w:r>
      <w:r>
        <w:rPr>
          <w:rtl w:val="true"/>
        </w:rPr>
        <w:t xml:space="preserve">, </w:t>
      </w:r>
      <w:r>
        <w:rPr>
          <w:rtl w:val="true"/>
        </w:rPr>
        <w:t>קביעה זו נכונה היא לעניינו של המערער</w:t>
      </w:r>
      <w:r>
        <w:rPr>
          <w:rtl w:val="true"/>
        </w:rPr>
        <w:t xml:space="preserve">, </w:t>
      </w:r>
      <w:r>
        <w:rPr>
          <w:rtl w:val="true"/>
        </w:rPr>
        <w:t>ואין ללמוד ממנה על עבירות דומות במקרים אחרים</w:t>
      </w:r>
      <w:r>
        <w:rPr>
          <w:rtl w:val="true"/>
        </w:rPr>
        <w:t xml:space="preserve">. </w:t>
      </w:r>
    </w:p>
    <w:p>
      <w:pPr>
        <w:pStyle w:val="Ruller41"/>
        <w:ind w:end="0"/>
        <w:jc w:val="both"/>
        <w:rPr/>
      </w:pPr>
      <w:r>
        <w:rPr>
          <w:rtl w:val="true"/>
        </w:rPr>
      </w:r>
    </w:p>
    <w:p>
      <w:pPr>
        <w:pStyle w:val="Ruller41"/>
        <w:ind w:end="0"/>
        <w:jc w:val="both"/>
        <w:rPr>
          <w:rFonts w:ascii="Times New Roman" w:hAnsi="Times New Roman"/>
          <w:spacing w:val="0"/>
          <w:sz w:val="28"/>
          <w:szCs w:val="24"/>
        </w:rPr>
      </w:pPr>
      <w:r>
        <w:rPr>
          <w:rFonts w:ascii="Times New Roman" w:hAnsi="Times New Roman" w:cs="Miriam"/>
          <w:spacing w:val="0"/>
          <w:sz w:val="28"/>
          <w:sz w:val="28"/>
          <w:szCs w:val="24"/>
          <w:rtl w:val="true"/>
        </w:rPr>
        <w:t>השלב</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השני</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קביעת</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מתחם</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ענישה</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הולם</w:t>
      </w:r>
    </w:p>
    <w:p>
      <w:pPr>
        <w:pStyle w:val="Ruller41"/>
        <w:spacing w:lineRule="auto" w:line="240"/>
        <w:ind w:end="0"/>
        <w:jc w:val="both"/>
        <w:rPr>
          <w:rFonts w:ascii="Times New Roman" w:hAnsi="Times New Roman" w:cs="Miriam"/>
          <w:spacing w:val="0"/>
          <w:sz w:val="28"/>
          <w:szCs w:val="24"/>
        </w:rPr>
      </w:pPr>
      <w:r>
        <w:rPr>
          <w:rFonts w:cs="Miriam" w:ascii="Times New Roman" w:hAnsi="Times New Roman"/>
          <w:spacing w:val="0"/>
          <w:sz w:val="28"/>
          <w:szCs w:val="24"/>
          <w:rtl w:val="true"/>
        </w:rPr>
      </w:r>
    </w:p>
    <w:p>
      <w:pPr>
        <w:pStyle w:val="Ruller42"/>
        <w:numPr>
          <w:ilvl w:val="0"/>
          <w:numId w:val="1"/>
        </w:numPr>
        <w:ind w:end="0"/>
        <w:jc w:val="both"/>
        <w:rPr/>
      </w:pPr>
      <w:r>
        <w:rPr>
          <w:rtl w:val="true"/>
        </w:rPr>
        <w:t xml:space="preserve">מצאתי כי בית משפט זה קבע שבעבירות שוד בנסיבות מחמירות לפי </w:t>
      </w:r>
      <w:hyperlink r:id="rId114">
        <w:r>
          <w:rPr>
            <w:rStyle w:val="Hyperlink"/>
            <w:color w:val="0000FF"/>
            <w:u w:val="single"/>
            <w:rtl w:val="true"/>
          </w:rPr>
          <w:t>סעיף</w:t>
        </w:r>
        <w:r>
          <w:rPr>
            <w:rStyle w:val="Hyperlink"/>
            <w:color w:val="0000FF"/>
            <w:u w:val="single"/>
            <w:rtl w:val="true"/>
          </w:rPr>
          <w:t xml:space="preserve"> </w:t>
        </w:r>
        <w:r>
          <w:rPr>
            <w:rStyle w:val="Hyperlink"/>
            <w:color w:val="0000FF"/>
            <w:u w:val="single"/>
          </w:rPr>
          <w:t>402</w:t>
        </w:r>
        <w:r>
          <w:rPr>
            <w:rStyle w:val="Hyperlink"/>
            <w:color w:val="0000FF"/>
            <w:u w:val="single"/>
            <w:rtl w:val="true"/>
          </w:rPr>
          <w:t>(</w:t>
        </w:r>
        <w:r>
          <w:rPr>
            <w:rStyle w:val="Hyperlink"/>
            <w:color w:val="0000FF"/>
            <w:u w:val="single"/>
            <w:rtl w:val="true"/>
          </w:rPr>
          <w:t>ב</w:t>
        </w:r>
        <w:r>
          <w:rPr>
            <w:rStyle w:val="Hyperlink"/>
            <w:color w:val="0000FF"/>
            <w:u w:val="single"/>
            <w:rtl w:val="true"/>
          </w:rPr>
          <w:t>)</w:t>
        </w:r>
      </w:hyperlink>
      <w:r>
        <w:rPr>
          <w:rtl w:val="true"/>
        </w:rPr>
        <w:t xml:space="preserve"> (</w:t>
      </w:r>
      <w:r>
        <w:rPr>
          <w:rtl w:val="true"/>
        </w:rPr>
        <w:t xml:space="preserve">באירוע אחד עם עבירת קשירת קשר לפי </w:t>
      </w:r>
      <w:hyperlink r:id="rId115">
        <w:r>
          <w:rPr>
            <w:rStyle w:val="Hyperlink"/>
            <w:color w:val="0000FF"/>
            <w:u w:val="single"/>
            <w:rtl w:val="true"/>
          </w:rPr>
          <w:t>סעיף</w:t>
        </w:r>
        <w:r>
          <w:rPr>
            <w:rStyle w:val="Hyperlink"/>
            <w:color w:val="0000FF"/>
            <w:u w:val="single"/>
            <w:rtl w:val="true"/>
          </w:rPr>
          <w:t xml:space="preserve"> </w:t>
        </w:r>
        <w:r>
          <w:rPr>
            <w:rStyle w:val="Hyperlink"/>
            <w:color w:val="0000FF"/>
            <w:u w:val="single"/>
          </w:rPr>
          <w:t>499</w:t>
        </w:r>
      </w:hyperlink>
      <w:r>
        <w:rPr>
          <w:rtl w:val="true"/>
        </w:rPr>
        <w:t xml:space="preserve"> </w:t>
      </w:r>
      <w:r>
        <w:rPr>
          <w:rtl w:val="true"/>
        </w:rPr>
        <w:t>לחוק</w:t>
      </w:r>
      <w:r>
        <w:rPr>
          <w:rtl w:val="true"/>
        </w:rPr>
        <w:t xml:space="preserve">) </w:t>
      </w:r>
      <w:r>
        <w:rPr>
          <w:rtl w:val="true"/>
        </w:rPr>
        <w:t xml:space="preserve">נעה </w:t>
      </w:r>
      <w:r>
        <w:rPr>
          <w:rFonts w:ascii="Times New Roman" w:hAnsi="Times New Roman" w:cs="Miriam"/>
          <w:spacing w:val="0"/>
          <w:sz w:val="28"/>
          <w:sz w:val="28"/>
          <w:szCs w:val="24"/>
          <w:rtl w:val="true"/>
        </w:rPr>
        <w:t>מדיניות</w:t>
      </w:r>
      <w:r>
        <w:rPr>
          <w:rtl w:val="true"/>
        </w:rPr>
        <w:t xml:space="preserve"> </w:t>
      </w:r>
      <w:r>
        <w:rPr>
          <w:rFonts w:ascii="Times New Roman" w:hAnsi="Times New Roman" w:cs="Miriam"/>
          <w:spacing w:val="0"/>
          <w:sz w:val="28"/>
          <w:sz w:val="28"/>
          <w:szCs w:val="24"/>
          <w:rtl w:val="true"/>
        </w:rPr>
        <w:t>הענישה</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הנוהגת</w:t>
      </w:r>
      <w:r>
        <w:rPr>
          <w:rtl w:val="true"/>
        </w:rPr>
        <w:t xml:space="preserve"> בין </w:t>
      </w:r>
      <w:r>
        <w:rPr/>
        <w:t>32</w:t>
      </w:r>
      <w:r>
        <w:rPr>
          <w:rtl w:val="true"/>
        </w:rPr>
        <w:t xml:space="preserve"> </w:t>
      </w:r>
      <w:r>
        <w:rPr>
          <w:rtl w:val="true"/>
        </w:rPr>
        <w:t>חודשי מאסר בפועל ל</w:t>
      </w:r>
      <w:r>
        <w:rPr>
          <w:rtl w:val="true"/>
        </w:rPr>
        <w:t>-</w:t>
      </w:r>
      <w:r>
        <w:rPr/>
        <w:t>42</w:t>
      </w:r>
      <w:r>
        <w:rPr>
          <w:rtl w:val="true"/>
        </w:rPr>
        <w:t xml:space="preserve"> </w:t>
      </w:r>
      <w:r>
        <w:rPr>
          <w:rtl w:val="true"/>
        </w:rPr>
        <w:t xml:space="preserve">חודשי מאסר בפועל </w:t>
      </w:r>
      <w:r>
        <w:rPr>
          <w:rtl w:val="true"/>
        </w:rPr>
        <w:t>(</w:t>
      </w:r>
      <w:r>
        <w:rPr>
          <w:rtl w:val="true"/>
        </w:rPr>
        <w:t xml:space="preserve">עניין </w:t>
      </w:r>
      <w:r>
        <w:rPr>
          <w:rFonts w:ascii="Times New Roman" w:hAnsi="Times New Roman" w:cs="Miriam"/>
          <w:spacing w:val="0"/>
          <w:sz w:val="28"/>
          <w:sz w:val="28"/>
          <w:szCs w:val="24"/>
          <w:rtl w:val="true"/>
        </w:rPr>
        <w:t>כאברי</w:t>
      </w:r>
      <w:r>
        <w:rPr>
          <w:rtl w:val="true"/>
        </w:rPr>
        <w:t xml:space="preserve"> – ראו בפסקאו</w:t>
      </w:r>
      <w:r>
        <w:rPr>
          <w:rtl w:val="true"/>
        </w:rPr>
        <w:t>ת</w:t>
      </w:r>
      <w:r>
        <w:rPr>
          <w:rtl w:val="true"/>
        </w:rPr>
        <w:t xml:space="preserve"> </w:t>
      </w:r>
      <w:r>
        <w:rPr/>
        <w:t>19-18</w:t>
      </w:r>
      <w:r>
        <w:rPr>
          <w:rtl w:val="true"/>
        </w:rPr>
        <w:t xml:space="preserve"> </w:t>
      </w:r>
      <w:r>
        <w:rPr>
          <w:rtl w:val="true"/>
        </w:rPr>
        <w:t>לעיל</w:t>
      </w:r>
      <w:r>
        <w:rPr>
          <w:rtl w:val="true"/>
        </w:rPr>
        <w:t xml:space="preserve">). </w:t>
      </w:r>
      <w:r>
        <w:rPr>
          <w:rtl w:val="true"/>
        </w:rPr>
        <w:t>זאת</w:t>
      </w:r>
      <w:r>
        <w:rPr>
          <w:rtl w:val="true"/>
        </w:rPr>
        <w:t xml:space="preserve">, </w:t>
      </w:r>
      <w:r>
        <w:rPr>
          <w:rtl w:val="true"/>
        </w:rPr>
        <w:t>לעומת קביעותיו של בית המשפט המחוזי</w:t>
      </w:r>
      <w:r>
        <w:rPr>
          <w:rtl w:val="true"/>
        </w:rPr>
        <w:t xml:space="preserve">. </w:t>
      </w:r>
      <w:r>
        <w:rPr>
          <w:rtl w:val="true"/>
        </w:rPr>
        <w:t>עם זאת</w:t>
      </w:r>
      <w:r>
        <w:rPr>
          <w:rtl w:val="true"/>
        </w:rPr>
        <w:t xml:space="preserve">, </w:t>
      </w:r>
      <w:r>
        <w:rPr>
          <w:rtl w:val="true"/>
        </w:rPr>
        <w:t>עלינו להתחשב גם בכך</w:t>
      </w:r>
      <w:r>
        <w:rPr>
          <w:rtl w:val="true"/>
        </w:rPr>
        <w:t xml:space="preserve">, </w:t>
      </w:r>
      <w:r>
        <w:rPr>
          <w:rtl w:val="true"/>
        </w:rPr>
        <w:t xml:space="preserve">שמדיניות ענישה זו שהצביע עליה בית המשפט נוגעת לנסיבות מעט פחות חמורות מענייננו </w:t>
      </w:r>
      <w:r>
        <w:rPr>
          <w:rtl w:val="true"/>
        </w:rPr>
        <w:t>(</w:t>
      </w:r>
      <w:r>
        <w:rPr>
          <w:rtl w:val="true"/>
        </w:rPr>
        <w:t>כפי שיפורט בהמשך</w:t>
      </w:r>
      <w:r>
        <w:rPr>
          <w:rtl w:val="true"/>
        </w:rPr>
        <w:t xml:space="preserve">) </w:t>
      </w:r>
      <w:r>
        <w:rPr>
          <w:rtl w:val="true"/>
        </w:rPr>
        <w:t>וכן</w:t>
      </w:r>
      <w:r>
        <w:rPr>
          <w:rtl w:val="true"/>
        </w:rPr>
        <w:t xml:space="preserve">, </w:t>
      </w:r>
      <w:r>
        <w:rPr>
          <w:rtl w:val="true"/>
        </w:rPr>
        <w:t xml:space="preserve">כי מדובר במדיניות הענישה הנוהגת </w:t>
      </w:r>
      <w:r>
        <w:rPr>
          <w:rFonts w:ascii="Times New Roman" w:hAnsi="Times New Roman" w:cs="Miriam"/>
          <w:spacing w:val="0"/>
          <w:sz w:val="28"/>
          <w:sz w:val="28"/>
          <w:szCs w:val="24"/>
          <w:rtl w:val="true"/>
        </w:rPr>
        <w:t>טרם</w:t>
      </w:r>
      <w:r>
        <w:rPr>
          <w:rtl w:val="true"/>
        </w:rPr>
        <w:t xml:space="preserve"> כניסתו לתוקף של תיקון </w:t>
      </w:r>
      <w:r>
        <w:rPr/>
        <w:t>113</w:t>
      </w:r>
      <w:r>
        <w:rPr>
          <w:rtl w:val="true"/>
        </w:rPr>
        <w:t xml:space="preserve">. </w:t>
      </w:r>
      <w:r>
        <w:rPr>
          <w:rtl w:val="true"/>
        </w:rPr>
        <w:t>משמעות הדבר היא שלתוך מדיניות הענישה הנהוגה שוקללו גם הערך החברתי של העבירות</w:t>
      </w:r>
      <w:r>
        <w:rPr>
          <w:rtl w:val="true"/>
        </w:rPr>
        <w:t xml:space="preserve">, </w:t>
      </w:r>
      <w:r>
        <w:rPr>
          <w:rtl w:val="true"/>
        </w:rPr>
        <w:t>הנסיבות בהן היא נעברה</w:t>
      </w:r>
      <w:r>
        <w:rPr>
          <w:rtl w:val="true"/>
        </w:rPr>
        <w:t xml:space="preserve">, </w:t>
      </w:r>
      <w:r>
        <w:rPr>
          <w:rFonts w:ascii="Times New Roman" w:hAnsi="Times New Roman" w:cs="Miriam"/>
          <w:spacing w:val="0"/>
          <w:sz w:val="28"/>
          <w:sz w:val="28"/>
          <w:szCs w:val="24"/>
          <w:rtl w:val="true"/>
        </w:rPr>
        <w:t>וגם</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הנסיבות</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החיצוניות</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לה</w:t>
      </w:r>
      <w:r>
        <w:rPr>
          <w:rFonts w:cs="Miriam" w:ascii="Times New Roman" w:hAnsi="Times New Roman"/>
          <w:spacing w:val="0"/>
          <w:sz w:val="28"/>
          <w:szCs w:val="24"/>
          <w:rtl w:val="true"/>
        </w:rPr>
        <w:t xml:space="preserve">, </w:t>
      </w:r>
      <w:r>
        <w:rPr>
          <w:rFonts w:ascii="Times New Roman" w:hAnsi="Times New Roman" w:cs="Miriam"/>
          <w:spacing w:val="0"/>
          <w:sz w:val="28"/>
          <w:sz w:val="28"/>
          <w:szCs w:val="24"/>
          <w:rtl w:val="true"/>
        </w:rPr>
        <w:t>בהתאם</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לכל</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נאשם</w:t>
      </w:r>
      <w:r>
        <w:rPr>
          <w:rtl w:val="true"/>
        </w:rPr>
        <w:t xml:space="preserve"> </w:t>
      </w:r>
      <w:r>
        <w:rPr>
          <w:rtl w:val="true"/>
        </w:rPr>
        <w:t>(</w:t>
      </w:r>
      <w:r>
        <w:rPr>
          <w:rtl w:val="true"/>
        </w:rPr>
        <w:t>וראו</w:t>
      </w:r>
      <w:r>
        <w:rPr>
          <w:rtl w:val="true"/>
        </w:rPr>
        <w:t xml:space="preserve">: </w:t>
      </w:r>
      <w:r>
        <w:rPr>
          <w:rtl w:val="true"/>
        </w:rPr>
        <w:t>גזל</w:t>
      </w:r>
      <w:r>
        <w:rPr>
          <w:rtl w:val="true"/>
        </w:rPr>
        <w:t>-</w:t>
      </w:r>
      <w:r>
        <w:rPr>
          <w:rtl w:val="true"/>
        </w:rPr>
        <w:t>אייל</w:t>
      </w:r>
      <w:r>
        <w:rPr>
          <w:rtl w:val="true"/>
        </w:rPr>
        <w:t xml:space="preserve">, </w:t>
      </w:r>
      <w:r>
        <w:rPr>
          <w:rtl w:val="true"/>
        </w:rPr>
        <w:t>בעמ</w:t>
      </w:r>
      <w:r>
        <w:rPr>
          <w:rtl w:val="true"/>
        </w:rPr>
        <w:t xml:space="preserve">' </w:t>
      </w:r>
      <w:r>
        <w:rPr/>
        <w:t>7</w:t>
      </w:r>
      <w:r>
        <w:rPr>
          <w:rtl w:val="true"/>
        </w:rPr>
        <w:t xml:space="preserve">, </w:t>
      </w:r>
      <w:r>
        <w:rPr/>
        <w:t>33</w:t>
      </w:r>
      <w:r>
        <w:rPr>
          <w:rtl w:val="true"/>
        </w:rPr>
        <w:t>).</w:t>
      </w:r>
    </w:p>
    <w:p>
      <w:pPr>
        <w:pStyle w:val="Ruller42"/>
        <w:numPr>
          <w:ilvl w:val="0"/>
          <w:numId w:val="0"/>
        </w:numPr>
        <w:ind w:hanging="0" w:start="0" w:end="0"/>
        <w:jc w:val="both"/>
        <w:rPr/>
      </w:pPr>
      <w:r>
        <w:rPr>
          <w:rtl w:val="true"/>
        </w:rPr>
      </w:r>
    </w:p>
    <w:p>
      <w:pPr>
        <w:pStyle w:val="Ruller42"/>
        <w:numPr>
          <w:ilvl w:val="0"/>
          <w:numId w:val="1"/>
        </w:numPr>
        <w:ind w:end="0"/>
        <w:jc w:val="both"/>
        <w:rPr/>
      </w:pPr>
      <w:r>
        <w:rPr>
          <w:rtl w:val="true"/>
        </w:rPr>
        <w:t>בבואנו לקבוע את מתחם הענישה ההולם</w:t>
      </w:r>
      <w:r>
        <w:rPr>
          <w:rtl w:val="true"/>
        </w:rPr>
        <w:t xml:space="preserve">, </w:t>
      </w:r>
      <w:r>
        <w:rPr>
          <w:rtl w:val="true"/>
        </w:rPr>
        <w:t>יש להתחשב עתה</w:t>
      </w:r>
      <w:r>
        <w:rPr>
          <w:rtl w:val="true"/>
        </w:rPr>
        <w:t xml:space="preserve">, </w:t>
      </w:r>
      <w:r>
        <w:rPr>
          <w:rtl w:val="true"/>
        </w:rPr>
        <w:t>כאמור לעיל</w:t>
      </w:r>
      <w:r>
        <w:rPr>
          <w:rtl w:val="true"/>
        </w:rPr>
        <w:t xml:space="preserve">, </w:t>
      </w:r>
      <w:r>
        <w:rPr>
          <w:rtl w:val="true"/>
        </w:rPr>
        <w:t>לא רק במדיניות הענישה הנוהגת</w:t>
      </w:r>
      <w:r>
        <w:rPr>
          <w:rtl w:val="true"/>
        </w:rPr>
        <w:t xml:space="preserve">, </w:t>
      </w:r>
      <w:r>
        <w:rPr>
          <w:rtl w:val="true"/>
        </w:rPr>
        <w:t>אלא גם בערך החברתי שנפגע מביצוע העבירה ומידת הפגיעה בו</w:t>
      </w:r>
      <w:r>
        <w:rPr>
          <w:rtl w:val="true"/>
        </w:rPr>
        <w:t xml:space="preserve">, </w:t>
      </w:r>
      <w:r>
        <w:rPr>
          <w:rtl w:val="true"/>
        </w:rPr>
        <w:t>וגם בנסיבות העבירה</w:t>
      </w:r>
      <w:r>
        <w:rPr>
          <w:rtl w:val="true"/>
        </w:rPr>
        <w:t xml:space="preserve">. </w:t>
      </w:r>
    </w:p>
    <w:p>
      <w:pPr>
        <w:pStyle w:val="Ruller41"/>
        <w:ind w:end="0"/>
        <w:jc w:val="both"/>
        <w:rPr/>
      </w:pPr>
      <w:r>
        <w:rPr>
          <w:rtl w:val="true"/>
        </w:rPr>
      </w:r>
    </w:p>
    <w:p>
      <w:pPr>
        <w:pStyle w:val="Ruller42"/>
        <w:numPr>
          <w:ilvl w:val="0"/>
          <w:numId w:val="1"/>
        </w:numPr>
        <w:ind w:end="0"/>
        <w:jc w:val="both"/>
        <w:rPr/>
      </w:pPr>
      <w:r>
        <w:rPr>
          <w:rtl w:val="true"/>
        </w:rPr>
        <w:t>הערך החברתי שנפגע מביצוע עבירת שוד הוא כבודם</w:t>
      </w:r>
      <w:r>
        <w:rPr>
          <w:rtl w:val="true"/>
        </w:rPr>
        <w:t xml:space="preserve">, </w:t>
      </w:r>
      <w:r>
        <w:rPr>
          <w:rtl w:val="true"/>
        </w:rPr>
        <w:t>חירותם ורכושם של המתלוננים – קורבנות העבירה וביטחונו של הציבור</w:t>
      </w:r>
      <w:r>
        <w:rPr>
          <w:rtl w:val="true"/>
        </w:rPr>
        <w:t xml:space="preserve">, </w:t>
      </w:r>
      <w:r>
        <w:rPr>
          <w:rtl w:val="true"/>
        </w:rPr>
        <w:t>יכולתו הממשית לחיות את חייו</w:t>
      </w:r>
      <w:r>
        <w:rPr>
          <w:rtl w:val="true"/>
        </w:rPr>
        <w:t xml:space="preserve">, </w:t>
      </w:r>
      <w:r>
        <w:rPr>
          <w:rtl w:val="true"/>
        </w:rPr>
        <w:t xml:space="preserve">ולהלך ברחובות ללא חשש </w:t>
      </w:r>
      <w:r>
        <w:rPr>
          <w:rtl w:val="true"/>
        </w:rPr>
        <w:t>(</w:t>
      </w:r>
      <w:r>
        <w:rPr>
          <w:rtl w:val="true"/>
        </w:rPr>
        <w:t>ראו גם</w:t>
      </w:r>
      <w:r>
        <w:rPr>
          <w:rtl w:val="true"/>
        </w:rPr>
        <w:t xml:space="preserve">: </w:t>
      </w:r>
      <w:hyperlink r:id="rId116">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3027/13</w:t>
        </w:r>
      </w:hyperlink>
      <w:r>
        <w:rPr>
          <w:rtl w:val="true"/>
        </w:rPr>
        <w:t xml:space="preserve"> </w:t>
      </w:r>
      <w:r>
        <w:rPr>
          <w:rFonts w:ascii="Century" w:hAnsi="Century" w:cs="Miriam"/>
          <w:b/>
          <w:b/>
          <w:spacing w:val="0"/>
          <w:sz w:val="22"/>
          <w:sz w:val="22"/>
          <w:szCs w:val="24"/>
          <w:rtl w:val="true"/>
        </w:rPr>
        <w:t>דהוקרקר</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cs="Century" w:ascii="Century" w:hAnsi="Century"/>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ascii="Century" w:hAnsi="Century" w:cs="Century"/>
          <w:sz w:val="22"/>
          <w:sz w:val="22"/>
          <w:rtl w:val="true"/>
        </w:rPr>
        <w:t xml:space="preserve">פסקה </w:t>
      </w:r>
      <w:r>
        <w:rPr>
          <w:rFonts w:cs="Century" w:ascii="Century" w:hAnsi="Century"/>
          <w:sz w:val="22"/>
        </w:rPr>
        <w:t>8</w:t>
      </w:r>
      <w:r>
        <w:rPr>
          <w:rFonts w:cs="Century" w:ascii="Century" w:hAnsi="Century"/>
          <w:sz w:val="22"/>
          <w:rtl w:val="true"/>
        </w:rPr>
        <w:t xml:space="preserve"> </w:t>
      </w:r>
      <w:r>
        <w:rPr>
          <w:rFonts w:ascii="Century" w:hAnsi="Century" w:cs="Century"/>
          <w:sz w:val="22"/>
          <w:sz w:val="22"/>
          <w:rtl w:val="true"/>
        </w:rPr>
        <w:t xml:space="preserve">לפסק דינו של השופט </w:t>
      </w:r>
      <w:r>
        <w:rPr>
          <w:rFonts w:ascii="Century" w:hAnsi="Century" w:cs="Miriam"/>
          <w:b/>
          <w:b/>
          <w:spacing w:val="0"/>
          <w:sz w:val="22"/>
          <w:sz w:val="22"/>
          <w:szCs w:val="24"/>
          <w:rtl w:val="true"/>
        </w:rPr>
        <w:t>ע</w:t>
      </w:r>
      <w:r>
        <w:rPr>
          <w:rFonts w:cs="Miriam" w:ascii="Century" w:hAnsi="Century"/>
          <w:b/>
          <w:spacing w:val="0"/>
          <w:sz w:val="22"/>
          <w:szCs w:val="24"/>
          <w:rtl w:val="true"/>
        </w:rPr>
        <w:t xml:space="preserve">' </w:t>
      </w:r>
      <w:r>
        <w:rPr>
          <w:rFonts w:ascii="Century" w:hAnsi="Century" w:cs="Miriam"/>
          <w:b/>
          <w:b/>
          <w:spacing w:val="0"/>
          <w:sz w:val="22"/>
          <w:sz w:val="22"/>
          <w:szCs w:val="24"/>
          <w:rtl w:val="true"/>
        </w:rPr>
        <w:t>פוגלמן</w:t>
      </w:r>
      <w:r>
        <w:rPr>
          <w:rFonts w:ascii="Century" w:hAnsi="Century" w:cs="Century"/>
          <w:sz w:val="22"/>
          <w:sz w:val="22"/>
          <w:rtl w:val="true"/>
        </w:rPr>
        <w:t xml:space="preserve"> </w:t>
      </w:r>
      <w:r>
        <w:rPr>
          <w:rFonts w:cs="Century" w:ascii="Century" w:hAnsi="Century"/>
          <w:sz w:val="22"/>
          <w:rtl w:val="true"/>
        </w:rPr>
        <w:t>(</w:t>
      </w:r>
      <w:r>
        <w:rPr>
          <w:rFonts w:cs="Century" w:ascii="Century" w:hAnsi="Century"/>
          <w:sz w:val="22"/>
        </w:rPr>
        <w:t>4.12.2013</w:t>
      </w:r>
      <w:r>
        <w:rPr>
          <w:rFonts w:cs="Century" w:ascii="Century" w:hAnsi="Century"/>
          <w:sz w:val="22"/>
          <w:rtl w:val="true"/>
        </w:rPr>
        <w:t>))</w:t>
      </w:r>
      <w:r>
        <w:rPr>
          <w:rtl w:val="true"/>
        </w:rPr>
        <w:t xml:space="preserve">. </w:t>
      </w:r>
      <w:r>
        <w:rPr>
          <w:rtl w:val="true"/>
        </w:rPr>
        <w:t>עם זאת</w:t>
      </w:r>
      <w:r>
        <w:rPr>
          <w:rtl w:val="true"/>
        </w:rPr>
        <w:t xml:space="preserve">, </w:t>
      </w:r>
      <w:r>
        <w:rPr>
          <w:rtl w:val="true"/>
        </w:rPr>
        <w:t xml:space="preserve">כבר הבהרנו כי יש להבחין בין עבירות שוד בדרגות שונות </w:t>
      </w:r>
      <w:r>
        <w:rPr>
          <w:rFonts w:cs="Century" w:ascii="Century" w:hAnsi="Century"/>
          <w:sz w:val="22"/>
          <w:rtl w:val="true"/>
        </w:rPr>
        <w:t>(</w:t>
      </w:r>
      <w:r>
        <w:rPr>
          <w:rFonts w:ascii="Century" w:hAnsi="Century" w:cs="Century"/>
          <w:sz w:val="22"/>
          <w:sz w:val="22"/>
          <w:rtl w:val="true"/>
        </w:rPr>
        <w:t>ראו</w:t>
      </w:r>
      <w:r>
        <w:rPr>
          <w:rFonts w:cs="Century" w:ascii="Century" w:hAnsi="Century"/>
          <w:sz w:val="22"/>
          <w:rtl w:val="true"/>
        </w:rPr>
        <w:t xml:space="preserve">: </w:t>
      </w:r>
      <w:r>
        <w:rPr>
          <w:rFonts w:ascii="Century" w:hAnsi="Century" w:cs="Century"/>
          <w:sz w:val="22"/>
          <w:sz w:val="22"/>
          <w:rtl w:val="true"/>
        </w:rPr>
        <w:t xml:space="preserve">עניין </w:t>
      </w:r>
      <w:r>
        <w:rPr>
          <w:rFonts w:ascii="Century" w:hAnsi="Century" w:cs="Miriam"/>
          <w:b/>
          <w:b/>
          <w:spacing w:val="0"/>
          <w:sz w:val="22"/>
          <w:sz w:val="22"/>
          <w:szCs w:val="24"/>
          <w:rtl w:val="true"/>
        </w:rPr>
        <w:t>כאברי</w:t>
      </w:r>
      <w:r>
        <w:rPr>
          <w:rFonts w:cs="Century" w:ascii="Century" w:hAnsi="Century"/>
          <w:sz w:val="22"/>
          <w:rtl w:val="true"/>
        </w:rPr>
        <w:t xml:space="preserve">; </w:t>
      </w:r>
      <w:r>
        <w:rPr>
          <w:rFonts w:ascii="Century" w:hAnsi="Century" w:cs="Century"/>
          <w:sz w:val="22"/>
          <w:sz w:val="22"/>
          <w:rtl w:val="true"/>
        </w:rPr>
        <w:t xml:space="preserve">עניין </w:t>
      </w:r>
      <w:r>
        <w:rPr>
          <w:rFonts w:ascii="Century" w:hAnsi="Century" w:cs="Miriam"/>
          <w:b/>
          <w:b/>
          <w:spacing w:val="0"/>
          <w:sz w:val="22"/>
          <w:sz w:val="22"/>
          <w:szCs w:val="24"/>
          <w:rtl w:val="true"/>
        </w:rPr>
        <w:t>פייסל</w:t>
      </w:r>
      <w:r>
        <w:rPr>
          <w:rFonts w:cs="Century" w:ascii="Century" w:hAnsi="Century"/>
          <w:sz w:val="22"/>
          <w:rtl w:val="true"/>
        </w:rPr>
        <w:t xml:space="preserve">, </w:t>
      </w:r>
      <w:r>
        <w:rPr>
          <w:rFonts w:ascii="Century" w:hAnsi="Century" w:cs="Century"/>
          <w:sz w:val="22"/>
          <w:sz w:val="22"/>
          <w:rtl w:val="true"/>
        </w:rPr>
        <w:t xml:space="preserve">בפסקה </w:t>
      </w:r>
      <w:r>
        <w:rPr>
          <w:rFonts w:cs="Century" w:ascii="Century" w:hAnsi="Century"/>
          <w:sz w:val="22"/>
        </w:rPr>
        <w:t>7</w:t>
      </w:r>
      <w:r>
        <w:rPr>
          <w:rFonts w:cs="Century" w:ascii="Century" w:hAnsi="Century"/>
          <w:sz w:val="22"/>
          <w:rtl w:val="true"/>
        </w:rPr>
        <w:t xml:space="preserve">; </w:t>
      </w:r>
      <w:hyperlink r:id="rId117">
        <w:r>
          <w:rPr>
            <w:rStyle w:val="Hyperlink"/>
            <w:rFonts w:ascii="Century" w:hAnsi="Century" w:cs="Century"/>
            <w:color w:val="0000FF"/>
            <w:sz w:val="22"/>
            <w:sz w:val="22"/>
            <w:u w:val="single"/>
            <w:rtl w:val="true"/>
          </w:rPr>
          <w:t>ע</w:t>
        </w:r>
        <w:r>
          <w:rPr>
            <w:rStyle w:val="Hyperlink"/>
            <w:rFonts w:cs="Century" w:ascii="Century" w:hAnsi="Century"/>
            <w:color w:val="0000FF"/>
            <w:sz w:val="22"/>
            <w:u w:val="single"/>
            <w:rtl w:val="true"/>
          </w:rPr>
          <w:t>"</w:t>
        </w:r>
        <w:r>
          <w:rPr>
            <w:rStyle w:val="Hyperlink"/>
            <w:rFonts w:ascii="Century" w:hAnsi="Century" w:cs="Century"/>
            <w:color w:val="0000FF"/>
            <w:sz w:val="22"/>
            <w:sz w:val="22"/>
            <w:u w:val="single"/>
            <w:rtl w:val="true"/>
          </w:rPr>
          <w:t>פ</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3160/12</w:t>
        </w:r>
      </w:hyperlink>
      <w:r>
        <w:rPr>
          <w:rFonts w:cs="Century" w:ascii="Century" w:hAnsi="Century"/>
          <w:sz w:val="22"/>
          <w:rtl w:val="true"/>
        </w:rPr>
        <w:t xml:space="preserve"> </w:t>
      </w:r>
      <w:r>
        <w:rPr>
          <w:rFonts w:ascii="Century" w:hAnsi="Century" w:cs="Miriam"/>
          <w:b/>
          <w:b/>
          <w:spacing w:val="0"/>
          <w:sz w:val="22"/>
          <w:sz w:val="22"/>
          <w:szCs w:val="24"/>
          <w:rtl w:val="true"/>
        </w:rPr>
        <w:t>כריסטיאן</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נ</w:t>
      </w:r>
      <w:r>
        <w:rPr>
          <w:rFonts w:cs="Miriam" w:ascii="Century" w:hAnsi="Century"/>
          <w:b/>
          <w:spacing w:val="0"/>
          <w:sz w:val="22"/>
          <w:szCs w:val="24"/>
          <w:rtl w:val="true"/>
        </w:rPr>
        <w:t xml:space="preserve">' </w:t>
      </w:r>
      <w:r>
        <w:rPr>
          <w:rFonts w:ascii="Century" w:hAnsi="Century" w:cs="Miriam"/>
          <w:b/>
          <w:b/>
          <w:spacing w:val="0"/>
          <w:sz w:val="22"/>
          <w:sz w:val="22"/>
          <w:szCs w:val="24"/>
          <w:rtl w:val="true"/>
        </w:rPr>
        <w:t>מדינת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ישראל</w:t>
      </w:r>
      <w:r>
        <w:rPr>
          <w:rFonts w:cs="Century" w:ascii="Century" w:hAnsi="Century"/>
          <w:sz w:val="22"/>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Fonts w:ascii="Century" w:hAnsi="Century" w:cs="Century"/>
          <w:sz w:val="22"/>
          <w:sz w:val="22"/>
          <w:rtl w:val="true"/>
        </w:rPr>
        <w:t xml:space="preserve">בפסקאות </w:t>
      </w:r>
      <w:r>
        <w:rPr>
          <w:rFonts w:cs="Century" w:ascii="Century" w:hAnsi="Century"/>
          <w:sz w:val="22"/>
        </w:rPr>
        <w:t>10-9</w:t>
      </w:r>
      <w:r>
        <w:rPr>
          <w:rFonts w:cs="Century" w:ascii="Century" w:hAnsi="Century"/>
          <w:sz w:val="22"/>
          <w:rtl w:val="true"/>
        </w:rPr>
        <w:t xml:space="preserve"> </w:t>
      </w:r>
      <w:r>
        <w:rPr>
          <w:rFonts w:ascii="Century" w:hAnsi="Century" w:cs="Century"/>
          <w:sz w:val="22"/>
          <w:sz w:val="22"/>
          <w:rtl w:val="true"/>
        </w:rPr>
        <w:t xml:space="preserve">לפסק דינו של השופט </w:t>
      </w:r>
      <w:r>
        <w:rPr>
          <w:rFonts w:ascii="Century" w:hAnsi="Century" w:cs="Miriam"/>
          <w:b/>
          <w:b/>
          <w:spacing w:val="0"/>
          <w:sz w:val="22"/>
          <w:sz w:val="22"/>
          <w:szCs w:val="24"/>
          <w:rtl w:val="true"/>
        </w:rPr>
        <w:t>י</w:t>
      </w:r>
      <w:r>
        <w:rPr>
          <w:rFonts w:cs="Miriam" w:ascii="Century" w:hAnsi="Century"/>
          <w:b/>
          <w:spacing w:val="0"/>
          <w:sz w:val="22"/>
          <w:szCs w:val="24"/>
          <w:rtl w:val="true"/>
        </w:rPr>
        <w:t xml:space="preserve">' </w:t>
      </w:r>
      <w:r>
        <w:rPr>
          <w:rFonts w:ascii="Century" w:hAnsi="Century" w:cs="Miriam"/>
          <w:b/>
          <w:b/>
          <w:spacing w:val="0"/>
          <w:sz w:val="22"/>
          <w:sz w:val="22"/>
          <w:szCs w:val="24"/>
          <w:rtl w:val="true"/>
        </w:rPr>
        <w:t>דנציגר</w:t>
      </w:r>
      <w:r>
        <w:rPr>
          <w:rFonts w:ascii="Century" w:hAnsi="Century" w:eastAsia="Century" w:cs="Century"/>
          <w:b/>
          <w:b/>
          <w:spacing w:val="0"/>
          <w:sz w:val="22"/>
          <w:sz w:val="22"/>
          <w:szCs w:val="24"/>
          <w:rtl w:val="true"/>
        </w:rPr>
        <w:t xml:space="preserve"> </w:t>
      </w:r>
      <w:r>
        <w:rPr>
          <w:rFonts w:cs="Century" w:ascii="Century" w:hAnsi="Century"/>
          <w:sz w:val="22"/>
          <w:rtl w:val="true"/>
        </w:rPr>
        <w:t>(</w:t>
      </w:r>
      <w:r>
        <w:rPr>
          <w:rFonts w:cs="Century" w:ascii="Century" w:hAnsi="Century"/>
          <w:sz w:val="22"/>
        </w:rPr>
        <w:t>21.4.2013</w:t>
      </w:r>
      <w:r>
        <w:rPr>
          <w:rFonts w:cs="Century" w:ascii="Century" w:hAnsi="Century"/>
          <w:sz w:val="22"/>
          <w:rtl w:val="true"/>
        </w:rPr>
        <w:t>) (</w:t>
      </w:r>
      <w:r>
        <w:rPr>
          <w:rFonts w:ascii="Century" w:hAnsi="Century" w:cs="Century"/>
          <w:sz w:val="22"/>
          <w:sz w:val="22"/>
          <w:rtl w:val="true"/>
        </w:rPr>
        <w:t>להלן</w:t>
      </w:r>
      <w:r>
        <w:rPr>
          <w:rFonts w:cs="Century" w:ascii="Century" w:hAnsi="Century"/>
          <w:sz w:val="22"/>
          <w:rtl w:val="true"/>
        </w:rPr>
        <w:t xml:space="preserve">: </w:t>
      </w:r>
      <w:r>
        <w:rPr>
          <w:rFonts w:ascii="Century" w:hAnsi="Century" w:cs="Century"/>
          <w:sz w:val="22"/>
          <w:sz w:val="22"/>
          <w:rtl w:val="true"/>
        </w:rPr>
        <w:t xml:space="preserve">עניין </w:t>
      </w:r>
      <w:r>
        <w:rPr>
          <w:rFonts w:ascii="Century" w:hAnsi="Century" w:cs="Miriam"/>
          <w:b/>
          <w:b/>
          <w:spacing w:val="0"/>
          <w:sz w:val="22"/>
          <w:sz w:val="22"/>
          <w:szCs w:val="24"/>
          <w:rtl w:val="true"/>
        </w:rPr>
        <w:t>כריסטיאן</w:t>
      </w:r>
      <w:r>
        <w:rPr>
          <w:rFonts w:cs="Century" w:ascii="Century" w:hAnsi="Century"/>
          <w:sz w:val="22"/>
          <w:rtl w:val="true"/>
        </w:rPr>
        <w:t xml:space="preserve">); </w:t>
      </w:r>
      <w:r>
        <w:rPr>
          <w:rFonts w:ascii="Century" w:hAnsi="Century" w:cs="Century"/>
          <w:sz w:val="22"/>
          <w:sz w:val="22"/>
          <w:rtl w:val="true"/>
        </w:rPr>
        <w:t xml:space="preserve">עניין </w:t>
      </w:r>
      <w:r>
        <w:rPr>
          <w:rFonts w:ascii="Times New Roman" w:hAnsi="Times New Roman" w:cs="Miriam"/>
          <w:spacing w:val="0"/>
          <w:sz w:val="28"/>
          <w:sz w:val="28"/>
          <w:szCs w:val="24"/>
          <w:rtl w:val="true"/>
        </w:rPr>
        <w:t>ביידון</w:t>
      </w:r>
      <w:r>
        <w:rPr>
          <w:rFonts w:cs="Century" w:ascii="Century" w:hAnsi="Century"/>
          <w:sz w:val="22"/>
          <w:rtl w:val="true"/>
        </w:rPr>
        <w:t xml:space="preserve">, </w:t>
      </w:r>
      <w:r>
        <w:rPr>
          <w:rFonts w:ascii="Century" w:hAnsi="Century" w:cs="Century"/>
          <w:sz w:val="22"/>
          <w:sz w:val="22"/>
          <w:rtl w:val="true"/>
        </w:rPr>
        <w:t xml:space="preserve">בפסקה </w:t>
      </w:r>
      <w:r>
        <w:rPr>
          <w:rFonts w:cs="Century" w:ascii="Century" w:hAnsi="Century"/>
          <w:sz w:val="22"/>
        </w:rPr>
        <w:t>22</w:t>
      </w:r>
      <w:r>
        <w:rPr>
          <w:rFonts w:cs="Century" w:ascii="Century" w:hAnsi="Century"/>
          <w:sz w:val="22"/>
          <w:rtl w:val="true"/>
        </w:rPr>
        <w:t xml:space="preserve">). </w:t>
      </w:r>
      <w:r>
        <w:rPr>
          <w:rFonts w:ascii="Century" w:hAnsi="Century" w:cs="Century"/>
          <w:sz w:val="22"/>
          <w:sz w:val="22"/>
          <w:rtl w:val="true"/>
        </w:rPr>
        <w:t>לטעמי</w:t>
      </w:r>
      <w:r>
        <w:rPr>
          <w:rFonts w:cs="Century" w:ascii="Century" w:hAnsi="Century"/>
          <w:sz w:val="22"/>
          <w:rtl w:val="true"/>
        </w:rPr>
        <w:t xml:space="preserve">, </w:t>
      </w:r>
      <w:r>
        <w:rPr>
          <w:rFonts w:ascii="Century" w:hAnsi="Century" w:cs="Century"/>
          <w:sz w:val="22"/>
          <w:sz w:val="22"/>
          <w:rtl w:val="true"/>
        </w:rPr>
        <w:t>בהתחשב במכלול השיקולים שצוינו לעיל</w:t>
      </w:r>
      <w:r>
        <w:rPr>
          <w:rFonts w:cs="Century" w:ascii="Century" w:hAnsi="Century"/>
          <w:sz w:val="22"/>
          <w:rtl w:val="true"/>
        </w:rPr>
        <w:t xml:space="preserve">, </w:t>
      </w:r>
      <w:r>
        <w:rPr>
          <w:rFonts w:ascii="Century" w:hAnsi="Century" w:cs="Century"/>
          <w:sz w:val="22"/>
          <w:sz w:val="22"/>
          <w:rtl w:val="true"/>
        </w:rPr>
        <w:t>מדיניות הענישה הנוהגת שצוינה ב</w:t>
      </w:r>
      <w:r>
        <w:rPr>
          <w:rtl w:val="true"/>
        </w:rPr>
        <w:t xml:space="preserve">עניין </w:t>
      </w:r>
      <w:r>
        <w:rPr>
          <w:rFonts w:ascii="Century" w:hAnsi="Century" w:cs="Miriam"/>
          <w:b/>
          <w:b/>
          <w:spacing w:val="0"/>
          <w:sz w:val="22"/>
          <w:sz w:val="22"/>
          <w:szCs w:val="24"/>
          <w:rtl w:val="true"/>
        </w:rPr>
        <w:t>כאברי</w:t>
      </w:r>
      <w:r>
        <w:rPr>
          <w:rFonts w:cs="Century" w:ascii="Century" w:hAnsi="Century"/>
          <w:sz w:val="22"/>
          <w:rtl w:val="true"/>
        </w:rPr>
        <w:t xml:space="preserve">, </w:t>
      </w:r>
      <w:r>
        <w:rPr>
          <w:rFonts w:ascii="Century" w:hAnsi="Century" w:cs="Century"/>
          <w:sz w:val="22"/>
          <w:sz w:val="22"/>
          <w:rtl w:val="true"/>
        </w:rPr>
        <w:t>משקפת גם את הערך החברתי של עבירות מהסוג שעבר המערער</w:t>
      </w:r>
      <w:r>
        <w:rPr>
          <w:rFonts w:cs="Century" w:ascii="Century" w:hAnsi="Century"/>
          <w:sz w:val="22"/>
          <w:rtl w:val="true"/>
        </w:rPr>
        <w:t xml:space="preserve">. </w:t>
      </w:r>
    </w:p>
    <w:p>
      <w:pPr>
        <w:pStyle w:val="Ruller41"/>
        <w:ind w:end="0"/>
        <w:jc w:val="both"/>
        <w:rPr/>
      </w:pPr>
      <w:r>
        <w:rPr>
          <w:rtl w:val="true"/>
        </w:rPr>
      </w:r>
    </w:p>
    <w:p>
      <w:pPr>
        <w:pStyle w:val="Ruller42"/>
        <w:numPr>
          <w:ilvl w:val="0"/>
          <w:numId w:val="1"/>
        </w:numPr>
        <w:ind w:end="0"/>
        <w:jc w:val="both"/>
        <w:rPr/>
      </w:pPr>
      <w:r>
        <w:rPr>
          <w:rtl w:val="true"/>
        </w:rPr>
        <w:t>באשר לנסיבות העבירה</w:t>
      </w:r>
      <w:r>
        <w:rPr>
          <w:rtl w:val="true"/>
        </w:rPr>
        <w:t xml:space="preserve">, </w:t>
      </w:r>
      <w:r>
        <w:rPr>
          <w:rtl w:val="true"/>
        </w:rPr>
        <w:t>כאמור</w:t>
      </w:r>
      <w:r>
        <w:rPr>
          <w:rtl w:val="true"/>
        </w:rPr>
        <w:t xml:space="preserve">, </w:t>
      </w:r>
      <w:r>
        <w:rPr>
          <w:rtl w:val="true"/>
        </w:rPr>
        <w:t xml:space="preserve">עובדות האירוע לפנינו מגלות אירוע אלימות חמור מעט יותר מזה שבעניין </w:t>
      </w:r>
      <w:r>
        <w:rPr>
          <w:rFonts w:cs="Miriam"/>
          <w:b/>
          <w:b/>
          <w:spacing w:val="0"/>
          <w:szCs w:val="24"/>
          <w:rtl w:val="true"/>
        </w:rPr>
        <w:t>כאברי</w:t>
      </w:r>
      <w:r>
        <w:rPr>
          <w:rtl w:val="true"/>
        </w:rPr>
        <w:t xml:space="preserve">. </w:t>
      </w:r>
      <w:r>
        <w:rPr>
          <w:rtl w:val="true"/>
        </w:rPr>
        <w:t>בשני המקרים שנדונו שם</w:t>
      </w:r>
      <w:r>
        <w:rPr>
          <w:rtl w:val="true"/>
        </w:rPr>
        <w:t xml:space="preserve">, </w:t>
      </w:r>
      <w:r>
        <w:rPr>
          <w:rtl w:val="true"/>
        </w:rPr>
        <w:t>דחפו המערערים את המתלוננים והפילו אותם ארצה</w:t>
      </w:r>
      <w:r>
        <w:rPr>
          <w:rtl w:val="true"/>
        </w:rPr>
        <w:t xml:space="preserve">. </w:t>
      </w:r>
      <w:r>
        <w:rPr>
          <w:rtl w:val="true"/>
        </w:rPr>
        <w:t>במקרה אחד מבין השניים</w:t>
      </w:r>
      <w:r>
        <w:rPr>
          <w:rtl w:val="true"/>
        </w:rPr>
        <w:t xml:space="preserve">, </w:t>
      </w:r>
      <w:r>
        <w:rPr>
          <w:rtl w:val="true"/>
        </w:rPr>
        <w:t>הכה המערער את המתלוננת בפניה</w:t>
      </w:r>
      <w:r>
        <w:rPr>
          <w:rtl w:val="true"/>
        </w:rPr>
        <w:t xml:space="preserve">. </w:t>
      </w:r>
      <w:r>
        <w:rPr>
          <w:rtl w:val="true"/>
        </w:rPr>
        <w:t>בענייננו</w:t>
      </w:r>
      <w:r>
        <w:rPr>
          <w:rtl w:val="true"/>
        </w:rPr>
        <w:t xml:space="preserve">, </w:t>
      </w:r>
      <w:r>
        <w:rPr>
          <w:rtl w:val="true"/>
        </w:rPr>
        <w:t>המתלונן הופל תוך כדי השוד והוכה באגרוף</w:t>
      </w:r>
      <w:r>
        <w:rPr>
          <w:rtl w:val="true"/>
        </w:rPr>
        <w:t xml:space="preserve">, </w:t>
      </w:r>
      <w:r>
        <w:rPr>
          <w:rtl w:val="true"/>
        </w:rPr>
        <w:t>באופן שנשברו שתיים משיניו</w:t>
      </w:r>
      <w:r>
        <w:rPr>
          <w:rtl w:val="true"/>
        </w:rPr>
        <w:t xml:space="preserve">, </w:t>
      </w:r>
      <w:r>
        <w:rPr>
          <w:rtl w:val="true"/>
        </w:rPr>
        <w:t>והוא נחבל במרפקיו</w:t>
      </w:r>
      <w:r>
        <w:rPr>
          <w:rtl w:val="true"/>
        </w:rPr>
        <w:t xml:space="preserve">. </w:t>
      </w:r>
      <w:r>
        <w:rPr>
          <w:rtl w:val="true"/>
        </w:rPr>
        <w:t>נוסף לכך</w:t>
      </w:r>
      <w:r>
        <w:rPr>
          <w:rtl w:val="true"/>
        </w:rPr>
        <w:t xml:space="preserve">, </w:t>
      </w:r>
      <w:r>
        <w:rPr>
          <w:rtl w:val="true"/>
        </w:rPr>
        <w:t>יש להזכיר שהמערער בענייננו החזיק בכליו</w:t>
      </w:r>
      <w:r>
        <w:rPr>
          <w:rtl w:val="true"/>
        </w:rPr>
        <w:t xml:space="preserve">, </w:t>
      </w:r>
      <w:r>
        <w:rPr>
          <w:rtl w:val="true"/>
        </w:rPr>
        <w:t>סכין</w:t>
      </w:r>
      <w:r>
        <w:rPr>
          <w:rtl w:val="true"/>
        </w:rPr>
        <w:t xml:space="preserve">. </w:t>
      </w:r>
      <w:r>
        <w:rPr>
          <w:rtl w:val="true"/>
        </w:rPr>
        <w:t>בגין כך הורשע כאמור בעבירה נוספת</w:t>
      </w:r>
      <w:r>
        <w:rPr>
          <w:rtl w:val="true"/>
        </w:rPr>
        <w:t xml:space="preserve">. </w:t>
      </w:r>
    </w:p>
    <w:p>
      <w:pPr>
        <w:pStyle w:val="Ruller41"/>
        <w:ind w:end="0"/>
        <w:jc w:val="both"/>
        <w:rPr/>
      </w:pPr>
      <w:r>
        <w:rPr>
          <w:rtl w:val="true"/>
        </w:rPr>
      </w:r>
    </w:p>
    <w:p>
      <w:pPr>
        <w:pStyle w:val="Ruller42"/>
        <w:numPr>
          <w:ilvl w:val="0"/>
          <w:numId w:val="1"/>
        </w:numPr>
        <w:ind w:end="0"/>
        <w:jc w:val="both"/>
        <w:rPr/>
      </w:pPr>
      <w:r>
        <w:rPr>
          <w:rtl w:val="true"/>
        </w:rPr>
        <w:t>כפי שכבר הבהרתי</w:t>
      </w:r>
      <w:r>
        <w:rPr>
          <w:rtl w:val="true"/>
        </w:rPr>
        <w:t xml:space="preserve">, </w:t>
      </w:r>
      <w:r>
        <w:rPr>
          <w:rtl w:val="true"/>
        </w:rPr>
        <w:t xml:space="preserve">מדיניות הענישה הנוהגת עובר לתיקון </w:t>
      </w:r>
      <w:r>
        <w:rPr/>
        <w:t>113</w:t>
      </w:r>
      <w:r>
        <w:rPr>
          <w:rtl w:val="true"/>
        </w:rPr>
        <w:t xml:space="preserve"> </w:t>
      </w:r>
      <w:r>
        <w:rPr>
          <w:rtl w:val="true"/>
        </w:rPr>
        <w:t>כללה בתוכה גם את נסיבות העבירה ונסיבות חיצוניות לה</w:t>
      </w:r>
      <w:r>
        <w:rPr>
          <w:rtl w:val="true"/>
        </w:rPr>
        <w:t xml:space="preserve">, </w:t>
      </w:r>
      <w:r>
        <w:rPr>
          <w:rtl w:val="true"/>
        </w:rPr>
        <w:t>ולכן בשלב ההתחשבות בנסיבות העבירה במקרה כזה</w:t>
      </w:r>
      <w:r>
        <w:rPr>
          <w:rtl w:val="true"/>
        </w:rPr>
        <w:t xml:space="preserve">, </w:t>
      </w:r>
      <w:r>
        <w:rPr>
          <w:rtl w:val="true"/>
        </w:rPr>
        <w:t>עיקר מלאכתו של בית המשפט היה בהתייחסות לנסיבות הייחודיות לעבירות שבפניו</w:t>
      </w:r>
      <w:r>
        <w:rPr>
          <w:rtl w:val="true"/>
        </w:rPr>
        <w:t xml:space="preserve">, </w:t>
      </w:r>
      <w:r>
        <w:rPr>
          <w:rtl w:val="true"/>
        </w:rPr>
        <w:t xml:space="preserve">תוך ניסיון עדין להתמודדות עם הכללת הנסיבות החיצוניות במסגרת מדיניות הענישה הנוהגת </w:t>
      </w:r>
      <w:r>
        <w:rPr>
          <w:rtl w:val="true"/>
        </w:rPr>
        <w:t>(</w:t>
      </w:r>
      <w:r>
        <w:rPr>
          <w:rtl w:val="true"/>
        </w:rPr>
        <w:t>ראו גם</w:t>
      </w:r>
      <w:r>
        <w:rPr>
          <w:rtl w:val="true"/>
        </w:rPr>
        <w:t xml:space="preserve">: </w:t>
      </w:r>
      <w:r>
        <w:rPr>
          <w:rFonts w:ascii="Century" w:hAnsi="Century" w:cs="Miriam"/>
          <w:b/>
          <w:b/>
          <w:spacing w:val="0"/>
          <w:sz w:val="22"/>
          <w:sz w:val="22"/>
          <w:szCs w:val="24"/>
          <w:rtl w:val="true"/>
        </w:rPr>
        <w:t>גזל</w:t>
      </w:r>
      <w:r>
        <w:rPr>
          <w:rFonts w:cs="Miriam" w:ascii="Century" w:hAnsi="Century"/>
          <w:b/>
          <w:spacing w:val="0"/>
          <w:sz w:val="22"/>
          <w:szCs w:val="24"/>
          <w:rtl w:val="true"/>
        </w:rPr>
        <w:t>-</w:t>
      </w:r>
      <w:r>
        <w:rPr>
          <w:rFonts w:ascii="Century" w:hAnsi="Century" w:cs="Miriam"/>
          <w:b/>
          <w:b/>
          <w:spacing w:val="0"/>
          <w:sz w:val="22"/>
          <w:sz w:val="22"/>
          <w:szCs w:val="24"/>
          <w:rtl w:val="true"/>
        </w:rPr>
        <w:t>אייל</w:t>
      </w:r>
      <w:r>
        <w:rPr>
          <w:rtl w:val="true"/>
        </w:rPr>
        <w:t xml:space="preserve">, </w:t>
      </w:r>
      <w:r>
        <w:rPr>
          <w:rtl w:val="true"/>
        </w:rPr>
        <w:t>בעמ</w:t>
      </w:r>
      <w:r>
        <w:rPr>
          <w:rtl w:val="true"/>
        </w:rPr>
        <w:t xml:space="preserve">' </w:t>
      </w:r>
      <w:r>
        <w:rPr>
          <w:rFonts w:cs="Century" w:ascii="Century" w:hAnsi="Century"/>
          <w:sz w:val="22"/>
        </w:rPr>
        <w:t>10</w:t>
      </w:r>
      <w:r>
        <w:rPr>
          <w:rFonts w:cs="Century" w:ascii="Century" w:hAnsi="Century"/>
          <w:sz w:val="22"/>
          <w:rtl w:val="true"/>
        </w:rPr>
        <w:t>)</w:t>
      </w:r>
      <w:r>
        <w:rPr>
          <w:rtl w:val="true"/>
        </w:rPr>
        <w:t xml:space="preserve">. </w:t>
      </w:r>
      <w:r>
        <w:rPr>
          <w:rtl w:val="true"/>
        </w:rPr>
        <w:t>לאור הנסיבות שפורטו לעיל</w:t>
      </w:r>
      <w:r>
        <w:rPr>
          <w:rtl w:val="true"/>
        </w:rPr>
        <w:t xml:space="preserve">, </w:t>
      </w:r>
      <w:r>
        <w:rPr>
          <w:rtl w:val="true"/>
        </w:rPr>
        <w:t xml:space="preserve">ובשים לב לגזרי דין שעוסקים בנסיבות חמורות פחות ויותר </w:t>
      </w:r>
      <w:r>
        <w:rPr>
          <w:rtl w:val="true"/>
        </w:rPr>
        <w:t>(</w:t>
      </w:r>
      <w:r>
        <w:rPr>
          <w:rtl w:val="true"/>
        </w:rPr>
        <w:t>ראו</w:t>
      </w:r>
      <w:r>
        <w:rPr>
          <w:rtl w:val="true"/>
        </w:rPr>
        <w:t xml:space="preserve">: </w:t>
      </w:r>
      <w:r>
        <w:rPr>
          <w:rtl w:val="true"/>
        </w:rPr>
        <w:t xml:space="preserve">עניין </w:t>
      </w:r>
      <w:r>
        <w:rPr>
          <w:rFonts w:ascii="Century" w:hAnsi="Century" w:cs="Miriam"/>
          <w:b/>
          <w:b/>
          <w:spacing w:val="0"/>
          <w:sz w:val="22"/>
          <w:sz w:val="22"/>
          <w:szCs w:val="24"/>
          <w:rtl w:val="true"/>
        </w:rPr>
        <w:t>כאברי</w:t>
      </w:r>
      <w:r>
        <w:rPr>
          <w:rFonts w:ascii="Century" w:hAnsi="Century" w:eastAsia="Century" w:cs="Century"/>
          <w:b/>
          <w:b/>
          <w:spacing w:val="0"/>
          <w:sz w:val="22"/>
          <w:sz w:val="22"/>
          <w:szCs w:val="24"/>
          <w:rtl w:val="true"/>
        </w:rPr>
        <w:t xml:space="preserve"> </w:t>
      </w:r>
      <w:r>
        <w:rPr>
          <w:rFonts w:ascii="Century" w:hAnsi="Century" w:cs="Century"/>
          <w:sz w:val="22"/>
          <w:sz w:val="22"/>
          <w:rtl w:val="true"/>
        </w:rPr>
        <w:t>האמור לעיל</w:t>
      </w:r>
      <w:r>
        <w:rPr>
          <w:rFonts w:cs="Century" w:ascii="Century" w:hAnsi="Century"/>
          <w:sz w:val="22"/>
          <w:rtl w:val="true"/>
        </w:rPr>
        <w:t xml:space="preserve">; </w:t>
      </w:r>
      <w:r>
        <w:rPr>
          <w:rtl w:val="true"/>
        </w:rPr>
        <w:t xml:space="preserve">עניין </w:t>
      </w:r>
      <w:r>
        <w:rPr>
          <w:rFonts w:ascii="Century" w:hAnsi="Century" w:cs="Miriam"/>
          <w:b/>
          <w:b/>
          <w:spacing w:val="0"/>
          <w:sz w:val="22"/>
          <w:sz w:val="22"/>
          <w:szCs w:val="24"/>
          <w:rtl w:val="true"/>
        </w:rPr>
        <w:t>כריסטיאן</w:t>
      </w:r>
      <w:r>
        <w:rPr>
          <w:rFonts w:cs="Century" w:ascii="Century" w:hAnsi="Century"/>
          <w:sz w:val="22"/>
          <w:rtl w:val="true"/>
        </w:rPr>
        <w:t xml:space="preserve">, </w:t>
      </w:r>
      <w:r>
        <w:rPr>
          <w:rFonts w:ascii="Century" w:hAnsi="Century" w:cs="Century"/>
          <w:sz w:val="22"/>
          <w:sz w:val="22"/>
          <w:rtl w:val="true"/>
        </w:rPr>
        <w:t>בפסקאו</w:t>
      </w:r>
      <w:r>
        <w:rPr>
          <w:rFonts w:ascii="Century" w:hAnsi="Century" w:cs="Century"/>
          <w:sz w:val="22"/>
          <w:sz w:val="22"/>
          <w:rtl w:val="true"/>
        </w:rPr>
        <w:t>ת</w:t>
      </w:r>
      <w:r>
        <w:rPr>
          <w:rFonts w:ascii="Century" w:hAnsi="Century" w:cs="Century"/>
          <w:sz w:val="22"/>
          <w:sz w:val="22"/>
          <w:rtl w:val="true"/>
        </w:rPr>
        <w:t xml:space="preserve"> </w:t>
      </w:r>
      <w:r>
        <w:rPr>
          <w:rFonts w:cs="Century" w:ascii="Century" w:hAnsi="Century"/>
          <w:sz w:val="22"/>
        </w:rPr>
        <w:t>12-10</w:t>
      </w:r>
      <w:r>
        <w:rPr>
          <w:rFonts w:cs="Century" w:ascii="Century" w:hAnsi="Century"/>
          <w:sz w:val="22"/>
          <w:rtl w:val="true"/>
        </w:rPr>
        <w:t xml:space="preserve">; </w:t>
      </w:r>
      <w:r>
        <w:rPr>
          <w:rFonts w:ascii="Century" w:hAnsi="Century" w:cs="Century"/>
          <w:sz w:val="22"/>
          <w:sz w:val="22"/>
          <w:rtl w:val="true"/>
        </w:rPr>
        <w:t xml:space="preserve">עניין </w:t>
      </w:r>
      <w:r>
        <w:rPr>
          <w:rFonts w:ascii="Century" w:hAnsi="Century" w:cs="Miriam"/>
          <w:b/>
          <w:b/>
          <w:spacing w:val="0"/>
          <w:sz w:val="22"/>
          <w:sz w:val="22"/>
          <w:szCs w:val="24"/>
          <w:rtl w:val="true"/>
        </w:rPr>
        <w:t>ביידון</w:t>
      </w:r>
      <w:r>
        <w:rPr>
          <w:rFonts w:cs="Century" w:ascii="Century" w:hAnsi="Century"/>
          <w:sz w:val="22"/>
          <w:rtl w:val="true"/>
        </w:rPr>
        <w:t>)</w:t>
      </w:r>
      <w:r>
        <w:rPr>
          <w:rtl w:val="true"/>
        </w:rPr>
        <w:t xml:space="preserve">, </w:t>
      </w:r>
      <w:r>
        <w:rPr>
          <w:rtl w:val="true"/>
        </w:rPr>
        <w:t xml:space="preserve">מצאתי כי מתחם הענישה ההולם </w:t>
      </w:r>
      <w:r>
        <w:rPr>
          <w:rFonts w:ascii="Century" w:hAnsi="Century" w:cs="Miriam"/>
          <w:b/>
          <w:b/>
          <w:spacing w:val="0"/>
          <w:sz w:val="22"/>
          <w:sz w:val="22"/>
          <w:szCs w:val="24"/>
          <w:rtl w:val="true"/>
        </w:rPr>
        <w:t>לעבירות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שעבר</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המערער</w:t>
      </w:r>
      <w:r>
        <w:rPr>
          <w:rFonts w:cs="Miriam" w:ascii="Century" w:hAnsi="Century"/>
          <w:b/>
          <w:spacing w:val="0"/>
          <w:sz w:val="22"/>
          <w:szCs w:val="24"/>
          <w:rtl w:val="true"/>
        </w:rPr>
        <w:t xml:space="preserve">, </w:t>
      </w:r>
      <w:r>
        <w:rPr>
          <w:rFonts w:ascii="Century" w:hAnsi="Century" w:cs="Miriam"/>
          <w:b/>
          <w:b/>
          <w:spacing w:val="0"/>
          <w:sz w:val="22"/>
          <w:sz w:val="22"/>
          <w:szCs w:val="24"/>
          <w:rtl w:val="true"/>
        </w:rPr>
        <w:t>בנסיבותיהן</w:t>
      </w:r>
      <w:r>
        <w:rPr>
          <w:rtl w:val="true"/>
        </w:rPr>
        <w:t xml:space="preserve">, </w:t>
      </w:r>
      <w:r>
        <w:rPr>
          <w:rtl w:val="true"/>
        </w:rPr>
        <w:t xml:space="preserve">הוא בין </w:t>
      </w:r>
      <w:r>
        <w:rPr/>
        <w:t>34</w:t>
      </w:r>
      <w:r>
        <w:rPr>
          <w:rtl w:val="true"/>
        </w:rPr>
        <w:t xml:space="preserve"> </w:t>
      </w:r>
      <w:r>
        <w:rPr>
          <w:rtl w:val="true"/>
        </w:rPr>
        <w:t>חודשי מאסר בפועל ל</w:t>
      </w:r>
      <w:r>
        <w:rPr>
          <w:rtl w:val="true"/>
        </w:rPr>
        <w:t>-</w:t>
      </w:r>
      <w:r>
        <w:rPr/>
        <w:t>46</w:t>
      </w:r>
      <w:r>
        <w:rPr>
          <w:rtl w:val="true"/>
        </w:rPr>
        <w:t xml:space="preserve"> </w:t>
      </w:r>
      <w:r>
        <w:rPr>
          <w:rtl w:val="true"/>
        </w:rPr>
        <w:t>חודשי מאסר בפועל</w:t>
      </w:r>
      <w:r>
        <w:rPr>
          <w:rtl w:val="true"/>
        </w:rPr>
        <w:t xml:space="preserve">. </w:t>
      </w:r>
    </w:p>
    <w:p>
      <w:pPr>
        <w:pStyle w:val="Ruller41"/>
        <w:spacing w:lineRule="auto" w:line="480"/>
        <w:ind w:end="0"/>
        <w:jc w:val="both"/>
        <w:rPr/>
      </w:pPr>
      <w:r>
        <w:rPr>
          <w:rtl w:val="true"/>
        </w:rPr>
      </w:r>
    </w:p>
    <w:p>
      <w:pPr>
        <w:pStyle w:val="Ruller41"/>
        <w:ind w:end="0"/>
        <w:jc w:val="both"/>
        <w:rPr/>
      </w:pPr>
      <w:r>
        <w:rPr>
          <w:rFonts w:ascii="Century" w:hAnsi="Century" w:cs="Miriam"/>
          <w:b/>
          <w:b/>
          <w:spacing w:val="0"/>
          <w:szCs w:val="24"/>
          <w:rtl w:val="true"/>
        </w:rPr>
        <w:t>השלב</w:t>
      </w:r>
      <w:r>
        <w:rPr>
          <w:rFonts w:ascii="Century" w:hAnsi="Century" w:eastAsia="Century" w:cs="Century"/>
          <w:b/>
          <w:b/>
          <w:spacing w:val="0"/>
          <w:szCs w:val="24"/>
          <w:rtl w:val="true"/>
        </w:rPr>
        <w:t xml:space="preserve"> </w:t>
      </w:r>
      <w:r>
        <w:rPr>
          <w:rFonts w:ascii="Century" w:hAnsi="Century" w:cs="Miriam"/>
          <w:b/>
          <w:b/>
          <w:spacing w:val="0"/>
          <w:szCs w:val="24"/>
          <w:rtl w:val="true"/>
        </w:rPr>
        <w:t>השלישי</w:t>
      </w:r>
      <w:r>
        <w:rPr>
          <w:rFonts w:ascii="Century" w:hAnsi="Century" w:eastAsia="Century" w:cs="Century"/>
          <w:b/>
          <w:b/>
          <w:spacing w:val="0"/>
          <w:szCs w:val="24"/>
          <w:rtl w:val="true"/>
        </w:rPr>
        <w:t xml:space="preserve"> </w:t>
      </w:r>
      <w:r>
        <w:rPr>
          <w:rFonts w:ascii="Century" w:hAnsi="Century" w:cs="Miriam"/>
          <w:b/>
          <w:b/>
          <w:spacing w:val="0"/>
          <w:szCs w:val="24"/>
          <w:rtl w:val="true"/>
        </w:rPr>
        <w:t>–</w:t>
      </w:r>
      <w:r>
        <w:rPr>
          <w:rFonts w:ascii="Century" w:hAnsi="Century" w:eastAsia="Century" w:cs="Century"/>
          <w:b/>
          <w:b/>
          <w:spacing w:val="0"/>
          <w:szCs w:val="24"/>
          <w:rtl w:val="true"/>
        </w:rPr>
        <w:t xml:space="preserve"> </w:t>
      </w:r>
      <w:r>
        <w:rPr>
          <w:rFonts w:ascii="Century" w:hAnsi="Century" w:cs="Miriam"/>
          <w:b/>
          <w:b/>
          <w:spacing w:val="0"/>
          <w:szCs w:val="24"/>
          <w:rtl w:val="true"/>
        </w:rPr>
        <w:t>גזירת</w:t>
      </w:r>
      <w:r>
        <w:rPr>
          <w:rFonts w:ascii="Century" w:hAnsi="Century" w:eastAsia="Century" w:cs="Century"/>
          <w:b/>
          <w:b/>
          <w:spacing w:val="0"/>
          <w:szCs w:val="24"/>
          <w:rtl w:val="true"/>
        </w:rPr>
        <w:t xml:space="preserve"> </w:t>
      </w:r>
      <w:r>
        <w:rPr>
          <w:rFonts w:ascii="Century" w:hAnsi="Century" w:cs="Miriam"/>
          <w:b/>
          <w:b/>
          <w:spacing w:val="0"/>
          <w:szCs w:val="24"/>
          <w:rtl w:val="true"/>
        </w:rPr>
        <w:t>עונשו</w:t>
      </w:r>
      <w:r>
        <w:rPr>
          <w:rFonts w:ascii="Century" w:hAnsi="Century" w:eastAsia="Century" w:cs="Century"/>
          <w:b/>
          <w:b/>
          <w:spacing w:val="0"/>
          <w:szCs w:val="24"/>
          <w:rtl w:val="true"/>
        </w:rPr>
        <w:t xml:space="preserve"> </w:t>
      </w:r>
      <w:r>
        <w:rPr>
          <w:rFonts w:ascii="Century" w:hAnsi="Century" w:cs="Miriam"/>
          <w:b/>
          <w:b/>
          <w:spacing w:val="0"/>
          <w:szCs w:val="24"/>
          <w:rtl w:val="true"/>
        </w:rPr>
        <w:t>של</w:t>
      </w:r>
      <w:r>
        <w:rPr>
          <w:rFonts w:ascii="Century" w:hAnsi="Century" w:eastAsia="Century" w:cs="Century"/>
          <w:b/>
          <w:b/>
          <w:spacing w:val="0"/>
          <w:szCs w:val="24"/>
          <w:rtl w:val="true"/>
        </w:rPr>
        <w:t xml:space="preserve"> </w:t>
      </w:r>
      <w:r>
        <w:rPr>
          <w:rFonts w:ascii="Century" w:hAnsi="Century" w:cs="Miriam"/>
          <w:b/>
          <w:b/>
          <w:spacing w:val="0"/>
          <w:szCs w:val="24"/>
          <w:rtl w:val="true"/>
        </w:rPr>
        <w:t>המערער</w:t>
      </w:r>
      <w:r>
        <w:rPr>
          <w:rFonts w:ascii="Century" w:hAnsi="Century" w:eastAsia="Century" w:cs="Century"/>
          <w:b/>
          <w:b/>
          <w:spacing w:val="0"/>
          <w:szCs w:val="24"/>
          <w:rtl w:val="true"/>
        </w:rPr>
        <w:t xml:space="preserve"> </w:t>
      </w:r>
      <w:r>
        <w:rPr>
          <w:rFonts w:ascii="Century" w:hAnsi="Century" w:cs="Miriam"/>
          <w:b/>
          <w:b/>
          <w:spacing w:val="0"/>
          <w:szCs w:val="24"/>
          <w:rtl w:val="true"/>
        </w:rPr>
        <w:t>בתוך</w:t>
      </w:r>
      <w:r>
        <w:rPr>
          <w:rFonts w:ascii="Century" w:hAnsi="Century" w:eastAsia="Century" w:cs="Century"/>
          <w:b/>
          <w:b/>
          <w:spacing w:val="0"/>
          <w:szCs w:val="24"/>
          <w:rtl w:val="true"/>
        </w:rPr>
        <w:t xml:space="preserve"> </w:t>
      </w:r>
      <w:r>
        <w:rPr>
          <w:rFonts w:ascii="Century" w:hAnsi="Century" w:cs="Miriam"/>
          <w:b/>
          <w:b/>
          <w:spacing w:val="0"/>
          <w:szCs w:val="24"/>
          <w:rtl w:val="true"/>
        </w:rPr>
        <w:t>המתחם</w:t>
      </w:r>
    </w:p>
    <w:p>
      <w:pPr>
        <w:pStyle w:val="Ruller41"/>
        <w:spacing w:lineRule="auto" w:line="240"/>
        <w:ind w:end="0"/>
        <w:jc w:val="both"/>
        <w:rPr/>
      </w:pPr>
      <w:r>
        <w:rPr>
          <w:rtl w:val="true"/>
        </w:rPr>
      </w:r>
    </w:p>
    <w:p>
      <w:pPr>
        <w:pStyle w:val="Ruller42"/>
        <w:numPr>
          <w:ilvl w:val="0"/>
          <w:numId w:val="1"/>
        </w:numPr>
        <w:ind w:end="0"/>
        <w:jc w:val="both"/>
        <w:rPr/>
      </w:pPr>
      <w:r>
        <w:rPr>
          <w:rtl w:val="true"/>
        </w:rPr>
        <w:t>בשלב זה יש לדון</w:t>
      </w:r>
      <w:r>
        <w:rPr>
          <w:rtl w:val="true"/>
        </w:rPr>
        <w:t xml:space="preserve">, </w:t>
      </w:r>
      <w:r>
        <w:rPr>
          <w:rtl w:val="true"/>
        </w:rPr>
        <w:t>כאמור לעיל</w:t>
      </w:r>
      <w:r>
        <w:rPr>
          <w:rtl w:val="true"/>
        </w:rPr>
        <w:t xml:space="preserve">, </w:t>
      </w:r>
      <w:r>
        <w:rPr>
          <w:rtl w:val="true"/>
        </w:rPr>
        <w:t>בנסיבות חיצוניות לעבירה</w:t>
      </w:r>
      <w:r>
        <w:rPr>
          <w:rtl w:val="true"/>
        </w:rPr>
        <w:t xml:space="preserve">, </w:t>
      </w:r>
      <w:r>
        <w:rPr>
          <w:rtl w:val="true"/>
        </w:rPr>
        <w:t xml:space="preserve">המנויות בסעיפים </w:t>
      </w:r>
      <w:r>
        <w:rPr/>
        <w:t>40</w:t>
      </w:r>
      <w:r>
        <w:rPr>
          <w:rtl w:val="true"/>
        </w:rPr>
        <w:t>ד</w:t>
      </w:r>
      <w:r>
        <w:rPr>
          <w:rtl w:val="true"/>
        </w:rPr>
        <w:t xml:space="preserve">, </w:t>
      </w:r>
      <w:r>
        <w:rPr/>
        <w:t>40</w:t>
      </w:r>
      <w:r>
        <w:rPr>
          <w:rtl w:val="true"/>
        </w:rPr>
        <w:t>ה</w:t>
      </w:r>
      <w:r>
        <w:rPr>
          <w:rtl w:val="true"/>
        </w:rPr>
        <w:t xml:space="preserve">, </w:t>
      </w:r>
      <w:r>
        <w:rPr/>
        <w:t>40</w:t>
      </w:r>
      <w:r>
        <w:rPr>
          <w:rtl w:val="true"/>
        </w:rPr>
        <w:t>ו</w:t>
      </w:r>
      <w:r>
        <w:rPr>
          <w:rtl w:val="true"/>
        </w:rPr>
        <w:t xml:space="preserve">, </w:t>
      </w:r>
      <w:r>
        <w:rPr/>
        <w:t>40</w:t>
      </w:r>
      <w:r>
        <w:rPr>
          <w:rtl w:val="true"/>
        </w:rPr>
        <w:t>ז ו</w:t>
      </w:r>
      <w:r>
        <w:rPr>
          <w:rtl w:val="true"/>
        </w:rPr>
        <w:t>-</w:t>
      </w:r>
      <w:r>
        <w:rPr/>
        <w:t>40</w:t>
      </w:r>
      <w:r>
        <w:rPr>
          <w:rtl w:val="true"/>
        </w:rPr>
        <w:t>יא ל</w:t>
      </w:r>
      <w:hyperlink r:id="rId118">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r>
        <w:rPr>
          <w:rtl w:val="true"/>
        </w:rPr>
        <w:t>נראה כי שני החריגים הקבועים בחוק</w:t>
      </w:r>
      <w:r>
        <w:rPr>
          <w:rtl w:val="true"/>
        </w:rPr>
        <w:t xml:space="preserve">, </w:t>
      </w:r>
      <w:r>
        <w:rPr>
          <w:rtl w:val="true"/>
        </w:rPr>
        <w:t xml:space="preserve">המצדיקים חריגה ממתחם הענישה – שיקום </w:t>
      </w:r>
      <w:r>
        <w:rPr>
          <w:rtl w:val="true"/>
        </w:rPr>
        <w:t>(</w:t>
      </w:r>
      <w:r>
        <w:rPr>
          <w:rtl w:val="true"/>
        </w:rPr>
        <w:t xml:space="preserve">סעיף </w:t>
      </w:r>
      <w:r>
        <w:rPr/>
        <w:t>40</w:t>
      </w:r>
      <w:r>
        <w:rPr>
          <w:rtl w:val="true"/>
        </w:rPr>
        <w:t>ד ל</w:t>
      </w:r>
      <w:hyperlink r:id="rId119">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r>
        <w:rPr>
          <w:rtl w:val="true"/>
        </w:rPr>
        <w:t xml:space="preserve">והגנה על שלום הציבור </w:t>
      </w:r>
      <w:r>
        <w:rPr>
          <w:rtl w:val="true"/>
        </w:rPr>
        <w:t>(</w:t>
      </w:r>
      <w:r>
        <w:rPr>
          <w:rtl w:val="true"/>
        </w:rPr>
        <w:t xml:space="preserve">סעיף </w:t>
      </w:r>
      <w:r>
        <w:rPr/>
        <w:t>40</w:t>
      </w:r>
      <w:r>
        <w:rPr>
          <w:rtl w:val="true"/>
        </w:rPr>
        <w:t>ה לחוק העונשין</w:t>
      </w:r>
      <w:r>
        <w:rPr>
          <w:rtl w:val="true"/>
        </w:rPr>
        <w:t xml:space="preserve">) – </w:t>
      </w:r>
      <w:r>
        <w:rPr>
          <w:rtl w:val="true"/>
        </w:rPr>
        <w:t>אינם מתקיימים בענייננו</w:t>
      </w:r>
      <w:r>
        <w:rPr>
          <w:rtl w:val="true"/>
        </w:rPr>
        <w:t xml:space="preserve">, </w:t>
      </w:r>
      <w:r>
        <w:rPr>
          <w:rtl w:val="true"/>
        </w:rPr>
        <w:t>הראשון לאור הכחשת המערער את מעשיו</w:t>
      </w:r>
      <w:r>
        <w:rPr>
          <w:rtl w:val="true"/>
        </w:rPr>
        <w:t xml:space="preserve">, </w:t>
      </w:r>
      <w:r>
        <w:rPr>
          <w:rtl w:val="true"/>
        </w:rPr>
        <w:t>והשני לאור עברו הנקי והתסקיר שצופה</w:t>
      </w:r>
      <w:r>
        <w:rPr>
          <w:rtl w:val="true"/>
        </w:rPr>
        <w:t xml:space="preserve">, </w:t>
      </w:r>
      <w:r>
        <w:rPr>
          <w:rtl w:val="true"/>
        </w:rPr>
        <w:t>על אף קשייו</w:t>
      </w:r>
      <w:r>
        <w:rPr>
          <w:rtl w:val="true"/>
        </w:rPr>
        <w:t xml:space="preserve">, </w:t>
      </w:r>
      <w:r>
        <w:rPr>
          <w:rtl w:val="true"/>
        </w:rPr>
        <w:t>את השתלבותו של המערער בתעסוקה וחינוך</w:t>
      </w:r>
      <w:r>
        <w:rPr>
          <w:rtl w:val="true"/>
        </w:rPr>
        <w:t>.</w:t>
      </w:r>
    </w:p>
    <w:p>
      <w:pPr>
        <w:pStyle w:val="Ruller41"/>
        <w:ind w:end="0"/>
        <w:jc w:val="both"/>
        <w:rPr/>
      </w:pPr>
      <w:r>
        <w:rPr>
          <w:rtl w:val="true"/>
        </w:rPr>
      </w:r>
    </w:p>
    <w:p>
      <w:pPr>
        <w:pStyle w:val="Ruller42"/>
        <w:numPr>
          <w:ilvl w:val="0"/>
          <w:numId w:val="1"/>
        </w:numPr>
        <w:ind w:end="0"/>
        <w:jc w:val="both"/>
        <w:rPr/>
      </w:pPr>
      <w:r>
        <w:rPr>
          <w:rtl w:val="true"/>
        </w:rPr>
        <w:t>עם זאת</w:t>
      </w:r>
      <w:r>
        <w:rPr>
          <w:rtl w:val="true"/>
        </w:rPr>
        <w:t xml:space="preserve">, </w:t>
      </w:r>
      <w:r>
        <w:rPr>
          <w:rtl w:val="true"/>
        </w:rPr>
        <w:t xml:space="preserve">יש להתחשב בשיקול הרתעת הרבים </w:t>
      </w:r>
      <w:r>
        <w:rPr>
          <w:rtl w:val="true"/>
        </w:rPr>
        <w:t>(</w:t>
      </w:r>
      <w:r>
        <w:rPr>
          <w:rtl w:val="true"/>
        </w:rPr>
        <w:t xml:space="preserve">סעיף </w:t>
      </w:r>
      <w:r>
        <w:rPr/>
        <w:t>40</w:t>
      </w:r>
      <w:r>
        <w:rPr>
          <w:rtl w:val="true"/>
        </w:rPr>
        <w:t>ז ל</w:t>
      </w:r>
      <w:hyperlink r:id="rId120">
        <w:r>
          <w:rPr>
            <w:rStyle w:val="Hyperlink"/>
            <w:color w:val="0000FF"/>
            <w:u w:val="single"/>
            <w:rtl w:val="true"/>
          </w:rPr>
          <w:t>חוק</w:t>
        </w:r>
        <w:r>
          <w:rPr>
            <w:rStyle w:val="Hyperlink"/>
            <w:color w:val="0000FF"/>
            <w:u w:val="single"/>
            <w:rtl w:val="true"/>
          </w:rPr>
          <w:t xml:space="preserve"> </w:t>
        </w:r>
        <w:r>
          <w:rPr>
            <w:rStyle w:val="Hyperlink"/>
            <w:color w:val="0000FF"/>
            <w:u w:val="single"/>
            <w:rtl w:val="true"/>
          </w:rPr>
          <w:t>העונשין</w:t>
        </w:r>
      </w:hyperlink>
      <w:r>
        <w:rPr>
          <w:rtl w:val="true"/>
        </w:rPr>
        <w:t xml:space="preserve">). </w:t>
      </w:r>
      <w:r>
        <w:rPr>
          <w:rtl w:val="true"/>
        </w:rPr>
        <w:t xml:space="preserve">שיקול זה הופיע בגזר הדין של בית המשפט המחוזי </w:t>
      </w:r>
      <w:r>
        <w:rPr>
          <w:rtl w:val="true"/>
        </w:rPr>
        <w:t>(</w:t>
      </w:r>
      <w:r>
        <w:rPr>
          <w:rtl w:val="true"/>
        </w:rPr>
        <w:t>כמתואר לעיל</w:t>
      </w:r>
      <w:r>
        <w:rPr>
          <w:rtl w:val="true"/>
        </w:rPr>
        <w:t xml:space="preserve">, </w:t>
      </w:r>
      <w:r>
        <w:rPr>
          <w:rtl w:val="true"/>
        </w:rPr>
        <w:t>בשלב שגוי בדיון</w:t>
      </w:r>
      <w:r>
        <w:rPr>
          <w:rtl w:val="true"/>
        </w:rPr>
        <w:t xml:space="preserve">), </w:t>
      </w:r>
      <w:r>
        <w:rPr>
          <w:rtl w:val="true"/>
        </w:rPr>
        <w:t>ובפסיקתו של בית משפט זה</w:t>
      </w:r>
      <w:r>
        <w:rPr>
          <w:rtl w:val="true"/>
        </w:rPr>
        <w:t xml:space="preserve">. </w:t>
      </w:r>
      <w:r>
        <w:rPr>
          <w:rtl w:val="true"/>
        </w:rPr>
        <w:t xml:space="preserve">בעניין </w:t>
      </w:r>
      <w:r>
        <w:rPr>
          <w:rFonts w:ascii="Century" w:hAnsi="Century" w:cs="Miriam"/>
          <w:b/>
          <w:b/>
          <w:spacing w:val="0"/>
          <w:sz w:val="22"/>
          <w:sz w:val="22"/>
          <w:szCs w:val="24"/>
          <w:rtl w:val="true"/>
        </w:rPr>
        <w:t>כאברי</w:t>
      </w:r>
      <w:r>
        <w:rPr>
          <w:rFonts w:cs="Century" w:ascii="Century" w:hAnsi="Century"/>
          <w:sz w:val="22"/>
          <w:rtl w:val="true"/>
        </w:rPr>
        <w:t xml:space="preserve">, </w:t>
      </w:r>
      <w:r>
        <w:rPr>
          <w:rFonts w:ascii="Century" w:hAnsi="Century" w:cs="Century"/>
          <w:sz w:val="22"/>
          <w:sz w:val="22"/>
          <w:rtl w:val="true"/>
        </w:rPr>
        <w:t>כאמור לעיל</w:t>
      </w:r>
      <w:r>
        <w:rPr>
          <w:rFonts w:cs="Century" w:ascii="Century" w:hAnsi="Century"/>
          <w:sz w:val="22"/>
          <w:rtl w:val="true"/>
        </w:rPr>
        <w:t xml:space="preserve">, </w:t>
      </w:r>
      <w:r>
        <w:rPr>
          <w:rFonts w:ascii="Century" w:hAnsi="Century" w:cs="Century"/>
          <w:sz w:val="22"/>
          <w:sz w:val="22"/>
          <w:rtl w:val="true"/>
        </w:rPr>
        <w:t>נדון עניין דומה</w:t>
      </w:r>
      <w:r>
        <w:rPr>
          <w:rFonts w:cs="Century" w:ascii="Century" w:hAnsi="Century"/>
          <w:sz w:val="22"/>
          <w:rtl w:val="true"/>
        </w:rPr>
        <w:t xml:space="preserve">, </w:t>
      </w:r>
      <w:r>
        <w:rPr>
          <w:rFonts w:ascii="Century" w:hAnsi="Century" w:cs="Century"/>
          <w:sz w:val="22"/>
          <w:sz w:val="22"/>
          <w:rtl w:val="true"/>
        </w:rPr>
        <w:t xml:space="preserve">ושם נקבע כי יש ביכולתם </w:t>
      </w:r>
      <w:r>
        <w:rPr>
          <w:rtl w:val="true"/>
        </w:rPr>
        <w:t>של שופטי הערכאה הדיונית להעריך כאשר בפניהם קיימת תופעה שהתגברה</w:t>
      </w:r>
      <w:r>
        <w:rPr>
          <w:rtl w:val="true"/>
        </w:rPr>
        <w:t xml:space="preserve">, </w:t>
      </w:r>
      <w:r>
        <w:rPr>
          <w:rtl w:val="true"/>
        </w:rPr>
        <w:t>כגון תופעת השוד ותופעות אחרות</w:t>
      </w:r>
      <w:r>
        <w:rPr>
          <w:rtl w:val="true"/>
        </w:rPr>
        <w:t xml:space="preserve">, </w:t>
      </w:r>
      <w:r>
        <w:rPr>
          <w:rtl w:val="true"/>
        </w:rPr>
        <w:t>ולהחמיר בענישה לגביה</w:t>
      </w:r>
      <w:r>
        <w:rPr>
          <w:rtl w:val="true"/>
        </w:rPr>
        <w:t xml:space="preserve">, </w:t>
      </w:r>
      <w:r>
        <w:rPr>
          <w:rtl w:val="true"/>
        </w:rPr>
        <w:t xml:space="preserve">גם כשאין בפניהם ראיות אמפיריות להתגברות זו </w:t>
      </w:r>
      <w:r>
        <w:rPr>
          <w:rtl w:val="true"/>
        </w:rPr>
        <w:t>(</w:t>
      </w:r>
      <w:r>
        <w:rPr>
          <w:rtl w:val="true"/>
        </w:rPr>
        <w:t xml:space="preserve">עניין </w:t>
      </w:r>
      <w:r>
        <w:rPr>
          <w:rFonts w:ascii="Century" w:hAnsi="Century" w:cs="Miriam"/>
          <w:b/>
          <w:b/>
          <w:spacing w:val="0"/>
          <w:sz w:val="22"/>
          <w:sz w:val="22"/>
          <w:szCs w:val="24"/>
          <w:rtl w:val="true"/>
        </w:rPr>
        <w:t>כאברי</w:t>
      </w:r>
      <w:r>
        <w:rPr>
          <w:rFonts w:cs="Century" w:ascii="Century" w:hAnsi="Century"/>
          <w:sz w:val="22"/>
          <w:rtl w:val="true"/>
        </w:rPr>
        <w:t xml:space="preserve">, </w:t>
      </w:r>
      <w:r>
        <w:rPr>
          <w:rFonts w:ascii="Century" w:hAnsi="Century" w:cs="Century"/>
          <w:sz w:val="22"/>
          <w:sz w:val="22"/>
          <w:rtl w:val="true"/>
        </w:rPr>
        <w:t>בפסקאו</w:t>
      </w:r>
      <w:r>
        <w:rPr>
          <w:rFonts w:ascii="Century" w:hAnsi="Century" w:cs="Century"/>
          <w:sz w:val="22"/>
          <w:sz w:val="22"/>
          <w:rtl w:val="true"/>
        </w:rPr>
        <w:t>ת</w:t>
      </w:r>
      <w:r>
        <w:rPr>
          <w:rFonts w:ascii="Century" w:hAnsi="Century" w:cs="Century"/>
          <w:sz w:val="22"/>
          <w:sz w:val="22"/>
          <w:rtl w:val="true"/>
        </w:rPr>
        <w:t xml:space="preserve"> </w:t>
      </w:r>
      <w:r>
        <w:rPr>
          <w:rFonts w:cs="Century" w:ascii="Century" w:hAnsi="Century"/>
          <w:sz w:val="22"/>
        </w:rPr>
        <w:t>15-13</w:t>
      </w:r>
      <w:r>
        <w:rPr>
          <w:rFonts w:cs="Century" w:ascii="Century" w:hAnsi="Century"/>
          <w:sz w:val="22"/>
          <w:rtl w:val="true"/>
        </w:rPr>
        <w:t xml:space="preserve"> </w:t>
      </w:r>
      <w:r>
        <w:rPr>
          <w:rFonts w:ascii="Century" w:hAnsi="Century" w:cs="Century"/>
          <w:sz w:val="22"/>
          <w:sz w:val="22"/>
          <w:rtl w:val="true"/>
        </w:rPr>
        <w:t xml:space="preserve">לחוות דעתו של השופט </w:t>
      </w:r>
      <w:r>
        <w:rPr>
          <w:rFonts w:ascii="Century" w:hAnsi="Century" w:cs="Miriam"/>
          <w:b/>
          <w:b/>
          <w:spacing w:val="0"/>
          <w:sz w:val="22"/>
          <w:sz w:val="22"/>
          <w:szCs w:val="24"/>
          <w:rtl w:val="true"/>
        </w:rPr>
        <w:t>י</w:t>
      </w:r>
      <w:r>
        <w:rPr>
          <w:rFonts w:cs="Miriam" w:ascii="Century" w:hAnsi="Century"/>
          <w:b/>
          <w:spacing w:val="0"/>
          <w:sz w:val="22"/>
          <w:szCs w:val="24"/>
          <w:rtl w:val="true"/>
        </w:rPr>
        <w:t>'</w:t>
      </w:r>
      <w:r>
        <w:rPr>
          <w:rFonts w:cs="Century" w:ascii="Century" w:hAnsi="Century"/>
          <w:sz w:val="22"/>
          <w:rtl w:val="true"/>
        </w:rPr>
        <w:t xml:space="preserve"> </w:t>
      </w:r>
      <w:r>
        <w:rPr>
          <w:rFonts w:ascii="Century" w:hAnsi="Century" w:cs="Miriam"/>
          <w:b/>
          <w:b/>
          <w:spacing w:val="0"/>
          <w:sz w:val="22"/>
          <w:sz w:val="22"/>
          <w:szCs w:val="24"/>
          <w:rtl w:val="true"/>
        </w:rPr>
        <w:t>דנציגר</w:t>
      </w:r>
      <w:r>
        <w:rPr>
          <w:rFonts w:cs="Century" w:ascii="Century" w:hAnsi="Century"/>
          <w:sz w:val="22"/>
          <w:rtl w:val="true"/>
        </w:rPr>
        <w:t xml:space="preserve">, </w:t>
      </w:r>
      <w:r>
        <w:rPr>
          <w:rFonts w:ascii="Century" w:hAnsi="Century" w:cs="Century"/>
          <w:sz w:val="22"/>
          <w:sz w:val="22"/>
          <w:rtl w:val="true"/>
        </w:rPr>
        <w:t>בפסקאות א</w:t>
      </w:r>
      <w:r>
        <w:rPr>
          <w:rFonts w:cs="Century" w:ascii="Century" w:hAnsi="Century"/>
          <w:sz w:val="22"/>
          <w:rtl w:val="true"/>
        </w:rPr>
        <w:t>'-</w:t>
      </w:r>
      <w:r>
        <w:rPr>
          <w:rFonts w:ascii="Century" w:hAnsi="Century" w:cs="Century"/>
          <w:sz w:val="22"/>
          <w:sz w:val="22"/>
          <w:rtl w:val="true"/>
        </w:rPr>
        <w:t>ב</w:t>
      </w:r>
      <w:r>
        <w:rPr>
          <w:rFonts w:cs="Century" w:ascii="Century" w:hAnsi="Century"/>
          <w:sz w:val="22"/>
          <w:rtl w:val="true"/>
        </w:rPr>
        <w:t xml:space="preserve">' </w:t>
      </w:r>
      <w:r>
        <w:rPr>
          <w:rFonts w:ascii="Century" w:hAnsi="Century" w:cs="Century"/>
          <w:sz w:val="22"/>
          <w:sz w:val="22"/>
          <w:rtl w:val="true"/>
        </w:rPr>
        <w:t xml:space="preserve">לחוות דעתו של השופט </w:t>
      </w:r>
      <w:r>
        <w:rPr>
          <w:rFonts w:ascii="Century" w:hAnsi="Century" w:cs="Miriam"/>
          <w:b/>
          <w:b/>
          <w:spacing w:val="0"/>
          <w:sz w:val="22"/>
          <w:sz w:val="22"/>
          <w:szCs w:val="24"/>
          <w:rtl w:val="true"/>
        </w:rPr>
        <w:t>א</w:t>
      </w:r>
      <w:r>
        <w:rPr>
          <w:rFonts w:cs="Miriam" w:ascii="Century" w:hAnsi="Century"/>
          <w:b/>
          <w:spacing w:val="0"/>
          <w:sz w:val="22"/>
          <w:szCs w:val="24"/>
          <w:rtl w:val="true"/>
        </w:rPr>
        <w:t xml:space="preserve">' </w:t>
      </w:r>
      <w:r>
        <w:rPr>
          <w:rFonts w:ascii="Century" w:hAnsi="Century" w:cs="Miriam"/>
          <w:b/>
          <w:b/>
          <w:spacing w:val="0"/>
          <w:sz w:val="22"/>
          <w:sz w:val="22"/>
          <w:szCs w:val="24"/>
          <w:rtl w:val="true"/>
        </w:rPr>
        <w:t>רובינשטיין</w:t>
      </w:r>
      <w:r>
        <w:rPr>
          <w:rFonts w:cs="Century" w:ascii="Century" w:hAnsi="Century"/>
          <w:sz w:val="22"/>
          <w:rtl w:val="true"/>
        </w:rPr>
        <w:t xml:space="preserve">, </w:t>
      </w:r>
      <w:r>
        <w:rPr>
          <w:rFonts w:ascii="Century" w:hAnsi="Century" w:cs="Century"/>
          <w:sz w:val="22"/>
          <w:sz w:val="22"/>
          <w:rtl w:val="true"/>
        </w:rPr>
        <w:t>בפסקה א</w:t>
      </w:r>
      <w:r>
        <w:rPr>
          <w:rFonts w:cs="Century" w:ascii="Century" w:hAnsi="Century"/>
          <w:sz w:val="22"/>
          <w:rtl w:val="true"/>
        </w:rPr>
        <w:t xml:space="preserve">' </w:t>
      </w:r>
      <w:r>
        <w:rPr>
          <w:rFonts w:ascii="Century" w:hAnsi="Century" w:cs="Century"/>
          <w:sz w:val="22"/>
          <w:sz w:val="22"/>
          <w:rtl w:val="true"/>
        </w:rPr>
        <w:t xml:space="preserve">לחוות דעתו של השופט </w:t>
      </w:r>
      <w:r>
        <w:rPr>
          <w:rFonts w:ascii="Century" w:hAnsi="Century" w:cs="Miriam"/>
          <w:b/>
          <w:b/>
          <w:spacing w:val="0"/>
          <w:sz w:val="22"/>
          <w:sz w:val="22"/>
          <w:szCs w:val="24"/>
          <w:rtl w:val="true"/>
        </w:rPr>
        <w:t>א</w:t>
      </w:r>
      <w:r>
        <w:rPr>
          <w:rFonts w:cs="Miriam" w:ascii="Century" w:hAnsi="Century"/>
          <w:b/>
          <w:spacing w:val="0"/>
          <w:sz w:val="22"/>
          <w:szCs w:val="24"/>
          <w:rtl w:val="true"/>
        </w:rPr>
        <w:t xml:space="preserve">' </w:t>
      </w:r>
      <w:r>
        <w:rPr>
          <w:rFonts w:ascii="Century" w:hAnsi="Century" w:cs="Miriam"/>
          <w:b/>
          <w:b/>
          <w:spacing w:val="0"/>
          <w:sz w:val="22"/>
          <w:sz w:val="22"/>
          <w:szCs w:val="24"/>
          <w:rtl w:val="true"/>
        </w:rPr>
        <w:t>שהם</w:t>
      </w:r>
      <w:r>
        <w:rPr>
          <w:rFonts w:cs="Century" w:ascii="Century" w:hAnsi="Century"/>
          <w:sz w:val="22"/>
          <w:rtl w:val="true"/>
        </w:rPr>
        <w:t>)</w:t>
      </w:r>
      <w:r>
        <w:rPr>
          <w:rtl w:val="true"/>
        </w:rPr>
        <w:t xml:space="preserve">. </w:t>
      </w:r>
      <w:r>
        <w:rPr>
          <w:rtl w:val="true"/>
        </w:rPr>
        <w:t>לא מצאתי לנכון לשנות מקביעה זו בענייננו</w:t>
      </w:r>
      <w:r>
        <w:rPr>
          <w:rtl w:val="true"/>
        </w:rPr>
        <w:t xml:space="preserve">, </w:t>
      </w:r>
      <w:r>
        <w:rPr>
          <w:rtl w:val="true"/>
        </w:rPr>
        <w:t>אך אשוב ואדגיש</w:t>
      </w:r>
      <w:r>
        <w:rPr>
          <w:rtl w:val="true"/>
        </w:rPr>
        <w:t xml:space="preserve">, </w:t>
      </w:r>
      <w:r>
        <w:rPr>
          <w:rtl w:val="true"/>
        </w:rPr>
        <w:t xml:space="preserve">לאור משמעות העניין לאחר תיקון </w:t>
      </w:r>
      <w:r>
        <w:rPr/>
        <w:t>113</w:t>
      </w:r>
      <w:r>
        <w:rPr>
          <w:rtl w:val="true"/>
        </w:rPr>
        <w:t xml:space="preserve">, </w:t>
      </w:r>
      <w:r>
        <w:rPr>
          <w:rtl w:val="true"/>
        </w:rPr>
        <w:t>שאין בשיקול זה כדי להשפיע על מתחם הענישה</w:t>
      </w:r>
      <w:r>
        <w:rPr>
          <w:rtl w:val="true"/>
        </w:rPr>
        <w:t xml:space="preserve">, </w:t>
      </w:r>
      <w:r>
        <w:rPr>
          <w:rtl w:val="true"/>
        </w:rPr>
        <w:t>ולהביא לכך שהעונש שייגזר יחרוג ממנו</w:t>
      </w:r>
      <w:r>
        <w:rPr>
          <w:rtl w:val="true"/>
        </w:rPr>
        <w:t xml:space="preserve">. </w:t>
      </w:r>
    </w:p>
    <w:p>
      <w:pPr>
        <w:pStyle w:val="Ruller41"/>
        <w:ind w:end="0"/>
        <w:jc w:val="both"/>
        <w:rPr/>
      </w:pPr>
      <w:r>
        <w:rPr>
          <w:rtl w:val="true"/>
        </w:rPr>
      </w:r>
    </w:p>
    <w:p>
      <w:pPr>
        <w:pStyle w:val="Ruller42"/>
        <w:numPr>
          <w:ilvl w:val="0"/>
          <w:numId w:val="1"/>
        </w:numPr>
        <w:ind w:end="0"/>
        <w:jc w:val="both"/>
        <w:rPr/>
      </w:pPr>
      <w:r>
        <w:rPr>
          <w:rtl w:val="true"/>
        </w:rPr>
        <w:t>לצד ההתחשבות בהרתעת הרבים</w:t>
      </w:r>
      <w:r>
        <w:rPr>
          <w:rtl w:val="true"/>
        </w:rPr>
        <w:t xml:space="preserve">, </w:t>
      </w:r>
      <w:r>
        <w:rPr>
          <w:rtl w:val="true"/>
        </w:rPr>
        <w:t>מצאתי חשיבות בחזרה על כך שאין להתחשב במוצאו של המערער כשיקול</w:t>
      </w:r>
      <w:r>
        <w:rPr>
          <w:rtl w:val="true"/>
        </w:rPr>
        <w:t xml:space="preserve">, </w:t>
      </w:r>
      <w:r>
        <w:rPr>
          <w:rtl w:val="true"/>
        </w:rPr>
        <w:t>וזאת לאור הערתו של בית המשפט המחוזי</w:t>
      </w:r>
      <w:r>
        <w:rPr>
          <w:rtl w:val="true"/>
        </w:rPr>
        <w:t xml:space="preserve">, </w:t>
      </w:r>
      <w:r>
        <w:rPr>
          <w:rtl w:val="true"/>
        </w:rPr>
        <w:t>לפיה גזר הדין אינו מתייחס למוצאו של המערער</w:t>
      </w:r>
      <w:r>
        <w:rPr>
          <w:rtl w:val="true"/>
        </w:rPr>
        <w:t xml:space="preserve">, </w:t>
      </w:r>
      <w:r>
        <w:rPr>
          <w:rtl w:val="true"/>
        </w:rPr>
        <w:t>ולטענותיו של האחרון בעניין זה</w:t>
      </w:r>
      <w:r>
        <w:rPr>
          <w:rtl w:val="true"/>
        </w:rPr>
        <w:t xml:space="preserve">. </w:t>
      </w:r>
      <w:r>
        <w:rPr>
          <w:rtl w:val="true"/>
        </w:rPr>
        <w:t>כבר נקבע על ידי בית משפט זה מספר פעמים כי אין מקום להתחשבות במוצאו האתני או השתייכותו הקבוצתית של נאשם בעת קביעת עונשו</w:t>
      </w:r>
      <w:r>
        <w:rPr>
          <w:rtl w:val="true"/>
        </w:rPr>
        <w:t xml:space="preserve">. </w:t>
      </w:r>
      <w:r>
        <w:rPr>
          <w:rtl w:val="true"/>
        </w:rPr>
        <w:t xml:space="preserve">ודאי שכך הדבר גם אחרי תיקון </w:t>
      </w:r>
      <w:r>
        <w:rPr/>
        <w:t>113</w:t>
      </w:r>
      <w:r>
        <w:rPr>
          <w:rtl w:val="true"/>
        </w:rPr>
        <w:t xml:space="preserve">, </w:t>
      </w:r>
      <w:r>
        <w:rPr>
          <w:rtl w:val="true"/>
        </w:rPr>
        <w:t>בכל אחד משלביו</w:t>
      </w:r>
      <w:r>
        <w:rPr>
          <w:rtl w:val="true"/>
        </w:rPr>
        <w:t xml:space="preserve">. </w:t>
      </w:r>
      <w:r>
        <w:rPr>
          <w:rtl w:val="true"/>
        </w:rPr>
        <w:t>מוצאו האתני או השתייכותו הקבוצתית של נאשם אינם מהווים חלק מנסיבות העבירה</w:t>
      </w:r>
      <w:r>
        <w:rPr>
          <w:rtl w:val="true"/>
        </w:rPr>
        <w:t xml:space="preserve">, </w:t>
      </w:r>
      <w:r>
        <w:rPr>
          <w:rtl w:val="true"/>
        </w:rPr>
        <w:t>או חלק מהנסיבות החיצוניות לה</w:t>
      </w:r>
      <w:r>
        <w:rPr>
          <w:rtl w:val="true"/>
        </w:rPr>
        <w:t xml:space="preserve">, </w:t>
      </w:r>
      <w:r>
        <w:rPr>
          <w:rtl w:val="true"/>
        </w:rPr>
        <w:t>וכמובן שאינם יכולים להיכלל כנסיבה נוספת</w:t>
      </w:r>
      <w:r>
        <w:rPr>
          <w:rtl w:val="true"/>
        </w:rPr>
        <w:t xml:space="preserve">, </w:t>
      </w:r>
      <w:r>
        <w:rPr>
          <w:rtl w:val="true"/>
        </w:rPr>
        <w:t xml:space="preserve">מכוח </w:t>
      </w:r>
      <w:hyperlink r:id="rId121">
        <w:r>
          <w:rPr>
            <w:rStyle w:val="Hyperlink"/>
            <w:color w:val="0000FF"/>
            <w:u w:val="single"/>
            <w:rtl w:val="true"/>
          </w:rPr>
          <w:t>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יב</w:t>
        </w:r>
      </w:hyperlink>
      <w:r>
        <w:rPr>
          <w:rtl w:val="true"/>
        </w:rPr>
        <w:t xml:space="preserve"> לחוק</w:t>
      </w:r>
      <w:r>
        <w:rPr>
          <w:rtl w:val="true"/>
        </w:rPr>
        <w:t xml:space="preserve">. </w:t>
      </w:r>
      <w:r>
        <w:rPr>
          <w:rtl w:val="true"/>
        </w:rPr>
        <w:t>גם על הסיבות לכך עמד בית משפט זה</w:t>
      </w:r>
      <w:r>
        <w:rPr>
          <w:rtl w:val="true"/>
        </w:rPr>
        <w:t xml:space="preserve">; </w:t>
      </w:r>
      <w:r>
        <w:rPr>
          <w:rtl w:val="true"/>
        </w:rPr>
        <w:t>נקבע שמדובר בדרך ענישה המנוגדת לעיקרון השוויון</w:t>
      </w:r>
      <w:r>
        <w:rPr>
          <w:rtl w:val="true"/>
        </w:rPr>
        <w:t xml:space="preserve">; </w:t>
      </w:r>
      <w:r>
        <w:rPr>
          <w:rtl w:val="true"/>
        </w:rPr>
        <w:t xml:space="preserve">וכן שהיא יכולה לגרור לתיוגה והכתמתה של קבוצה שלמה </w:t>
      </w:r>
      <w:r>
        <w:rPr>
          <w:rtl w:val="true"/>
        </w:rPr>
        <w:t>(</w:t>
      </w:r>
      <w:r>
        <w:rPr>
          <w:rtl w:val="true"/>
        </w:rPr>
        <w:t>ראו</w:t>
      </w:r>
      <w:r>
        <w:rPr>
          <w:rtl w:val="true"/>
        </w:rPr>
        <w:t>:</w:t>
      </w:r>
      <w:r>
        <w:rPr>
          <w:rFonts w:cs="Miriam" w:ascii="Century" w:hAnsi="Century"/>
          <w:b/>
          <w:spacing w:val="0"/>
          <w:sz w:val="22"/>
          <w:szCs w:val="24"/>
          <w:rtl w:val="true"/>
        </w:rPr>
        <w:t xml:space="preserve"> </w:t>
      </w:r>
      <w:r>
        <w:rPr>
          <w:rtl w:val="true"/>
        </w:rPr>
        <w:t xml:space="preserve">עניין </w:t>
      </w:r>
      <w:r>
        <w:rPr>
          <w:rFonts w:ascii="Century" w:hAnsi="Century" w:cs="Miriam"/>
          <w:b/>
          <w:b/>
          <w:spacing w:val="0"/>
          <w:sz w:val="22"/>
          <w:sz w:val="22"/>
          <w:szCs w:val="24"/>
          <w:rtl w:val="true"/>
        </w:rPr>
        <w:t>כריסטיאן</w:t>
      </w:r>
      <w:r>
        <w:rPr>
          <w:rFonts w:cs="Century" w:ascii="Century" w:hAnsi="Century"/>
          <w:sz w:val="22"/>
          <w:rtl w:val="true"/>
        </w:rPr>
        <w:t xml:space="preserve">, </w:t>
      </w:r>
      <w:r>
        <w:rPr>
          <w:rFonts w:ascii="Century" w:hAnsi="Century" w:cs="Century"/>
          <w:sz w:val="22"/>
          <w:sz w:val="22"/>
          <w:rtl w:val="true"/>
        </w:rPr>
        <w:t xml:space="preserve">בפסקה </w:t>
      </w:r>
      <w:r>
        <w:rPr>
          <w:rFonts w:cs="Century" w:ascii="Century" w:hAnsi="Century"/>
          <w:sz w:val="22"/>
        </w:rPr>
        <w:t>9</w:t>
      </w:r>
      <w:r>
        <w:rPr>
          <w:rFonts w:cs="Century" w:ascii="Century" w:hAnsi="Century"/>
          <w:sz w:val="22"/>
          <w:rtl w:val="true"/>
        </w:rPr>
        <w:t>;</w:t>
      </w:r>
      <w:r>
        <w:rPr>
          <w:rtl w:val="true"/>
        </w:rPr>
        <w:t xml:space="preserve"> </w:t>
      </w:r>
      <w:r>
        <w:rPr>
          <w:rtl w:val="true"/>
        </w:rPr>
        <w:t xml:space="preserve">עניין </w:t>
      </w:r>
      <w:r>
        <w:rPr>
          <w:rFonts w:ascii="Century" w:hAnsi="Century" w:cs="Miriam"/>
          <w:b/>
          <w:b/>
          <w:spacing w:val="0"/>
          <w:sz w:val="22"/>
          <w:sz w:val="22"/>
          <w:szCs w:val="24"/>
          <w:rtl w:val="true"/>
        </w:rPr>
        <w:t>כאברי</w:t>
      </w:r>
      <w:r>
        <w:rPr>
          <w:rFonts w:cs="Century" w:ascii="Century" w:hAnsi="Century"/>
          <w:sz w:val="22"/>
          <w:rtl w:val="true"/>
        </w:rPr>
        <w:t xml:space="preserve">, </w:t>
      </w:r>
      <w:r>
        <w:rPr>
          <w:rFonts w:ascii="Century" w:hAnsi="Century" w:cs="Century"/>
          <w:sz w:val="22"/>
          <w:sz w:val="22"/>
          <w:rtl w:val="true"/>
        </w:rPr>
        <w:t>בפסקאו</w:t>
      </w:r>
      <w:r>
        <w:rPr>
          <w:rFonts w:ascii="Century" w:hAnsi="Century" w:cs="Century"/>
          <w:sz w:val="22"/>
          <w:sz w:val="22"/>
          <w:rtl w:val="true"/>
        </w:rPr>
        <w:t>ת</w:t>
      </w:r>
      <w:r>
        <w:rPr>
          <w:rFonts w:ascii="Century" w:hAnsi="Century" w:cs="Century"/>
          <w:sz w:val="22"/>
          <w:sz w:val="22"/>
          <w:rtl w:val="true"/>
        </w:rPr>
        <w:t xml:space="preserve"> </w:t>
      </w:r>
      <w:r>
        <w:rPr>
          <w:rFonts w:cs="Century" w:ascii="Century" w:hAnsi="Century"/>
          <w:sz w:val="22"/>
        </w:rPr>
        <w:t>19-16</w:t>
      </w:r>
      <w:r>
        <w:rPr>
          <w:rFonts w:cs="Century" w:ascii="Century" w:hAnsi="Century"/>
          <w:sz w:val="22"/>
          <w:rtl w:val="true"/>
        </w:rPr>
        <w:t xml:space="preserve"> </w:t>
      </w:r>
      <w:r>
        <w:rPr>
          <w:rFonts w:ascii="Century" w:hAnsi="Century" w:cs="Century"/>
          <w:sz w:val="22"/>
          <w:sz w:val="22"/>
          <w:rtl w:val="true"/>
        </w:rPr>
        <w:t>לחוות דעתו של השופט</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י</w:t>
      </w:r>
      <w:r>
        <w:rPr>
          <w:rFonts w:cs="Miriam" w:ascii="Century" w:hAnsi="Century"/>
          <w:b/>
          <w:spacing w:val="0"/>
          <w:sz w:val="22"/>
          <w:szCs w:val="24"/>
          <w:rtl w:val="true"/>
        </w:rPr>
        <w:t xml:space="preserve">' </w:t>
      </w:r>
      <w:r>
        <w:rPr>
          <w:rFonts w:ascii="Century" w:hAnsi="Century" w:cs="Miriam"/>
          <w:b/>
          <w:b/>
          <w:spacing w:val="0"/>
          <w:sz w:val="22"/>
          <w:sz w:val="22"/>
          <w:szCs w:val="24"/>
          <w:rtl w:val="true"/>
        </w:rPr>
        <w:t>דנציגר</w:t>
      </w:r>
      <w:r>
        <w:rPr>
          <w:rFonts w:cs="Century" w:ascii="Century" w:hAnsi="Century"/>
          <w:sz w:val="22"/>
          <w:rtl w:val="true"/>
        </w:rPr>
        <w:t xml:space="preserve">, </w:t>
      </w:r>
      <w:r>
        <w:rPr>
          <w:rFonts w:ascii="Century" w:hAnsi="Century" w:cs="Century"/>
          <w:sz w:val="22"/>
          <w:sz w:val="22"/>
          <w:rtl w:val="true"/>
        </w:rPr>
        <w:t>בפסקה ג</w:t>
      </w:r>
      <w:r>
        <w:rPr>
          <w:rFonts w:cs="Century" w:ascii="Century" w:hAnsi="Century"/>
          <w:sz w:val="22"/>
          <w:rtl w:val="true"/>
        </w:rPr>
        <w:t xml:space="preserve">' </w:t>
      </w:r>
      <w:r>
        <w:rPr>
          <w:rFonts w:ascii="Century" w:hAnsi="Century" w:cs="Century"/>
          <w:sz w:val="22"/>
          <w:sz w:val="22"/>
          <w:rtl w:val="true"/>
        </w:rPr>
        <w:t xml:space="preserve">לחוות דעתו של השופט </w:t>
      </w:r>
      <w:r>
        <w:rPr>
          <w:rFonts w:ascii="Century" w:hAnsi="Century" w:cs="Miriam"/>
          <w:b/>
          <w:b/>
          <w:spacing w:val="0"/>
          <w:sz w:val="22"/>
          <w:sz w:val="22"/>
          <w:szCs w:val="24"/>
          <w:rtl w:val="true"/>
        </w:rPr>
        <w:t>א</w:t>
      </w:r>
      <w:r>
        <w:rPr>
          <w:rFonts w:cs="Miriam" w:ascii="Century" w:hAnsi="Century"/>
          <w:b/>
          <w:spacing w:val="0"/>
          <w:sz w:val="22"/>
          <w:szCs w:val="24"/>
          <w:rtl w:val="true"/>
        </w:rPr>
        <w:t xml:space="preserve">' </w:t>
      </w:r>
      <w:r>
        <w:rPr>
          <w:rFonts w:ascii="Century" w:hAnsi="Century" w:cs="Miriam"/>
          <w:b/>
          <w:b/>
          <w:spacing w:val="0"/>
          <w:sz w:val="22"/>
          <w:sz w:val="22"/>
          <w:szCs w:val="24"/>
          <w:rtl w:val="true"/>
        </w:rPr>
        <w:t>רובינשטיין</w:t>
      </w:r>
      <w:r>
        <w:rPr>
          <w:rFonts w:cs="Century" w:ascii="Century" w:hAnsi="Century"/>
          <w:sz w:val="22"/>
          <w:rtl w:val="true"/>
        </w:rPr>
        <w:t xml:space="preserve">, </w:t>
      </w:r>
      <w:r>
        <w:rPr>
          <w:rFonts w:ascii="Century" w:hAnsi="Century" w:cs="Century"/>
          <w:sz w:val="22"/>
          <w:sz w:val="22"/>
          <w:rtl w:val="true"/>
        </w:rPr>
        <w:t>בפסקה ב</w:t>
      </w:r>
      <w:r>
        <w:rPr>
          <w:rFonts w:cs="Century" w:ascii="Century" w:hAnsi="Century"/>
          <w:sz w:val="22"/>
          <w:rtl w:val="true"/>
        </w:rPr>
        <w:t xml:space="preserve">' </w:t>
      </w:r>
      <w:r>
        <w:rPr>
          <w:rFonts w:ascii="Century" w:hAnsi="Century" w:cs="Century"/>
          <w:sz w:val="22"/>
          <w:sz w:val="22"/>
          <w:rtl w:val="true"/>
        </w:rPr>
        <w:t xml:space="preserve">לחוות דעתו של השופט </w:t>
      </w:r>
      <w:r>
        <w:rPr>
          <w:rFonts w:ascii="Century" w:hAnsi="Century" w:cs="Miriam"/>
          <w:b/>
          <w:b/>
          <w:spacing w:val="0"/>
          <w:sz w:val="22"/>
          <w:sz w:val="22"/>
          <w:szCs w:val="24"/>
          <w:rtl w:val="true"/>
        </w:rPr>
        <w:t>א</w:t>
      </w:r>
      <w:r>
        <w:rPr>
          <w:rFonts w:cs="Miriam" w:ascii="Century" w:hAnsi="Century"/>
          <w:b/>
          <w:spacing w:val="0"/>
          <w:sz w:val="22"/>
          <w:szCs w:val="24"/>
          <w:rtl w:val="true"/>
        </w:rPr>
        <w:t xml:space="preserve">' </w:t>
      </w:r>
      <w:r>
        <w:rPr>
          <w:rFonts w:ascii="Century" w:hAnsi="Century" w:cs="Miriam"/>
          <w:b/>
          <w:b/>
          <w:spacing w:val="0"/>
          <w:sz w:val="22"/>
          <w:sz w:val="22"/>
          <w:szCs w:val="24"/>
          <w:rtl w:val="true"/>
        </w:rPr>
        <w:t>שהם</w:t>
      </w:r>
      <w:r>
        <w:rPr>
          <w:rtl w:val="true"/>
        </w:rPr>
        <w:t xml:space="preserve">). </w:t>
      </w:r>
    </w:p>
    <w:p>
      <w:pPr>
        <w:pStyle w:val="Ruller41"/>
        <w:ind w:end="0"/>
        <w:jc w:val="both"/>
        <w:rPr/>
      </w:pPr>
      <w:r>
        <w:rPr>
          <w:rtl w:val="true"/>
        </w:rPr>
      </w:r>
    </w:p>
    <w:p>
      <w:pPr>
        <w:pStyle w:val="Ruller42"/>
        <w:numPr>
          <w:ilvl w:val="0"/>
          <w:numId w:val="1"/>
        </w:numPr>
        <w:ind w:end="0"/>
        <w:jc w:val="both"/>
        <w:rPr/>
      </w:pPr>
      <w:r>
        <w:rPr>
          <w:rtl w:val="true"/>
        </w:rPr>
        <w:t xml:space="preserve">ובאשר לנסיבות המנויות </w:t>
      </w:r>
      <w:hyperlink r:id="rId122">
        <w:r>
          <w:rPr>
            <w:rStyle w:val="Hyperlink"/>
            <w:color w:val="0000FF"/>
            <w:u w:val="single"/>
            <w:rtl w:val="true"/>
          </w:rPr>
          <w:t>בסעיף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יא</w:t>
        </w:r>
      </w:hyperlink>
      <w:r>
        <w:rPr>
          <w:rtl w:val="true"/>
        </w:rPr>
        <w:t xml:space="preserve">, </w:t>
      </w:r>
      <w:r>
        <w:rPr>
          <w:rtl w:val="true"/>
        </w:rPr>
        <w:t>לענייננו רלוונטיות כמה מהן</w:t>
      </w:r>
      <w:r>
        <w:rPr>
          <w:rtl w:val="true"/>
        </w:rPr>
        <w:t xml:space="preserve">. </w:t>
      </w:r>
      <w:r>
        <w:rPr>
          <w:rFonts w:ascii="Century" w:hAnsi="Century" w:cs="Miriam"/>
          <w:b/>
          <w:b/>
          <w:spacing w:val="0"/>
          <w:sz w:val="22"/>
          <w:sz w:val="22"/>
          <w:szCs w:val="24"/>
          <w:rtl w:val="true"/>
        </w:rPr>
        <w:t>ראשית</w:t>
      </w:r>
      <w:r>
        <w:rPr>
          <w:rFonts w:cs="Century" w:ascii="Century" w:hAnsi="Century"/>
          <w:sz w:val="22"/>
          <w:rtl w:val="true"/>
        </w:rPr>
        <w:t>,</w:t>
      </w:r>
      <w:r>
        <w:rPr>
          <w:rtl w:val="true"/>
        </w:rPr>
        <w:t xml:space="preserve"> </w:t>
      </w:r>
      <w:r>
        <w:rPr>
          <w:rtl w:val="true"/>
        </w:rPr>
        <w:t xml:space="preserve">הנסיבה הקשורה בפגיעה של העונש במערער בשל גילו </w:t>
      </w:r>
      <w:r>
        <w:rPr>
          <w:rtl w:val="true"/>
        </w:rPr>
        <w:t>(</w:t>
      </w:r>
      <w:hyperlink r:id="rId123">
        <w:r>
          <w:rPr>
            <w:rStyle w:val="Hyperlink"/>
            <w:color w:val="0000FF"/>
            <w:u w:val="single"/>
            <w:rtl w:val="true"/>
          </w:rPr>
          <w:t>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יא</w:t>
        </w:r>
        <w:r>
          <w:rPr>
            <w:rStyle w:val="Hyperlink"/>
            <w:color w:val="0000FF"/>
            <w:u w:val="single"/>
            <w:rtl w:val="true"/>
          </w:rPr>
          <w:t>(</w:t>
        </w:r>
        <w:r>
          <w:rPr>
            <w:rStyle w:val="Hyperlink"/>
            <w:color w:val="0000FF"/>
            <w:u w:val="single"/>
          </w:rPr>
          <w:t>1</w:t>
        </w:r>
        <w:r>
          <w:rPr>
            <w:rStyle w:val="Hyperlink"/>
            <w:color w:val="0000FF"/>
            <w:u w:val="single"/>
            <w:rtl w:val="true"/>
          </w:rPr>
          <w:t>))</w:t>
        </w:r>
      </w:hyperlink>
      <w:r>
        <w:rPr>
          <w:rtl w:val="true"/>
        </w:rPr>
        <w:t xml:space="preserve">, </w:t>
      </w:r>
      <w:r>
        <w:rPr>
          <w:rtl w:val="true"/>
        </w:rPr>
        <w:t>המערער היה בן פחות מ</w:t>
      </w:r>
      <w:r>
        <w:rPr>
          <w:rtl w:val="true"/>
        </w:rPr>
        <w:t>-</w:t>
      </w:r>
      <w:r>
        <w:rPr/>
        <w:t>21</w:t>
      </w:r>
      <w:r>
        <w:rPr>
          <w:rtl w:val="true"/>
        </w:rPr>
        <w:t xml:space="preserve"> </w:t>
      </w:r>
      <w:r>
        <w:rPr>
          <w:rtl w:val="true"/>
        </w:rPr>
        <w:t>שנים בעת ביצוע העבירה</w:t>
      </w:r>
      <w:r>
        <w:rPr>
          <w:rtl w:val="true"/>
        </w:rPr>
        <w:t xml:space="preserve">, </w:t>
      </w:r>
      <w:r>
        <w:rPr>
          <w:rtl w:val="true"/>
        </w:rPr>
        <w:t xml:space="preserve">וכליאתו בשלב זה של חייו לפרק זמן ממושך עשויה לפגוע בו באופן קשה </w:t>
      </w:r>
      <w:r>
        <w:rPr>
          <w:rtl w:val="true"/>
        </w:rPr>
        <w:t>(</w:t>
      </w:r>
      <w:r>
        <w:rPr>
          <w:rtl w:val="true"/>
        </w:rPr>
        <w:t>לאופן ההתייחסות השונה שראוי בעניינים של בגירים בגילאים צעירים ראו</w:t>
      </w:r>
      <w:r>
        <w:rPr>
          <w:rtl w:val="true"/>
        </w:rPr>
        <w:t xml:space="preserve">: </w:t>
      </w:r>
      <w:hyperlink r:id="rId124">
        <w:r>
          <w:rPr>
            <w:rStyle w:val="Hyperlink"/>
            <w:color w:val="0000FF"/>
            <w:u w:val="single"/>
            <w:rtl w:val="true"/>
          </w:rPr>
          <w:t>ע</w:t>
        </w:r>
        <w:r>
          <w:rPr>
            <w:rStyle w:val="Hyperlink"/>
            <w:color w:val="0000FF"/>
            <w:u w:val="single"/>
            <w:rtl w:val="true"/>
          </w:rPr>
          <w:t>"</w:t>
        </w:r>
        <w:r>
          <w:rPr>
            <w:rStyle w:val="Hyperlink"/>
            <w:color w:val="0000FF"/>
            <w:u w:val="single"/>
            <w:rtl w:val="true"/>
          </w:rPr>
          <w:t>פ</w:t>
        </w:r>
        <w:r>
          <w:rPr>
            <w:rStyle w:val="Hyperlink"/>
            <w:color w:val="0000FF"/>
            <w:u w:val="single"/>
            <w:rtl w:val="true"/>
          </w:rPr>
          <w:t xml:space="preserve"> </w:t>
        </w:r>
        <w:r>
          <w:rPr>
            <w:rStyle w:val="Hyperlink"/>
            <w:color w:val="0000FF"/>
            <w:u w:val="single"/>
          </w:rPr>
          <w:t>7781/12</w:t>
        </w:r>
      </w:hyperlink>
      <w:r>
        <w:rPr>
          <w:rtl w:val="true"/>
        </w:rPr>
        <w:t xml:space="preserve"> </w:t>
      </w:r>
      <w:r>
        <w:rPr>
          <w:rFonts w:ascii="Times New Roman" w:hAnsi="Times New Roman" w:cs="Miriam"/>
          <w:spacing w:val="0"/>
          <w:sz w:val="28"/>
          <w:sz w:val="28"/>
          <w:szCs w:val="24"/>
          <w:rtl w:val="true"/>
        </w:rPr>
        <w:t>פלוני</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נ</w:t>
      </w:r>
      <w:r>
        <w:rPr>
          <w:rFonts w:cs="Miriam" w:ascii="Times New Roman" w:hAnsi="Times New Roman"/>
          <w:spacing w:val="0"/>
          <w:sz w:val="28"/>
          <w:szCs w:val="24"/>
          <w:rtl w:val="true"/>
        </w:rPr>
        <w:t xml:space="preserve">' </w:t>
      </w:r>
      <w:r>
        <w:rPr>
          <w:rFonts w:ascii="Times New Roman" w:hAnsi="Times New Roman" w:cs="Miriam"/>
          <w:spacing w:val="0"/>
          <w:sz w:val="28"/>
          <w:sz w:val="28"/>
          <w:szCs w:val="24"/>
          <w:rtl w:val="true"/>
        </w:rPr>
        <w:t>מדינת</w:t>
      </w:r>
      <w:r>
        <w:rPr>
          <w:rFonts w:ascii="Times New Roman" w:hAnsi="Times New Roman" w:cs="Times New Roman"/>
          <w:spacing w:val="0"/>
          <w:sz w:val="28"/>
          <w:sz w:val="28"/>
          <w:szCs w:val="24"/>
          <w:rtl w:val="true"/>
        </w:rPr>
        <w:t xml:space="preserve"> </w:t>
      </w:r>
      <w:r>
        <w:rPr>
          <w:rFonts w:ascii="Times New Roman" w:hAnsi="Times New Roman" w:cs="Miriam"/>
          <w:spacing w:val="0"/>
          <w:sz w:val="28"/>
          <w:sz w:val="28"/>
          <w:szCs w:val="24"/>
          <w:rtl w:val="true"/>
        </w:rPr>
        <w:t>ישראל</w:t>
      </w:r>
      <w:r>
        <w:rPr>
          <w:rtl w:val="true"/>
        </w:rPr>
        <w:t xml:space="preserve"> </w:t>
      </w:r>
      <w:r>
        <w:rPr>
          <w:rFonts w:cs="David" w:ascii="Times New Roman" w:hAnsi="Times New Roman"/>
          <w:spacing w:val="0"/>
          <w:sz w:val="22"/>
          <w:szCs w:val="24"/>
          <w:rtl w:val="true"/>
        </w:rPr>
        <w:t>[</w:t>
      </w:r>
      <w:r>
        <w:rPr>
          <w:rFonts w:ascii="Times New Roman" w:hAnsi="Times New Roman" w:cs="David"/>
          <w:spacing w:val="0"/>
          <w:sz w:val="22"/>
          <w:sz w:val="22"/>
          <w:szCs w:val="24"/>
          <w:rtl w:val="true"/>
        </w:rPr>
        <w:t>פורסם</w:t>
      </w:r>
      <w:r>
        <w:rPr>
          <w:rFonts w:ascii="Times New Roman" w:hAnsi="Times New Roman" w:cs="Times New Roman"/>
          <w:spacing w:val="0"/>
          <w:sz w:val="22"/>
          <w:sz w:val="22"/>
          <w:szCs w:val="24"/>
          <w:rtl w:val="true"/>
        </w:rPr>
        <w:t xml:space="preserve"> </w:t>
      </w:r>
      <w:r>
        <w:rPr>
          <w:rFonts w:ascii="Times New Roman" w:hAnsi="Times New Roman" w:cs="David"/>
          <w:spacing w:val="0"/>
          <w:sz w:val="22"/>
          <w:sz w:val="22"/>
          <w:szCs w:val="24"/>
          <w:rtl w:val="true"/>
        </w:rPr>
        <w:t>בנבו</w:t>
      </w:r>
      <w:r>
        <w:rPr>
          <w:rFonts w:cs="David" w:ascii="Times New Roman" w:hAnsi="Times New Roman"/>
          <w:spacing w:val="0"/>
          <w:sz w:val="22"/>
          <w:szCs w:val="24"/>
          <w:rtl w:val="true"/>
        </w:rPr>
        <w:t xml:space="preserve">] </w:t>
      </w:r>
      <w:r>
        <w:rPr>
          <w:rtl w:val="true"/>
        </w:rPr>
        <w:t>(</w:t>
      </w:r>
      <w:r>
        <w:rPr/>
        <w:t>24.6.2013</w:t>
      </w:r>
      <w:r>
        <w:rPr>
          <w:rtl w:val="true"/>
        </w:rPr>
        <w:t xml:space="preserve">)). </w:t>
      </w:r>
      <w:r>
        <w:rPr>
          <w:rtl w:val="true"/>
        </w:rPr>
        <w:t>לעניין זה</w:t>
      </w:r>
      <w:r>
        <w:rPr>
          <w:rtl w:val="true"/>
        </w:rPr>
        <w:t xml:space="preserve">, </w:t>
      </w:r>
      <w:r>
        <w:rPr>
          <w:rtl w:val="true"/>
        </w:rPr>
        <w:t>יש לשים לב לתסקיר המבחן המשלים שמעיד על בעיות הסתגלות רבות של המערער במתקני הכליאה בהם הושם</w:t>
      </w:r>
      <w:r>
        <w:rPr>
          <w:rtl w:val="true"/>
        </w:rPr>
        <w:t xml:space="preserve">; </w:t>
      </w:r>
      <w:r>
        <w:rPr>
          <w:rFonts w:ascii="Century" w:hAnsi="Century" w:cs="Miriam"/>
          <w:b/>
          <w:b/>
          <w:spacing w:val="0"/>
          <w:sz w:val="22"/>
          <w:sz w:val="22"/>
          <w:szCs w:val="24"/>
          <w:rtl w:val="true"/>
        </w:rPr>
        <w:t>שנית</w:t>
      </w:r>
      <w:r>
        <w:rPr>
          <w:rFonts w:cs="Century" w:ascii="Century" w:hAnsi="Century"/>
          <w:sz w:val="22"/>
          <w:rtl w:val="true"/>
        </w:rPr>
        <w:t>,</w:t>
      </w:r>
      <w:r>
        <w:rPr>
          <w:rtl w:val="true"/>
        </w:rPr>
        <w:t xml:space="preserve"> </w:t>
      </w:r>
      <w:r>
        <w:rPr>
          <w:rtl w:val="true"/>
        </w:rPr>
        <w:t xml:space="preserve">הנסיבה המנויה </w:t>
      </w:r>
      <w:hyperlink r:id="rId125">
        <w:r>
          <w:rPr>
            <w:rStyle w:val="Hyperlink"/>
            <w:color w:val="0000FF"/>
            <w:u w:val="single"/>
            <w:rtl w:val="true"/>
          </w:rPr>
          <w:t>בסעיף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יא</w:t>
        </w:r>
        <w:r>
          <w:rPr>
            <w:rStyle w:val="Hyperlink"/>
            <w:color w:val="0000FF"/>
            <w:u w:val="single"/>
            <w:rtl w:val="true"/>
          </w:rPr>
          <w:t>(</w:t>
        </w:r>
        <w:r>
          <w:rPr>
            <w:rStyle w:val="Hyperlink"/>
            <w:color w:val="0000FF"/>
            <w:u w:val="single"/>
          </w:rPr>
          <w:t>11</w:t>
        </w:r>
        <w:r>
          <w:rPr>
            <w:rStyle w:val="Hyperlink"/>
            <w:color w:val="0000FF"/>
            <w:u w:val="single"/>
            <w:rtl w:val="true"/>
          </w:rPr>
          <w:t>)</w:t>
        </w:r>
      </w:hyperlink>
      <w:r>
        <w:rPr>
          <w:rtl w:val="true"/>
        </w:rPr>
        <w:t xml:space="preserve"> – </w:t>
      </w:r>
      <w:r>
        <w:rPr>
          <w:rtl w:val="true"/>
        </w:rPr>
        <w:t>עברו הפלילי של הנאשם או היעדרו – ובענייננו היעדרו של עבר פלילי</w:t>
      </w:r>
      <w:r>
        <w:rPr>
          <w:rtl w:val="true"/>
        </w:rPr>
        <w:t xml:space="preserve">; </w:t>
      </w:r>
      <w:r>
        <w:rPr>
          <w:rFonts w:ascii="Century" w:hAnsi="Century" w:cs="Miriam"/>
          <w:b/>
          <w:b/>
          <w:spacing w:val="0"/>
          <w:sz w:val="22"/>
          <w:sz w:val="22"/>
          <w:szCs w:val="24"/>
          <w:rtl w:val="true"/>
        </w:rPr>
        <w:t>שלישית</w:t>
      </w:r>
      <w:r>
        <w:rPr>
          <w:rFonts w:cs="Century" w:ascii="Century" w:hAnsi="Century"/>
          <w:sz w:val="22"/>
          <w:rtl w:val="true"/>
        </w:rPr>
        <w:t xml:space="preserve">, </w:t>
      </w:r>
      <w:r>
        <w:rPr>
          <w:rtl w:val="true"/>
        </w:rPr>
        <w:t>נסיבות חייו</w:t>
      </w:r>
      <w:r>
        <w:rPr>
          <w:rtl w:val="true"/>
        </w:rPr>
        <w:t xml:space="preserve">, </w:t>
      </w:r>
      <w:r>
        <w:rPr>
          <w:rtl w:val="true"/>
        </w:rPr>
        <w:t xml:space="preserve">שיקול לקולה לגביו טען המערער שלא נשקל – </w:t>
      </w:r>
      <w:hyperlink r:id="rId126">
        <w:r>
          <w:rPr>
            <w:rStyle w:val="Hyperlink"/>
            <w:color w:val="0000FF"/>
            <w:u w:val="single"/>
            <w:rtl w:val="true"/>
          </w:rPr>
          <w:t>סעיף</w:t>
        </w:r>
        <w:r>
          <w:rPr>
            <w:rStyle w:val="Hyperlink"/>
            <w:color w:val="0000FF"/>
            <w:u w:val="single"/>
            <w:rtl w:val="true"/>
          </w:rPr>
          <w:t xml:space="preserve"> </w:t>
        </w:r>
        <w:r>
          <w:rPr>
            <w:rStyle w:val="Hyperlink"/>
            <w:color w:val="0000FF"/>
            <w:u w:val="single"/>
          </w:rPr>
          <w:t>40</w:t>
        </w:r>
        <w:r>
          <w:rPr>
            <w:rStyle w:val="Hyperlink"/>
            <w:color w:val="0000FF"/>
            <w:u w:val="single"/>
            <w:rtl w:val="true"/>
          </w:rPr>
          <w:t>יא</w:t>
        </w:r>
        <w:r>
          <w:rPr>
            <w:rStyle w:val="Hyperlink"/>
            <w:color w:val="0000FF"/>
            <w:u w:val="single"/>
            <w:rtl w:val="true"/>
          </w:rPr>
          <w:t>(</w:t>
        </w:r>
        <w:r>
          <w:rPr>
            <w:rStyle w:val="Hyperlink"/>
            <w:color w:val="0000FF"/>
            <w:u w:val="single"/>
          </w:rPr>
          <w:t>8</w:t>
        </w:r>
        <w:r>
          <w:rPr>
            <w:rStyle w:val="Hyperlink"/>
            <w:color w:val="0000FF"/>
            <w:u w:val="single"/>
            <w:rtl w:val="true"/>
          </w:rPr>
          <w:t>)</w:t>
        </w:r>
      </w:hyperlink>
      <w:r>
        <w:rPr>
          <w:rtl w:val="true"/>
        </w:rPr>
        <w:t xml:space="preserve"> </w:t>
      </w:r>
      <w:r>
        <w:rPr>
          <w:rtl w:val="true"/>
        </w:rPr>
        <w:t xml:space="preserve">לחוק קובע כי בית המשפט </w:t>
      </w:r>
      <w:r>
        <w:rPr>
          <w:rFonts w:ascii="Century" w:hAnsi="Century" w:cs="Miriam"/>
          <w:b/>
          <w:b/>
          <w:spacing w:val="0"/>
          <w:sz w:val="22"/>
          <w:sz w:val="22"/>
          <w:szCs w:val="24"/>
          <w:rtl w:val="true"/>
        </w:rPr>
        <w:t>רשאי</w:t>
      </w:r>
      <w:r>
        <w:rPr>
          <w:rtl w:val="true"/>
        </w:rPr>
        <w:t xml:space="preserve"> להתחשב בנסיבות חיים קשות של הנאשם</w:t>
      </w:r>
      <w:r>
        <w:rPr>
          <w:rtl w:val="true"/>
        </w:rPr>
        <w:t xml:space="preserve">, </w:t>
      </w:r>
      <w:r>
        <w:rPr>
          <w:rtl w:val="true"/>
        </w:rPr>
        <w:t xml:space="preserve">אם </w:t>
      </w:r>
      <w:r>
        <w:rPr>
          <w:rFonts w:ascii="Century" w:hAnsi="Century" w:cs="Miriam"/>
          <w:b/>
          <w:b/>
          <w:spacing w:val="0"/>
          <w:sz w:val="22"/>
          <w:sz w:val="22"/>
          <w:szCs w:val="24"/>
          <w:rtl w:val="true"/>
        </w:rPr>
        <w:t>הייתה</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להן</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השפעה</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על</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ביצוע</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מעשה</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העבירה</w:t>
      </w:r>
      <w:r>
        <w:rPr>
          <w:rFonts w:cs="Century" w:ascii="Century" w:hAnsi="Century"/>
          <w:sz w:val="22"/>
          <w:rtl w:val="true"/>
        </w:rPr>
        <w:t xml:space="preserve">. </w:t>
      </w:r>
      <w:r>
        <w:rPr>
          <w:rFonts w:ascii="Century" w:hAnsi="Century" w:cs="Century"/>
          <w:sz w:val="22"/>
          <w:sz w:val="22"/>
          <w:rtl w:val="true"/>
        </w:rPr>
        <w:t>בעניין זה נתקלנו אנו בקושי מסוים</w:t>
      </w:r>
      <w:r>
        <w:rPr>
          <w:rFonts w:cs="Century" w:ascii="Century" w:hAnsi="Century"/>
          <w:sz w:val="22"/>
          <w:rtl w:val="true"/>
        </w:rPr>
        <w:t xml:space="preserve">. </w:t>
      </w:r>
      <w:r>
        <w:rPr>
          <w:rFonts w:ascii="Century" w:hAnsi="Century" w:cs="Century"/>
          <w:sz w:val="22"/>
          <w:sz w:val="22"/>
          <w:rtl w:val="true"/>
        </w:rPr>
        <w:t>אין להקל ראש בנסיבות החיים הקשות של המערער</w:t>
      </w:r>
      <w:r>
        <w:rPr>
          <w:rFonts w:cs="Century" w:ascii="Century" w:hAnsi="Century"/>
          <w:sz w:val="22"/>
          <w:rtl w:val="true"/>
        </w:rPr>
        <w:t xml:space="preserve">, </w:t>
      </w:r>
      <w:r>
        <w:rPr>
          <w:rFonts w:ascii="Century" w:hAnsi="Century" w:cs="Century"/>
          <w:sz w:val="22"/>
          <w:sz w:val="22"/>
          <w:rtl w:val="true"/>
        </w:rPr>
        <w:t>שהתייתם מהוריו בגיל צעיר</w:t>
      </w:r>
      <w:r>
        <w:rPr>
          <w:rFonts w:cs="Century" w:ascii="Century" w:hAnsi="Century"/>
          <w:sz w:val="22"/>
          <w:rtl w:val="true"/>
        </w:rPr>
        <w:t xml:space="preserve">, </w:t>
      </w:r>
      <w:r>
        <w:rPr>
          <w:rFonts w:ascii="Century" w:hAnsi="Century" w:cs="Century"/>
          <w:sz w:val="22"/>
          <w:sz w:val="22"/>
          <w:rtl w:val="true"/>
        </w:rPr>
        <w:t>וחי חיי פליטות ונדודים לאחר שברח מהצבא האריתראי</w:t>
      </w:r>
      <w:r>
        <w:rPr>
          <w:rFonts w:cs="Century" w:ascii="Century" w:hAnsi="Century"/>
          <w:sz w:val="22"/>
          <w:rtl w:val="true"/>
        </w:rPr>
        <w:t xml:space="preserve">. </w:t>
      </w:r>
      <w:r>
        <w:rPr>
          <w:rFonts w:ascii="Century" w:hAnsi="Century" w:cs="Century"/>
          <w:sz w:val="22"/>
          <w:sz w:val="22"/>
          <w:rtl w:val="true"/>
        </w:rPr>
        <w:t>גם חייו כמבקש מקלט בישראל</w:t>
      </w:r>
      <w:r>
        <w:rPr>
          <w:rFonts w:cs="Century" w:ascii="Century" w:hAnsi="Century"/>
          <w:sz w:val="22"/>
          <w:rtl w:val="true"/>
        </w:rPr>
        <w:t xml:space="preserve">, </w:t>
      </w:r>
      <w:r>
        <w:rPr>
          <w:rFonts w:ascii="Century" w:hAnsi="Century" w:cs="Century"/>
          <w:sz w:val="22"/>
          <w:sz w:val="22"/>
          <w:rtl w:val="true"/>
        </w:rPr>
        <w:t>ולו עם אשרה</w:t>
      </w:r>
      <w:r>
        <w:rPr>
          <w:rFonts w:cs="Century" w:ascii="Century" w:hAnsi="Century"/>
          <w:sz w:val="22"/>
          <w:rtl w:val="true"/>
        </w:rPr>
        <w:t xml:space="preserve">, </w:t>
      </w:r>
      <w:r>
        <w:rPr>
          <w:rFonts w:ascii="Century" w:hAnsi="Century" w:cs="Century"/>
          <w:sz w:val="22"/>
          <w:sz w:val="22"/>
          <w:rtl w:val="true"/>
        </w:rPr>
        <w:t>אינם פשוטים הם</w:t>
      </w:r>
      <w:r>
        <w:rPr>
          <w:rFonts w:cs="Century" w:ascii="Century" w:hAnsi="Century"/>
          <w:sz w:val="22"/>
          <w:rtl w:val="true"/>
        </w:rPr>
        <w:t xml:space="preserve">. </w:t>
      </w:r>
      <w:r>
        <w:rPr>
          <w:rFonts w:ascii="Century" w:hAnsi="Century" w:cs="Century"/>
          <w:sz w:val="22"/>
          <w:sz w:val="22"/>
          <w:rtl w:val="true"/>
        </w:rPr>
        <w:t>עם זאת</w:t>
      </w:r>
      <w:r>
        <w:rPr>
          <w:rFonts w:cs="Century" w:ascii="Century" w:hAnsi="Century"/>
          <w:sz w:val="22"/>
          <w:rtl w:val="true"/>
        </w:rPr>
        <w:t xml:space="preserve">, </w:t>
      </w:r>
      <w:r>
        <w:rPr>
          <w:rFonts w:ascii="Century" w:hAnsi="Century" w:cs="Century"/>
          <w:sz w:val="22"/>
          <w:sz w:val="22"/>
          <w:rtl w:val="true"/>
        </w:rPr>
        <w:t>המערער</w:t>
      </w:r>
      <w:r>
        <w:rPr>
          <w:rFonts w:cs="Century" w:ascii="Century" w:hAnsi="Century"/>
          <w:sz w:val="22"/>
          <w:rtl w:val="true"/>
        </w:rPr>
        <w:t xml:space="preserve">, </w:t>
      </w:r>
      <w:r>
        <w:rPr>
          <w:rFonts w:ascii="Century" w:hAnsi="Century" w:cs="Century"/>
          <w:sz w:val="22"/>
          <w:sz w:val="22"/>
          <w:rtl w:val="true"/>
        </w:rPr>
        <w:t>אינו מודה במעשים</w:t>
      </w:r>
      <w:r>
        <w:rPr>
          <w:rFonts w:cs="Century" w:ascii="Century" w:hAnsi="Century"/>
          <w:sz w:val="22"/>
          <w:rtl w:val="true"/>
        </w:rPr>
        <w:t xml:space="preserve">. </w:t>
      </w:r>
      <w:r>
        <w:rPr>
          <w:rFonts w:ascii="Century" w:hAnsi="Century" w:cs="Century"/>
          <w:sz w:val="22"/>
          <w:sz w:val="22"/>
          <w:rtl w:val="true"/>
        </w:rPr>
        <w:t>בנוסף</w:t>
      </w:r>
      <w:r>
        <w:rPr>
          <w:rFonts w:cs="Century" w:ascii="Century" w:hAnsi="Century"/>
          <w:sz w:val="22"/>
          <w:rtl w:val="true"/>
        </w:rPr>
        <w:t xml:space="preserve">, </w:t>
      </w:r>
      <w:r>
        <w:rPr>
          <w:rFonts w:ascii="Century" w:hAnsi="Century" w:cs="Century"/>
          <w:sz w:val="22"/>
          <w:sz w:val="22"/>
          <w:rtl w:val="true"/>
        </w:rPr>
        <w:t>הקשר בין הקשיים בעברו של המערער</w:t>
      </w:r>
      <w:r>
        <w:rPr>
          <w:rFonts w:cs="Century" w:ascii="Century" w:hAnsi="Century"/>
          <w:sz w:val="22"/>
          <w:rtl w:val="true"/>
        </w:rPr>
        <w:t xml:space="preserve">, </w:t>
      </w:r>
      <w:r>
        <w:rPr>
          <w:rFonts w:ascii="Century" w:hAnsi="Century" w:cs="Century"/>
          <w:sz w:val="22"/>
          <w:sz w:val="22"/>
          <w:rtl w:val="true"/>
        </w:rPr>
        <w:t>למעשה קשירת קשר ושוד</w:t>
      </w:r>
      <w:r>
        <w:rPr>
          <w:rFonts w:cs="Century" w:ascii="Century" w:hAnsi="Century"/>
          <w:sz w:val="22"/>
          <w:rtl w:val="true"/>
        </w:rPr>
        <w:t xml:space="preserve">, </w:t>
      </w:r>
      <w:r>
        <w:rPr>
          <w:rFonts w:ascii="Century" w:hAnsi="Century" w:cs="Century"/>
          <w:sz w:val="22"/>
          <w:sz w:val="22"/>
          <w:rtl w:val="true"/>
        </w:rPr>
        <w:t>אינם מתחייבים</w:t>
      </w:r>
      <w:r>
        <w:rPr>
          <w:rFonts w:cs="Century" w:ascii="Century" w:hAnsi="Century"/>
          <w:sz w:val="22"/>
          <w:rtl w:val="true"/>
        </w:rPr>
        <w:t xml:space="preserve">. </w:t>
      </w:r>
      <w:r>
        <w:rPr>
          <w:rFonts w:ascii="Century" w:hAnsi="Century" w:cs="Century"/>
          <w:sz w:val="22"/>
          <w:sz w:val="22"/>
          <w:rtl w:val="true"/>
        </w:rPr>
        <w:t>לבסוף</w:t>
      </w:r>
      <w:r>
        <w:rPr>
          <w:rFonts w:cs="Century" w:ascii="Century" w:hAnsi="Century"/>
          <w:sz w:val="22"/>
          <w:rtl w:val="true"/>
        </w:rPr>
        <w:t xml:space="preserve">, </w:t>
      </w:r>
      <w:r>
        <w:rPr>
          <w:rFonts w:ascii="Century" w:hAnsi="Century" w:cs="Century"/>
          <w:sz w:val="22"/>
          <w:sz w:val="22"/>
          <w:rtl w:val="true"/>
        </w:rPr>
        <w:t>מצאתי לנכון להתחשב בנסיבות חייו של המערער לקולה</w:t>
      </w:r>
      <w:r>
        <w:rPr>
          <w:rFonts w:cs="Century" w:ascii="Century" w:hAnsi="Century"/>
          <w:sz w:val="22"/>
          <w:rtl w:val="true"/>
        </w:rPr>
        <w:t xml:space="preserve">, </w:t>
      </w:r>
      <w:r>
        <w:rPr>
          <w:rFonts w:ascii="Century" w:hAnsi="Century" w:cs="Century"/>
          <w:sz w:val="22"/>
          <w:sz w:val="22"/>
          <w:rtl w:val="true"/>
        </w:rPr>
        <w:t xml:space="preserve">על פי הקבוע </w:t>
      </w:r>
      <w:hyperlink r:id="rId127">
        <w:r>
          <w:rPr>
            <w:rStyle w:val="Hyperlink"/>
            <w:rFonts w:ascii="Century" w:hAnsi="Century" w:cs="Century"/>
            <w:color w:val="0000FF"/>
            <w:sz w:val="22"/>
            <w:sz w:val="22"/>
            <w:u w:val="single"/>
            <w:rtl w:val="true"/>
          </w:rPr>
          <w:t>בסעיף</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40</w:t>
        </w:r>
        <w:r>
          <w:rPr>
            <w:rStyle w:val="Hyperlink"/>
            <w:rFonts w:ascii="Century" w:hAnsi="Century" w:cs="Century"/>
            <w:color w:val="0000FF"/>
            <w:sz w:val="22"/>
            <w:sz w:val="22"/>
            <w:u w:val="single"/>
            <w:rtl w:val="true"/>
          </w:rPr>
          <w:t>יב</w:t>
        </w:r>
      </w:hyperlink>
      <w:r>
        <w:rPr>
          <w:rFonts w:cs="Century" w:ascii="Century" w:hAnsi="Century"/>
          <w:sz w:val="22"/>
          <w:rtl w:val="true"/>
        </w:rPr>
        <w:t xml:space="preserve">, </w:t>
      </w:r>
      <w:r>
        <w:rPr>
          <w:rFonts w:ascii="Century" w:hAnsi="Century" w:cs="Century"/>
          <w:sz w:val="22"/>
          <w:sz w:val="22"/>
          <w:rtl w:val="true"/>
        </w:rPr>
        <w:t xml:space="preserve">המאפשר שקילת נסיבות </w:t>
      </w:r>
      <w:r>
        <w:rPr>
          <w:rFonts w:cs="Century" w:ascii="Century" w:hAnsi="Century"/>
          <w:sz w:val="22"/>
          <w:rtl w:val="true"/>
        </w:rPr>
        <w:t>"</w:t>
      </w:r>
      <w:r>
        <w:rPr>
          <w:rFonts w:ascii="Century" w:hAnsi="Century" w:cs="Century"/>
          <w:sz w:val="22"/>
          <w:sz w:val="22"/>
          <w:rtl w:val="true"/>
        </w:rPr>
        <w:t>נוספות</w:t>
      </w:r>
      <w:r>
        <w:rPr>
          <w:rFonts w:cs="Century" w:ascii="Century" w:hAnsi="Century"/>
          <w:sz w:val="22"/>
          <w:rtl w:val="true"/>
        </w:rPr>
        <w:t>"</w:t>
      </w:r>
      <w:r>
        <w:rPr>
          <w:rtl w:val="true"/>
        </w:rPr>
        <w:t>.</w:t>
      </w:r>
    </w:p>
    <w:p>
      <w:pPr>
        <w:pStyle w:val="Ruller41"/>
        <w:ind w:end="0"/>
        <w:jc w:val="both"/>
        <w:rPr/>
      </w:pPr>
      <w:r>
        <w:rPr>
          <w:rtl w:val="true"/>
        </w:rPr>
      </w:r>
    </w:p>
    <w:p>
      <w:pPr>
        <w:pStyle w:val="Ruller42"/>
        <w:numPr>
          <w:ilvl w:val="0"/>
          <w:numId w:val="1"/>
        </w:numPr>
        <w:ind w:end="0"/>
        <w:jc w:val="both"/>
        <w:rPr>
          <w:rFonts w:ascii="Century" w:hAnsi="Century" w:cs="Century"/>
          <w:sz w:val="22"/>
        </w:rPr>
      </w:pPr>
      <w:r>
        <w:rPr>
          <w:rFonts w:ascii="Century" w:hAnsi="Century" w:cs="Century"/>
          <w:sz w:val="22"/>
          <w:sz w:val="22"/>
          <w:rtl w:val="true"/>
        </w:rPr>
        <w:t>עוד לעניין גזירת העונש</w:t>
      </w:r>
      <w:r>
        <w:rPr>
          <w:rFonts w:cs="Century" w:ascii="Century" w:hAnsi="Century"/>
          <w:sz w:val="22"/>
          <w:rtl w:val="true"/>
        </w:rPr>
        <w:t xml:space="preserve">, </w:t>
      </w:r>
      <w:r>
        <w:rPr>
          <w:rFonts w:ascii="Century" w:hAnsi="Century" w:cs="Century"/>
          <w:sz w:val="22"/>
          <w:sz w:val="22"/>
          <w:rtl w:val="true"/>
        </w:rPr>
        <w:t xml:space="preserve">קובע </w:t>
      </w:r>
      <w:hyperlink r:id="rId128">
        <w:r>
          <w:rPr>
            <w:rStyle w:val="Hyperlink"/>
            <w:rFonts w:ascii="Century" w:hAnsi="Century" w:cs="Century"/>
            <w:color w:val="0000FF"/>
            <w:sz w:val="22"/>
            <w:sz w:val="22"/>
            <w:u w:val="single"/>
            <w:rtl w:val="true"/>
          </w:rPr>
          <w:t>סעיף</w:t>
        </w:r>
        <w:r>
          <w:rPr>
            <w:rStyle w:val="Hyperlink"/>
            <w:rFonts w:ascii="Century" w:hAnsi="Century" w:cs="Century"/>
            <w:color w:val="0000FF"/>
            <w:sz w:val="22"/>
            <w:sz w:val="22"/>
            <w:u w:val="single"/>
            <w:rtl w:val="true"/>
          </w:rPr>
          <w:t xml:space="preserve"> </w:t>
        </w:r>
        <w:r>
          <w:rPr>
            <w:rStyle w:val="Hyperlink"/>
            <w:rFonts w:cs="Century" w:ascii="Century" w:hAnsi="Century"/>
            <w:color w:val="0000FF"/>
            <w:sz w:val="22"/>
            <w:u w:val="single"/>
          </w:rPr>
          <w:t>40</w:t>
        </w:r>
        <w:r>
          <w:rPr>
            <w:rStyle w:val="Hyperlink"/>
            <w:rFonts w:ascii="Century" w:hAnsi="Century" w:cs="Century"/>
            <w:color w:val="0000FF"/>
            <w:sz w:val="22"/>
            <w:sz w:val="22"/>
            <w:u w:val="single"/>
            <w:rtl w:val="true"/>
          </w:rPr>
          <w:t>יג</w:t>
        </w:r>
        <w:r>
          <w:rPr>
            <w:rStyle w:val="Hyperlink"/>
            <w:rFonts w:cs="Century" w:ascii="Century" w:hAnsi="Century"/>
            <w:color w:val="0000FF"/>
            <w:sz w:val="22"/>
            <w:u w:val="single"/>
            <w:rtl w:val="true"/>
          </w:rPr>
          <w:t>(</w:t>
        </w:r>
        <w:r>
          <w:rPr>
            <w:rStyle w:val="Hyperlink"/>
            <w:rFonts w:ascii="Century" w:hAnsi="Century" w:cs="Century"/>
            <w:color w:val="0000FF"/>
            <w:sz w:val="22"/>
            <w:sz w:val="22"/>
            <w:u w:val="single"/>
            <w:rtl w:val="true"/>
          </w:rPr>
          <w:t>ג</w:t>
        </w:r>
        <w:r>
          <w:rPr>
            <w:rStyle w:val="Hyperlink"/>
            <w:rFonts w:cs="Century" w:ascii="Century" w:hAnsi="Century"/>
            <w:color w:val="0000FF"/>
            <w:sz w:val="22"/>
            <w:u w:val="single"/>
            <w:rtl w:val="true"/>
          </w:rPr>
          <w:t>)</w:t>
        </w:r>
      </w:hyperlink>
      <w:r>
        <w:rPr>
          <w:rFonts w:cs="Century" w:ascii="Century" w:hAnsi="Century"/>
          <w:sz w:val="22"/>
          <w:rtl w:val="true"/>
        </w:rPr>
        <w:t xml:space="preserve">, </w:t>
      </w:r>
      <w:r>
        <w:rPr>
          <w:rFonts w:ascii="Century" w:hAnsi="Century" w:cs="Century"/>
          <w:sz w:val="22"/>
          <w:sz w:val="22"/>
          <w:rtl w:val="true"/>
        </w:rPr>
        <w:t>כי במקרה של ריבוי עבירות</w:t>
      </w:r>
      <w:r>
        <w:rPr>
          <w:rFonts w:cs="Century" w:ascii="Century" w:hAnsi="Century"/>
          <w:sz w:val="22"/>
          <w:rtl w:val="true"/>
        </w:rPr>
        <w:t xml:space="preserve">, </w:t>
      </w:r>
      <w:r>
        <w:rPr>
          <w:rFonts w:ascii="Century" w:hAnsi="Century" w:cs="Century"/>
          <w:sz w:val="22"/>
          <w:sz w:val="22"/>
          <w:rtl w:val="true"/>
        </w:rPr>
        <w:t>בית המשפט יתחשב גם במספר העבירות</w:t>
      </w:r>
      <w:r>
        <w:rPr>
          <w:rFonts w:cs="Century" w:ascii="Century" w:hAnsi="Century"/>
          <w:sz w:val="22"/>
          <w:rtl w:val="true"/>
        </w:rPr>
        <w:t xml:space="preserve">, </w:t>
      </w:r>
      <w:r>
        <w:rPr>
          <w:rFonts w:ascii="Century" w:hAnsi="Century" w:cs="Century"/>
          <w:sz w:val="22"/>
          <w:sz w:val="22"/>
          <w:rtl w:val="true"/>
        </w:rPr>
        <w:t>תדירותן</w:t>
      </w:r>
      <w:r>
        <w:rPr>
          <w:rFonts w:cs="Century" w:ascii="Century" w:hAnsi="Century"/>
          <w:sz w:val="22"/>
          <w:rtl w:val="true"/>
        </w:rPr>
        <w:t xml:space="preserve">, </w:t>
      </w:r>
      <w:r>
        <w:rPr>
          <w:rFonts w:ascii="Century" w:hAnsi="Century" w:cs="Century"/>
          <w:sz w:val="22"/>
          <w:sz w:val="22"/>
          <w:rtl w:val="true"/>
        </w:rPr>
        <w:t>ובזיקה ביניהן</w:t>
      </w:r>
      <w:r>
        <w:rPr>
          <w:rFonts w:cs="Century" w:ascii="Century" w:hAnsi="Century"/>
          <w:sz w:val="22"/>
          <w:rtl w:val="true"/>
        </w:rPr>
        <w:t xml:space="preserve">, </w:t>
      </w:r>
      <w:r>
        <w:rPr>
          <w:rFonts w:ascii="Century" w:hAnsi="Century" w:cs="Century"/>
          <w:sz w:val="22"/>
          <w:sz w:val="22"/>
          <w:rtl w:val="true"/>
        </w:rPr>
        <w:t>תוך שמירת יחס הולם בין חומרת מכלול המעשים ומידת אשמו של הנאשם לבין סוג העונש</w:t>
      </w:r>
      <w:r>
        <w:rPr>
          <w:rFonts w:cs="Century" w:ascii="Century" w:hAnsi="Century"/>
          <w:sz w:val="22"/>
          <w:rtl w:val="true"/>
        </w:rPr>
        <w:t xml:space="preserve">, </w:t>
      </w:r>
      <w:r>
        <w:rPr>
          <w:rFonts w:ascii="Century" w:hAnsi="Century" w:cs="Century"/>
          <w:sz w:val="22"/>
          <w:sz w:val="22"/>
          <w:rtl w:val="true"/>
        </w:rPr>
        <w:t>ואם נגזר עונש מאסר – לבין תקופת המאסר שעל הנאשם לשאת</w:t>
      </w:r>
      <w:r>
        <w:rPr>
          <w:rFonts w:cs="Century" w:ascii="Century" w:hAnsi="Century"/>
          <w:sz w:val="22"/>
          <w:rtl w:val="true"/>
        </w:rPr>
        <w:t xml:space="preserve">. </w:t>
      </w:r>
      <w:r>
        <w:rPr>
          <w:rtl w:val="true"/>
        </w:rPr>
        <w:t>לענייננו</w:t>
      </w:r>
      <w:r>
        <w:rPr>
          <w:rtl w:val="true"/>
        </w:rPr>
        <w:t xml:space="preserve">, </w:t>
      </w:r>
      <w:r>
        <w:rPr>
          <w:rtl w:val="true"/>
        </w:rPr>
        <w:t>רלוונטית במיוחד ההתחשבות הנדרשת ל</w:t>
      </w:r>
      <w:r>
        <w:rPr>
          <w:rFonts w:ascii="Century" w:hAnsi="Century" w:cs="Miriam"/>
          <w:b/>
          <w:b/>
          <w:spacing w:val="0"/>
          <w:sz w:val="22"/>
          <w:sz w:val="22"/>
          <w:szCs w:val="24"/>
          <w:rtl w:val="true"/>
        </w:rPr>
        <w:t>זיקה</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בין</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העבירות</w:t>
      </w:r>
      <w:r>
        <w:rPr>
          <w:rFonts w:cs="Century" w:ascii="Century" w:hAnsi="Century"/>
          <w:sz w:val="22"/>
          <w:rtl w:val="true"/>
        </w:rPr>
        <w:t xml:space="preserve">. </w:t>
      </w:r>
      <w:r>
        <w:rPr>
          <w:rFonts w:ascii="Century" w:hAnsi="Century" w:cs="Century"/>
          <w:sz w:val="22"/>
          <w:sz w:val="22"/>
          <w:rtl w:val="true"/>
        </w:rPr>
        <w:t>כפי שבולט מתיאור האירועים בכתב האישום</w:t>
      </w:r>
      <w:r>
        <w:rPr>
          <w:rFonts w:cs="Century" w:ascii="Century" w:hAnsi="Century"/>
          <w:sz w:val="22"/>
          <w:rtl w:val="true"/>
        </w:rPr>
        <w:t xml:space="preserve">, </w:t>
      </w:r>
      <w:r>
        <w:rPr>
          <w:rFonts w:ascii="Century" w:hAnsi="Century" w:cs="Century"/>
          <w:sz w:val="22"/>
          <w:sz w:val="22"/>
          <w:rtl w:val="true"/>
        </w:rPr>
        <w:t>הכרעת הדין וגזר הדין</w:t>
      </w:r>
      <w:r>
        <w:rPr>
          <w:rFonts w:cs="Century" w:ascii="Century" w:hAnsi="Century"/>
          <w:sz w:val="22"/>
          <w:rtl w:val="true"/>
        </w:rPr>
        <w:t xml:space="preserve">, </w:t>
      </w:r>
      <w:r>
        <w:rPr>
          <w:rFonts w:ascii="Century" w:hAnsi="Century" w:cs="Century"/>
          <w:sz w:val="22"/>
          <w:sz w:val="22"/>
          <w:rtl w:val="true"/>
        </w:rPr>
        <w:t>העבירות כולן קשורות יחד</w:t>
      </w:r>
      <w:r>
        <w:rPr>
          <w:rFonts w:cs="Century" w:ascii="Century" w:hAnsi="Century"/>
          <w:sz w:val="22"/>
          <w:rtl w:val="true"/>
        </w:rPr>
        <w:t xml:space="preserve">. </w:t>
      </w:r>
      <w:r>
        <w:rPr>
          <w:rFonts w:ascii="Century" w:hAnsi="Century" w:cs="Century"/>
          <w:sz w:val="22"/>
          <w:sz w:val="22"/>
          <w:rtl w:val="true"/>
        </w:rPr>
        <w:t>למעשה</w:t>
      </w:r>
      <w:r>
        <w:rPr>
          <w:rFonts w:cs="Century" w:ascii="Century" w:hAnsi="Century"/>
          <w:sz w:val="22"/>
          <w:rtl w:val="true"/>
        </w:rPr>
        <w:t xml:space="preserve">, </w:t>
      </w:r>
      <w:r>
        <w:rPr>
          <w:rFonts w:ascii="Century" w:hAnsi="Century" w:cs="Century"/>
          <w:sz w:val="22"/>
          <w:sz w:val="22"/>
          <w:rtl w:val="true"/>
        </w:rPr>
        <w:t>החזקת הסכין וקשירת הקשר</w:t>
      </w:r>
      <w:r>
        <w:rPr>
          <w:rFonts w:cs="Century" w:ascii="Century" w:hAnsi="Century"/>
          <w:sz w:val="22"/>
          <w:rtl w:val="true"/>
        </w:rPr>
        <w:t xml:space="preserve">, </w:t>
      </w:r>
      <w:r>
        <w:rPr>
          <w:rFonts w:ascii="Century" w:hAnsi="Century" w:cs="Century"/>
          <w:sz w:val="22"/>
          <w:sz w:val="22"/>
          <w:rtl w:val="true"/>
        </w:rPr>
        <w:t>במקרים אחרים</w:t>
      </w:r>
      <w:r>
        <w:rPr>
          <w:rFonts w:cs="Century" w:ascii="Century" w:hAnsi="Century"/>
          <w:sz w:val="22"/>
          <w:rtl w:val="true"/>
        </w:rPr>
        <w:t xml:space="preserve">, </w:t>
      </w:r>
      <w:r>
        <w:rPr>
          <w:rFonts w:ascii="Century" w:hAnsi="Century" w:cs="Century"/>
          <w:sz w:val="22"/>
          <w:sz w:val="22"/>
          <w:rtl w:val="true"/>
        </w:rPr>
        <w:t>שימשו אך נסיבות להחמרת עבירת השוד</w:t>
      </w:r>
      <w:r>
        <w:rPr>
          <w:rFonts w:cs="Century" w:ascii="Century" w:hAnsi="Century"/>
          <w:sz w:val="22"/>
          <w:rtl w:val="true"/>
        </w:rPr>
        <w:t xml:space="preserve">, </w:t>
      </w:r>
      <w:r>
        <w:rPr>
          <w:rFonts w:ascii="Century" w:hAnsi="Century" w:cs="Century"/>
          <w:sz w:val="22"/>
          <w:sz w:val="22"/>
          <w:rtl w:val="true"/>
        </w:rPr>
        <w:t>ולא כעבירות שבהן הורשע נאשם</w:t>
      </w:r>
      <w:r>
        <w:rPr>
          <w:rFonts w:cs="Century" w:ascii="Century" w:hAnsi="Century"/>
          <w:sz w:val="22"/>
          <w:rtl w:val="true"/>
        </w:rPr>
        <w:t xml:space="preserve">. </w:t>
      </w:r>
      <w:r>
        <w:rPr>
          <w:rFonts w:ascii="Century" w:hAnsi="Century" w:cs="Century"/>
          <w:sz w:val="22"/>
          <w:sz w:val="22"/>
          <w:rtl w:val="true"/>
        </w:rPr>
        <w:t>גם לכך יש לתת משקל בעת גזירת העונש בתוך המתחם</w:t>
      </w:r>
      <w:r>
        <w:rPr>
          <w:rFonts w:cs="Century" w:ascii="Century" w:hAnsi="Century"/>
          <w:sz w:val="22"/>
          <w:rtl w:val="true"/>
        </w:rPr>
        <w:t xml:space="preserve">. </w:t>
      </w:r>
    </w:p>
    <w:p>
      <w:pPr>
        <w:pStyle w:val="Ruller41"/>
        <w:ind w:end="0"/>
        <w:jc w:val="both"/>
        <w:rPr>
          <w:rFonts w:ascii="Century" w:hAnsi="Century" w:cs="Century"/>
          <w:sz w:val="22"/>
        </w:rPr>
      </w:pPr>
      <w:r>
        <w:rPr>
          <w:rFonts w:cs="Century" w:ascii="Century" w:hAnsi="Century"/>
          <w:sz w:val="22"/>
          <w:rtl w:val="true"/>
        </w:rPr>
      </w:r>
    </w:p>
    <w:p>
      <w:pPr>
        <w:pStyle w:val="Ruller42"/>
        <w:numPr>
          <w:ilvl w:val="0"/>
          <w:numId w:val="1"/>
        </w:numPr>
        <w:ind w:end="0"/>
        <w:jc w:val="both"/>
        <w:rPr/>
      </w:pPr>
      <w:r>
        <w:rPr>
          <w:rtl w:val="true"/>
        </w:rPr>
        <w:t>שקלתי בכובד ראש את הנסיבות השונות</w:t>
      </w:r>
      <w:r>
        <w:rPr>
          <w:rtl w:val="true"/>
        </w:rPr>
        <w:t xml:space="preserve">, </w:t>
      </w:r>
      <w:r>
        <w:rPr>
          <w:rtl w:val="true"/>
        </w:rPr>
        <w:t>מהן עולה תמונה לא פשוטה</w:t>
      </w:r>
      <w:r>
        <w:rPr>
          <w:rtl w:val="true"/>
        </w:rPr>
        <w:t xml:space="preserve">. </w:t>
      </w:r>
      <w:r>
        <w:rPr>
          <w:rtl w:val="true"/>
        </w:rPr>
        <w:t>מעשיו של המערער</w:t>
      </w:r>
      <w:r>
        <w:rPr>
          <w:rtl w:val="true"/>
        </w:rPr>
        <w:t xml:space="preserve">, </w:t>
      </w:r>
      <w:r>
        <w:rPr>
          <w:rtl w:val="true"/>
        </w:rPr>
        <w:t>אף שכללו אלימות</w:t>
      </w:r>
      <w:r>
        <w:rPr>
          <w:rtl w:val="true"/>
        </w:rPr>
        <w:t xml:space="preserve">, </w:t>
      </w:r>
      <w:r>
        <w:rPr>
          <w:rtl w:val="true"/>
        </w:rPr>
        <w:t>אינם ברף החמור ביותר</w:t>
      </w:r>
      <w:r>
        <w:rPr>
          <w:rtl w:val="true"/>
        </w:rPr>
        <w:t xml:space="preserve">, </w:t>
      </w:r>
      <w:r>
        <w:rPr>
          <w:rtl w:val="true"/>
        </w:rPr>
        <w:t>ולזכותו עומדים גילו ועברו הנקי</w:t>
      </w:r>
      <w:r>
        <w:rPr>
          <w:rtl w:val="true"/>
        </w:rPr>
        <w:t xml:space="preserve">, </w:t>
      </w:r>
      <w:r>
        <w:rPr>
          <w:rtl w:val="true"/>
        </w:rPr>
        <w:t>כמו גם נסיבות חייו</w:t>
      </w:r>
      <w:r>
        <w:rPr>
          <w:rtl w:val="true"/>
        </w:rPr>
        <w:t xml:space="preserve">. </w:t>
      </w:r>
      <w:r>
        <w:rPr>
          <w:rtl w:val="true"/>
        </w:rPr>
        <w:t>מאידך</w:t>
      </w:r>
      <w:r>
        <w:rPr>
          <w:rtl w:val="true"/>
        </w:rPr>
        <w:t xml:space="preserve">, </w:t>
      </w:r>
      <w:r>
        <w:rPr>
          <w:rtl w:val="true"/>
        </w:rPr>
        <w:t xml:space="preserve">לא ניתן להתעלם </w:t>
      </w:r>
      <w:r>
        <w:rPr>
          <w:rFonts w:ascii="Century" w:hAnsi="Century" w:cs="Miriam"/>
          <w:b/>
          <w:b/>
          <w:spacing w:val="0"/>
          <w:sz w:val="22"/>
          <w:sz w:val="22"/>
          <w:szCs w:val="24"/>
          <w:rtl w:val="true"/>
        </w:rPr>
        <w:t>במסגרת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גזירת</w:t>
      </w:r>
      <w:r>
        <w:rPr>
          <w:rFonts w:ascii="Century" w:hAnsi="Century" w:eastAsia="Century" w:cs="Century"/>
          <w:b/>
          <w:b/>
          <w:spacing w:val="0"/>
          <w:sz w:val="22"/>
          <w:sz w:val="22"/>
          <w:szCs w:val="24"/>
          <w:rtl w:val="true"/>
        </w:rPr>
        <w:t xml:space="preserve"> </w:t>
      </w:r>
      <w:r>
        <w:rPr>
          <w:rFonts w:ascii="Century" w:hAnsi="Century" w:cs="Miriam"/>
          <w:b/>
          <w:b/>
          <w:spacing w:val="0"/>
          <w:sz w:val="22"/>
          <w:sz w:val="22"/>
          <w:szCs w:val="24"/>
          <w:rtl w:val="true"/>
        </w:rPr>
        <w:t>העונש</w:t>
      </w:r>
      <w:r>
        <w:rPr>
          <w:rtl w:val="true"/>
        </w:rPr>
        <w:t xml:space="preserve"> מהצורך בהרתעה בעבירות אלה</w:t>
      </w:r>
      <w:r>
        <w:rPr>
          <w:rtl w:val="true"/>
        </w:rPr>
        <w:t xml:space="preserve">. </w:t>
      </w:r>
      <w:r>
        <w:rPr>
          <w:rtl w:val="true"/>
        </w:rPr>
        <w:t>מצאתי</w:t>
      </w:r>
      <w:r>
        <w:rPr>
          <w:rtl w:val="true"/>
        </w:rPr>
        <w:t xml:space="preserve">, </w:t>
      </w:r>
      <w:r>
        <w:rPr>
          <w:rtl w:val="true"/>
        </w:rPr>
        <w:t xml:space="preserve">כי יש להקל בעונש המאסר בפועל שנגזר על המערער ולהעמידו על </w:t>
      </w:r>
      <w:r>
        <w:rPr/>
        <w:t>36</w:t>
      </w:r>
      <w:r>
        <w:rPr>
          <w:rtl w:val="true"/>
        </w:rPr>
        <w:t xml:space="preserve"> </w:t>
      </w:r>
      <w:r>
        <w:rPr>
          <w:rtl w:val="true"/>
        </w:rPr>
        <w:t>חודשי מאסר בפועל</w:t>
      </w:r>
      <w:r>
        <w:rPr>
          <w:rtl w:val="true"/>
        </w:rPr>
        <w:t xml:space="preserve">. </w:t>
      </w:r>
      <w:r>
        <w:rPr>
          <w:rtl w:val="true"/>
        </w:rPr>
        <w:t>שאר רכיבי העונש יוותרו על כנם</w:t>
      </w:r>
      <w:r>
        <w:rPr>
          <w:rtl w:val="true"/>
        </w:rPr>
        <w:t>.</w:t>
      </w:r>
    </w:p>
    <w:p>
      <w:pPr>
        <w:pStyle w:val="Ruller41"/>
        <w:spacing w:lineRule="auto" w:line="240"/>
        <w:ind w:end="0"/>
        <w:jc w:val="both"/>
        <w:rPr/>
      </w:pPr>
      <w:r>
        <w:rPr>
          <w:rtl w:val="true"/>
        </w:rPr>
      </w:r>
    </w:p>
    <w:p>
      <w:pPr>
        <w:pStyle w:val="Ruller41"/>
        <w:ind w:end="0"/>
        <w:jc w:val="both"/>
        <w:rPr>
          <w:rFonts w:ascii="Century" w:hAnsi="Century" w:cs="Century"/>
        </w:rPr>
      </w:pPr>
      <w:r>
        <w:rPr>
          <w:rFonts w:ascii="Century" w:hAnsi="Century" w:cs="Miriam"/>
          <w:b/>
          <w:b/>
          <w:spacing w:val="0"/>
          <w:szCs w:val="24"/>
          <w:rtl w:val="true"/>
        </w:rPr>
        <w:t>סוף</w:t>
      </w:r>
      <w:r>
        <w:rPr>
          <w:rFonts w:ascii="Century" w:hAnsi="Century" w:eastAsia="Century" w:cs="Century"/>
          <w:b/>
          <w:b/>
          <w:spacing w:val="0"/>
          <w:szCs w:val="24"/>
          <w:rtl w:val="true"/>
        </w:rPr>
        <w:t xml:space="preserve"> </w:t>
      </w:r>
      <w:r>
        <w:rPr>
          <w:rFonts w:ascii="Century" w:hAnsi="Century" w:cs="Miriam"/>
          <w:b/>
          <w:b/>
          <w:spacing w:val="0"/>
          <w:szCs w:val="24"/>
          <w:rtl w:val="true"/>
        </w:rPr>
        <w:t>דבר</w:t>
      </w:r>
    </w:p>
    <w:p>
      <w:pPr>
        <w:pStyle w:val="Ruller41"/>
        <w:spacing w:lineRule="auto" w:line="240"/>
        <w:ind w:end="0"/>
        <w:jc w:val="both"/>
        <w:rPr>
          <w:rFonts w:ascii="Century" w:hAnsi="Century" w:cs="Century"/>
        </w:rPr>
      </w:pPr>
      <w:r>
        <w:rPr>
          <w:rFonts w:cs="Century" w:ascii="Century" w:hAnsi="Century"/>
          <w:rtl w:val="true"/>
        </w:rPr>
      </w:r>
    </w:p>
    <w:p>
      <w:pPr>
        <w:pStyle w:val="Ruller42"/>
        <w:numPr>
          <w:ilvl w:val="0"/>
          <w:numId w:val="1"/>
        </w:numPr>
        <w:ind w:end="0"/>
        <w:jc w:val="both"/>
        <w:rPr/>
      </w:pPr>
      <w:r>
        <w:rPr>
          <w:rtl w:val="true"/>
        </w:rPr>
        <w:t xml:space="preserve">אמליץ לחבריי להעמיד את עונשו של המערער על </w:t>
      </w:r>
      <w:r>
        <w:rPr/>
        <w:t>36</w:t>
      </w:r>
      <w:r>
        <w:rPr>
          <w:rtl w:val="true"/>
        </w:rPr>
        <w:t xml:space="preserve"> </w:t>
      </w:r>
      <w:r>
        <w:rPr>
          <w:rtl w:val="true"/>
        </w:rPr>
        <w:t>חודשי מאסר בפועל</w:t>
      </w:r>
      <w:r>
        <w:rPr>
          <w:rtl w:val="true"/>
        </w:rPr>
        <w:t xml:space="preserve">. </w:t>
      </w:r>
      <w:r>
        <w:rPr>
          <w:rtl w:val="true"/>
        </w:rPr>
        <w:t>שאר רכיבי העונש יוותרו על כנם</w:t>
      </w:r>
      <w:r>
        <w:rPr>
          <w:rtl w:val="true"/>
        </w:rPr>
        <w:t xml:space="preserve">. </w:t>
      </w:r>
    </w:p>
    <w:p>
      <w:pPr>
        <w:pStyle w:val="Ruller41"/>
        <w:ind w:end="0"/>
        <w:jc w:val="both"/>
        <w:rPr/>
      </w:pPr>
      <w:r>
        <w:rPr>
          <w:rtl w:val="true"/>
        </w:rPr>
      </w:r>
    </w:p>
    <w:tbl>
      <w:tblPr>
        <w:bidiVisual w:val="true"/>
        <w:tblW w:w="8522" w:type="dxa"/>
        <w:jc w:val="end"/>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Ruller41"/>
              <w:snapToGrid w:val="false"/>
              <w:ind w:end="0"/>
              <w:jc w:val="both"/>
              <w:rPr/>
            </w:pPr>
            <w:r>
              <w:rPr>
                <w:rtl w:val="true"/>
              </w:rPr>
            </w:r>
          </w:p>
        </w:tc>
        <w:tc>
          <w:tcPr>
            <w:tcW w:w="2841" w:type="dxa"/>
            <w:tcBorders/>
          </w:tcPr>
          <w:p>
            <w:pPr>
              <w:pStyle w:val="Ruller41"/>
              <w:snapToGrid w:val="false"/>
              <w:ind w:end="0"/>
              <w:jc w:val="both"/>
              <w:rPr/>
            </w:pPr>
            <w:r>
              <w:rPr>
                <w:rtl w:val="true"/>
              </w:rPr>
            </w:r>
          </w:p>
        </w:tc>
        <w:tc>
          <w:tcPr>
            <w:tcW w:w="2841" w:type="dxa"/>
            <w:tcBorders/>
          </w:tcPr>
          <w:p>
            <w:pPr>
              <w:pStyle w:val="Ruller41"/>
              <w:ind w:end="0"/>
              <w:jc w:val="both"/>
              <w:rPr/>
            </w:pPr>
            <w:r>
              <w:rPr>
                <w:rFonts w:eastAsia="Arial TUR;Arial" w:cs="Arial TUR;Arial"/>
                <w:rtl w:val="true"/>
              </w:rPr>
              <w:t xml:space="preserve">             </w:t>
            </w:r>
            <w:r>
              <w:rPr>
                <w:rtl w:val="true"/>
              </w:rPr>
              <w:t>ש</w:t>
            </w:r>
            <w:r>
              <w:rPr>
                <w:rFonts w:eastAsia="Arial TUR;Arial" w:cs="Arial TUR;Arial"/>
                <w:rtl w:val="true"/>
              </w:rPr>
              <w:t xml:space="preserve"> </w:t>
            </w:r>
            <w:r>
              <w:rPr>
                <w:rtl w:val="true"/>
              </w:rPr>
              <w:t>ו</w:t>
            </w:r>
            <w:r>
              <w:rPr>
                <w:rFonts w:eastAsia="Arial TUR;Arial" w:cs="Arial TUR;Arial"/>
                <w:rtl w:val="true"/>
              </w:rPr>
              <w:t xml:space="preserve"> </w:t>
            </w:r>
            <w:r>
              <w:rPr>
                <w:rtl w:val="true"/>
              </w:rPr>
              <w:t>פ</w:t>
            </w:r>
            <w:r>
              <w:rPr>
                <w:rFonts w:eastAsia="Arial TUR;Arial" w:cs="Arial TUR;Arial"/>
                <w:rtl w:val="true"/>
              </w:rPr>
              <w:t xml:space="preserve"> </w:t>
            </w:r>
            <w:r>
              <w:rPr>
                <w:rtl w:val="true"/>
              </w:rPr>
              <w:t>ט</w:t>
            </w:r>
            <w:r>
              <w:rPr>
                <w:rFonts w:eastAsia="Arial TUR;Arial" w:cs="Arial TUR;Arial"/>
                <w:rtl w:val="true"/>
              </w:rPr>
              <w:t xml:space="preserve"> </w:t>
            </w:r>
          </w:p>
        </w:tc>
      </w:tr>
    </w:tbl>
    <w:p>
      <w:pPr>
        <w:pStyle w:val="Ruller41"/>
        <w:ind w:end="0"/>
        <w:jc w:val="both"/>
        <w:rPr/>
      </w:pPr>
      <w:r>
        <w:rPr>
          <w:rtl w:val="true"/>
        </w:rPr>
      </w:r>
    </w:p>
    <w:p>
      <w:pPr>
        <w:pStyle w:val="Ruller41"/>
        <w:ind w:end="0"/>
        <w:jc w:val="both"/>
        <w:rPr/>
      </w:pPr>
      <w:r>
        <w:rPr>
          <w:rFonts w:ascii="Times New Roman" w:hAnsi="Times New Roman" w:cs="Miriam"/>
          <w:spacing w:val="0"/>
          <w:sz w:val="28"/>
          <w:sz w:val="28"/>
          <w:szCs w:val="24"/>
          <w:u w:val="single"/>
          <w:rtl w:val="true"/>
        </w:rPr>
        <w:t>השופט</w:t>
      </w:r>
      <w:r>
        <w:rPr>
          <w:rFonts w:ascii="Times New Roman" w:hAnsi="Times New Roman" w:cs="Times New Roman"/>
          <w:spacing w:val="0"/>
          <w:sz w:val="28"/>
          <w:sz w:val="28"/>
          <w:szCs w:val="24"/>
          <w:u w:val="single"/>
          <w:rtl w:val="true"/>
        </w:rPr>
        <w:t xml:space="preserve"> </w:t>
      </w:r>
      <w:r>
        <w:rPr>
          <w:rFonts w:ascii="Times New Roman" w:hAnsi="Times New Roman" w:cs="Miriam"/>
          <w:spacing w:val="0"/>
          <w:sz w:val="28"/>
          <w:sz w:val="28"/>
          <w:szCs w:val="24"/>
          <w:u w:val="single"/>
          <w:rtl w:val="true"/>
        </w:rPr>
        <w:t>ח</w:t>
      </w:r>
      <w:r>
        <w:rPr>
          <w:rFonts w:cs="Miriam" w:ascii="Times New Roman" w:hAnsi="Times New Roman"/>
          <w:spacing w:val="0"/>
          <w:sz w:val="28"/>
          <w:szCs w:val="24"/>
          <w:u w:val="single"/>
          <w:rtl w:val="true"/>
        </w:rPr>
        <w:t xml:space="preserve">' </w:t>
      </w:r>
      <w:r>
        <w:rPr>
          <w:rFonts w:ascii="Times New Roman" w:hAnsi="Times New Roman" w:cs="Miriam"/>
          <w:spacing w:val="0"/>
          <w:sz w:val="28"/>
          <w:sz w:val="28"/>
          <w:szCs w:val="24"/>
          <w:u w:val="single"/>
          <w:rtl w:val="true"/>
        </w:rPr>
        <w:t>מלצר</w:t>
      </w:r>
      <w:r>
        <w:rPr>
          <w:rtl w:val="true"/>
        </w:rPr>
        <w:t>:</w:t>
      </w:r>
    </w:p>
    <w:p>
      <w:pPr>
        <w:pStyle w:val="Ruller41"/>
        <w:spacing w:lineRule="auto" w:line="240"/>
        <w:ind w:end="0"/>
        <w:jc w:val="both"/>
        <w:rPr/>
      </w:pPr>
      <w:r>
        <w:rPr>
          <w:rtl w:val="true"/>
        </w:rPr>
      </w:r>
    </w:p>
    <w:p>
      <w:pPr>
        <w:pStyle w:val="Ruller41"/>
        <w:ind w:end="0"/>
        <w:jc w:val="both"/>
        <w:rPr/>
      </w:pPr>
      <w:r>
        <w:rPr>
          <w:rtl w:val="true"/>
        </w:rPr>
        <w:tab/>
      </w:r>
      <w:r>
        <w:rPr>
          <w:rtl w:val="true"/>
        </w:rPr>
        <w:t>אני</w:t>
      </w:r>
      <w:r>
        <w:rPr>
          <w:rFonts w:eastAsia="Arial TUR;Arial" w:cs="Arial TUR;Arial"/>
          <w:rtl w:val="true"/>
        </w:rPr>
        <w:t xml:space="preserve"> </w:t>
      </w:r>
      <w:r>
        <w:rPr>
          <w:rtl w:val="true"/>
        </w:rPr>
        <w:t>מסכים</w:t>
      </w:r>
      <w:r>
        <w:rPr>
          <w:rFonts w:eastAsia="Arial TUR;Arial" w:cs="Arial TUR;Arial"/>
          <w:rtl w:val="true"/>
        </w:rPr>
        <w:t xml:space="preserve"> </w:t>
      </w:r>
      <w:r>
        <w:rPr>
          <w:rtl w:val="true"/>
        </w:rPr>
        <w:t>לפסק</w:t>
      </w:r>
      <w:r>
        <w:rPr>
          <w:rFonts w:eastAsia="Arial TUR;Arial" w:cs="Arial TUR;Arial"/>
          <w:rtl w:val="true"/>
        </w:rPr>
        <w:t xml:space="preserve"> </w:t>
      </w:r>
      <w:r>
        <w:rPr>
          <w:rtl w:val="true"/>
        </w:rPr>
        <w:t>דינו</w:t>
      </w:r>
      <w:r>
        <w:rPr>
          <w:rFonts w:eastAsia="Arial TUR;Arial" w:cs="Arial TUR;Arial"/>
          <w:rtl w:val="true"/>
        </w:rPr>
        <w:t xml:space="preserve"> </w:t>
      </w:r>
      <w:r>
        <w:rPr>
          <w:rtl w:val="true"/>
        </w:rPr>
        <w:t>המקיף</w:t>
      </w:r>
      <w:r>
        <w:rPr>
          <w:rFonts w:eastAsia="Arial TUR;Arial" w:cs="Arial TUR;Arial"/>
          <w:rtl w:val="true"/>
        </w:rPr>
        <w:t xml:space="preserve"> </w:t>
      </w:r>
      <w:r>
        <w:rPr>
          <w:rtl w:val="true"/>
        </w:rPr>
        <w:t>והבהיר</w:t>
      </w:r>
      <w:r>
        <w:rPr>
          <w:rFonts w:eastAsia="Arial TUR;Arial" w:cs="Arial TUR;Arial"/>
          <w:rtl w:val="true"/>
        </w:rPr>
        <w:t xml:space="preserve"> </w:t>
      </w:r>
      <w:r>
        <w:rPr>
          <w:rtl w:val="true"/>
        </w:rPr>
        <w:t>של</w:t>
      </w:r>
      <w:r>
        <w:rPr>
          <w:rFonts w:eastAsia="Arial TUR;Arial" w:cs="Arial TUR;Arial"/>
          <w:rtl w:val="true"/>
        </w:rPr>
        <w:t xml:space="preserve"> </w:t>
      </w:r>
      <w:r>
        <w:rPr>
          <w:rtl w:val="true"/>
        </w:rPr>
        <w:t>חברי</w:t>
      </w:r>
      <w:r>
        <w:rPr>
          <w:rtl w:val="true"/>
        </w:rPr>
        <w:t xml:space="preserve">, </w:t>
      </w:r>
      <w:r>
        <w:rPr>
          <w:rtl w:val="true"/>
        </w:rPr>
        <w:t>השופט</w:t>
      </w:r>
      <w:r>
        <w:rPr>
          <w:rFonts w:eastAsia="Arial TUR;Arial" w:cs="Arial TUR;Arial"/>
          <w:rtl w:val="true"/>
        </w:rPr>
        <w:t xml:space="preserve"> </w:t>
      </w:r>
      <w:r>
        <w:rPr>
          <w:rFonts w:ascii="Times New Roman" w:hAnsi="Times New Roman" w:cs="Miriam"/>
          <w:spacing w:val="0"/>
          <w:sz w:val="28"/>
          <w:sz w:val="28"/>
          <w:szCs w:val="24"/>
          <w:rtl w:val="true"/>
        </w:rPr>
        <w:t>ס</w:t>
      </w:r>
      <w:r>
        <w:rPr>
          <w:rFonts w:cs="Miriam" w:ascii="Times New Roman" w:hAnsi="Times New Roman"/>
          <w:spacing w:val="0"/>
          <w:sz w:val="28"/>
          <w:szCs w:val="24"/>
          <w:rtl w:val="true"/>
        </w:rPr>
        <w:t xml:space="preserve">' </w:t>
      </w:r>
      <w:r>
        <w:rPr>
          <w:rFonts w:ascii="Times New Roman" w:hAnsi="Times New Roman" w:cs="Miriam"/>
          <w:spacing w:val="0"/>
          <w:sz w:val="28"/>
          <w:sz w:val="28"/>
          <w:szCs w:val="24"/>
          <w:rtl w:val="true"/>
        </w:rPr>
        <w:t>ג</w:t>
      </w:r>
      <w:r>
        <w:rPr>
          <w:rFonts w:cs="Miriam" w:ascii="Times New Roman" w:hAnsi="Times New Roman"/>
          <w:spacing w:val="0"/>
          <w:sz w:val="28"/>
          <w:szCs w:val="24"/>
          <w:rtl w:val="true"/>
        </w:rPr>
        <w:t>'</w:t>
      </w:r>
      <w:r>
        <w:rPr>
          <w:rFonts w:ascii="Times New Roman" w:hAnsi="Times New Roman" w:cs="Miriam"/>
          <w:spacing w:val="0"/>
          <w:sz w:val="28"/>
          <w:sz w:val="28"/>
          <w:szCs w:val="24"/>
          <w:rtl w:val="true"/>
        </w:rPr>
        <w:t>ובראן</w:t>
      </w:r>
      <w:r>
        <w:rPr>
          <w:rtl w:val="true"/>
        </w:rPr>
        <w:t xml:space="preserve">. </w:t>
      </w:r>
    </w:p>
    <w:p>
      <w:pPr>
        <w:pStyle w:val="Ruller41"/>
        <w:spacing w:lineRule="auto" w:line="480"/>
        <w:ind w:end="0"/>
        <w:jc w:val="both"/>
        <w:rPr/>
      </w:pPr>
      <w:r>
        <w:rPr>
          <w:rtl w:val="true"/>
        </w:rPr>
      </w:r>
    </w:p>
    <w:tbl>
      <w:tblPr>
        <w:bidiVisual w:val="true"/>
        <w:tblW w:w="8522" w:type="dxa"/>
        <w:jc w:val="end"/>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Ruller41"/>
              <w:snapToGrid w:val="false"/>
              <w:ind w:end="0"/>
              <w:jc w:val="both"/>
              <w:rPr/>
            </w:pPr>
            <w:r>
              <w:rPr>
                <w:rtl w:val="true"/>
              </w:rPr>
            </w:r>
          </w:p>
        </w:tc>
        <w:tc>
          <w:tcPr>
            <w:tcW w:w="2841" w:type="dxa"/>
            <w:tcBorders/>
          </w:tcPr>
          <w:p>
            <w:pPr>
              <w:pStyle w:val="Ruller41"/>
              <w:snapToGrid w:val="false"/>
              <w:ind w:end="0"/>
              <w:jc w:val="both"/>
              <w:rPr/>
            </w:pPr>
            <w:r>
              <w:rPr>
                <w:rtl w:val="true"/>
              </w:rPr>
            </w:r>
          </w:p>
        </w:tc>
        <w:tc>
          <w:tcPr>
            <w:tcW w:w="2841" w:type="dxa"/>
            <w:tcBorders/>
          </w:tcPr>
          <w:p>
            <w:pPr>
              <w:pStyle w:val="Ruller41"/>
              <w:ind w:end="0"/>
              <w:jc w:val="both"/>
              <w:rPr/>
            </w:pPr>
            <w:r>
              <w:rPr>
                <w:rFonts w:eastAsia="Arial TUR;Arial" w:cs="Arial TUR;Arial"/>
                <w:rtl w:val="true"/>
              </w:rPr>
              <w:t xml:space="preserve">             </w:t>
            </w:r>
            <w:r>
              <w:rPr>
                <w:rtl w:val="true"/>
              </w:rPr>
              <w:t>ש</w:t>
            </w:r>
            <w:r>
              <w:rPr>
                <w:rFonts w:eastAsia="Arial TUR;Arial" w:cs="Arial TUR;Arial"/>
                <w:rtl w:val="true"/>
              </w:rPr>
              <w:t xml:space="preserve"> </w:t>
            </w:r>
            <w:r>
              <w:rPr>
                <w:rtl w:val="true"/>
              </w:rPr>
              <w:t>ו</w:t>
            </w:r>
            <w:r>
              <w:rPr>
                <w:rFonts w:eastAsia="Arial TUR;Arial" w:cs="Arial TUR;Arial"/>
                <w:rtl w:val="true"/>
              </w:rPr>
              <w:t xml:space="preserve"> </w:t>
            </w:r>
            <w:r>
              <w:rPr>
                <w:rtl w:val="true"/>
              </w:rPr>
              <w:t>פ</w:t>
            </w:r>
            <w:r>
              <w:rPr>
                <w:rFonts w:eastAsia="Arial TUR;Arial" w:cs="Arial TUR;Arial"/>
                <w:rtl w:val="true"/>
              </w:rPr>
              <w:t xml:space="preserve"> </w:t>
            </w:r>
            <w:r>
              <w:rPr>
                <w:rtl w:val="true"/>
              </w:rPr>
              <w:t>ט</w:t>
            </w:r>
            <w:r>
              <w:rPr>
                <w:rFonts w:eastAsia="Arial TUR;Arial" w:cs="Arial TUR;Arial"/>
                <w:rtl w:val="true"/>
              </w:rPr>
              <w:t xml:space="preserve"> </w:t>
            </w:r>
          </w:p>
        </w:tc>
      </w:tr>
    </w:tbl>
    <w:p>
      <w:pPr>
        <w:pStyle w:val="Ruller41"/>
        <w:ind w:end="0"/>
        <w:jc w:val="both"/>
        <w:rPr/>
      </w:pPr>
      <w:r>
        <w:rPr>
          <w:rtl w:val="true"/>
        </w:rPr>
      </w:r>
    </w:p>
    <w:p>
      <w:pPr>
        <w:pStyle w:val="Ruller41"/>
        <w:ind w:end="0"/>
        <w:jc w:val="both"/>
        <w:rPr/>
      </w:pPr>
      <w:r>
        <w:rPr>
          <w:rFonts w:ascii="Times New Roman" w:hAnsi="Times New Roman" w:cs="Miriam"/>
          <w:spacing w:val="0"/>
          <w:sz w:val="28"/>
          <w:sz w:val="28"/>
          <w:szCs w:val="24"/>
          <w:u w:val="single"/>
          <w:rtl w:val="true"/>
        </w:rPr>
        <w:t>השופט</w:t>
      </w:r>
      <w:r>
        <w:rPr>
          <w:rFonts w:ascii="Times New Roman" w:hAnsi="Times New Roman" w:cs="Times New Roman"/>
          <w:spacing w:val="0"/>
          <w:sz w:val="28"/>
          <w:sz w:val="28"/>
          <w:szCs w:val="24"/>
          <w:u w:val="single"/>
          <w:rtl w:val="true"/>
        </w:rPr>
        <w:t xml:space="preserve"> </w:t>
      </w:r>
      <w:r>
        <w:rPr>
          <w:rFonts w:ascii="Times New Roman" w:hAnsi="Times New Roman" w:cs="Miriam"/>
          <w:spacing w:val="0"/>
          <w:sz w:val="28"/>
          <w:sz w:val="28"/>
          <w:szCs w:val="24"/>
          <w:u w:val="single"/>
          <w:rtl w:val="true"/>
        </w:rPr>
        <w:t>צ</w:t>
      </w:r>
      <w:r>
        <w:rPr>
          <w:rFonts w:cs="Miriam" w:ascii="Times New Roman" w:hAnsi="Times New Roman"/>
          <w:spacing w:val="0"/>
          <w:sz w:val="28"/>
          <w:szCs w:val="24"/>
          <w:u w:val="single"/>
          <w:rtl w:val="true"/>
        </w:rPr>
        <w:t xml:space="preserve">' </w:t>
      </w:r>
      <w:r>
        <w:rPr>
          <w:rFonts w:ascii="Times New Roman" w:hAnsi="Times New Roman" w:cs="Miriam"/>
          <w:spacing w:val="0"/>
          <w:sz w:val="28"/>
          <w:sz w:val="28"/>
          <w:szCs w:val="24"/>
          <w:u w:val="single"/>
          <w:rtl w:val="true"/>
        </w:rPr>
        <w:t>זילברטל</w:t>
      </w:r>
      <w:r>
        <w:rPr>
          <w:rtl w:val="true"/>
        </w:rPr>
        <w:t>:</w:t>
      </w:r>
    </w:p>
    <w:p>
      <w:pPr>
        <w:pStyle w:val="Ruller41"/>
        <w:spacing w:lineRule="auto" w:line="240"/>
        <w:ind w:end="0"/>
        <w:jc w:val="both"/>
        <w:rPr/>
      </w:pPr>
      <w:r>
        <w:rPr>
          <w:rtl w:val="true"/>
        </w:rPr>
      </w:r>
    </w:p>
    <w:p>
      <w:pPr>
        <w:pStyle w:val="Ruller41"/>
        <w:ind w:end="0"/>
        <w:jc w:val="both"/>
        <w:rPr/>
      </w:pPr>
      <w:r>
        <w:rPr>
          <w:rtl w:val="true"/>
        </w:rPr>
        <w:tab/>
      </w:r>
      <w:r>
        <w:rPr>
          <w:rtl w:val="true"/>
        </w:rPr>
        <w:t>אני</w:t>
      </w:r>
      <w:r>
        <w:rPr>
          <w:rFonts w:eastAsia="Arial TUR;Arial" w:cs="Arial TUR;Arial"/>
          <w:rtl w:val="true"/>
        </w:rPr>
        <w:t xml:space="preserve"> </w:t>
      </w:r>
      <w:r>
        <w:rPr>
          <w:rtl w:val="true"/>
        </w:rPr>
        <w:t>מסכים</w:t>
      </w:r>
      <w:r>
        <w:rPr>
          <w:rtl w:val="true"/>
        </w:rPr>
        <w:t xml:space="preserve">. </w:t>
      </w:r>
    </w:p>
    <w:p>
      <w:pPr>
        <w:pStyle w:val="Ruller41"/>
        <w:ind w:end="0"/>
        <w:jc w:val="both"/>
        <w:rPr/>
      </w:pPr>
      <w:r>
        <w:rPr>
          <w:rtl w:val="true"/>
        </w:rPr>
      </w:r>
    </w:p>
    <w:tbl>
      <w:tblPr>
        <w:bidiVisual w:val="true"/>
        <w:tblW w:w="8522" w:type="dxa"/>
        <w:jc w:val="end"/>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Ruller41"/>
              <w:snapToGrid w:val="false"/>
              <w:ind w:end="0"/>
              <w:jc w:val="both"/>
              <w:rPr/>
            </w:pPr>
            <w:r>
              <w:rPr>
                <w:rtl w:val="true"/>
              </w:rPr>
            </w:r>
          </w:p>
        </w:tc>
        <w:tc>
          <w:tcPr>
            <w:tcW w:w="2841" w:type="dxa"/>
            <w:tcBorders/>
          </w:tcPr>
          <w:p>
            <w:pPr>
              <w:pStyle w:val="Ruller41"/>
              <w:snapToGrid w:val="false"/>
              <w:ind w:end="0"/>
              <w:jc w:val="both"/>
              <w:rPr/>
            </w:pPr>
            <w:r>
              <w:rPr>
                <w:rtl w:val="true"/>
              </w:rPr>
            </w:r>
          </w:p>
        </w:tc>
        <w:tc>
          <w:tcPr>
            <w:tcW w:w="2841" w:type="dxa"/>
            <w:tcBorders/>
          </w:tcPr>
          <w:p>
            <w:pPr>
              <w:pStyle w:val="Ruller41"/>
              <w:ind w:end="0"/>
              <w:jc w:val="both"/>
              <w:rPr/>
            </w:pPr>
            <w:r>
              <w:rPr>
                <w:rFonts w:eastAsia="Arial TUR;Arial" w:cs="Arial TUR;Arial"/>
                <w:rtl w:val="true"/>
              </w:rPr>
              <w:t xml:space="preserve">             </w:t>
            </w:r>
            <w:r>
              <w:rPr>
                <w:rtl w:val="true"/>
              </w:rPr>
              <w:t>ש</w:t>
            </w:r>
            <w:r>
              <w:rPr>
                <w:rFonts w:eastAsia="Arial TUR;Arial" w:cs="Arial TUR;Arial"/>
                <w:rtl w:val="true"/>
              </w:rPr>
              <w:t xml:space="preserve"> </w:t>
            </w:r>
            <w:r>
              <w:rPr>
                <w:rtl w:val="true"/>
              </w:rPr>
              <w:t>ו</w:t>
            </w:r>
            <w:r>
              <w:rPr>
                <w:rFonts w:eastAsia="Arial TUR;Arial" w:cs="Arial TUR;Arial"/>
                <w:rtl w:val="true"/>
              </w:rPr>
              <w:t xml:space="preserve"> </w:t>
            </w:r>
            <w:r>
              <w:rPr>
                <w:rtl w:val="true"/>
              </w:rPr>
              <w:t>פ</w:t>
            </w:r>
            <w:r>
              <w:rPr>
                <w:rFonts w:eastAsia="Arial TUR;Arial" w:cs="Arial TUR;Arial"/>
                <w:rtl w:val="true"/>
              </w:rPr>
              <w:t xml:space="preserve"> </w:t>
            </w:r>
            <w:r>
              <w:rPr>
                <w:rtl w:val="true"/>
              </w:rPr>
              <w:t>ט</w:t>
            </w:r>
            <w:r>
              <w:rPr>
                <w:rFonts w:eastAsia="Arial TUR;Arial" w:cs="Arial TUR;Arial"/>
                <w:rtl w:val="true"/>
              </w:rPr>
              <w:t xml:space="preserve"> </w:t>
            </w:r>
          </w:p>
        </w:tc>
      </w:tr>
    </w:tbl>
    <w:p>
      <w:pPr>
        <w:pStyle w:val="Ruller41"/>
        <w:spacing w:lineRule="auto" w:line="480"/>
        <w:ind w:end="0"/>
        <w:jc w:val="both"/>
        <w:rPr/>
      </w:pPr>
      <w:r>
        <w:rPr>
          <w:rtl w:val="true"/>
        </w:rPr>
      </w:r>
    </w:p>
    <w:p>
      <w:pPr>
        <w:pStyle w:val="Ruller41"/>
        <w:ind w:end="0"/>
        <w:jc w:val="both"/>
        <w:rPr/>
      </w:pPr>
      <w:r>
        <w:rPr>
          <w:rtl w:val="true"/>
        </w:rPr>
        <w:tab/>
      </w:r>
      <w:r>
        <w:rPr>
          <w:rtl w:val="true"/>
        </w:rPr>
        <w:t>לפיכך</w:t>
      </w:r>
      <w:r>
        <w:rPr>
          <w:rFonts w:eastAsia="Arial TUR;Arial" w:cs="Arial TUR;Arial"/>
          <w:rtl w:val="true"/>
        </w:rPr>
        <w:t xml:space="preserve"> </w:t>
      </w:r>
      <w:r>
        <w:rPr>
          <w:rtl w:val="true"/>
        </w:rPr>
        <w:t>הוחלט</w:t>
      </w:r>
      <w:r>
        <w:rPr>
          <w:rFonts w:eastAsia="Arial TUR;Arial" w:cs="Arial TUR;Arial"/>
          <w:rtl w:val="true"/>
        </w:rPr>
        <w:t xml:space="preserve"> </w:t>
      </w:r>
      <w:r>
        <w:rPr>
          <w:rtl w:val="true"/>
        </w:rPr>
        <w:t>כאמור</w:t>
      </w:r>
      <w:r>
        <w:rPr>
          <w:rFonts w:eastAsia="Arial TUR;Arial" w:cs="Arial TUR;Arial"/>
          <w:rtl w:val="true"/>
        </w:rPr>
        <w:t xml:space="preserve"> </w:t>
      </w:r>
      <w:r>
        <w:rPr>
          <w:rtl w:val="true"/>
        </w:rPr>
        <w:t>בפסק</w:t>
      </w:r>
      <w:r>
        <w:rPr>
          <w:rFonts w:eastAsia="Arial TUR;Arial" w:cs="Arial TUR;Arial"/>
          <w:rtl w:val="true"/>
        </w:rPr>
        <w:t xml:space="preserve"> </w:t>
      </w:r>
      <w:r>
        <w:rPr>
          <w:rtl w:val="true"/>
        </w:rPr>
        <w:t>דינו</w:t>
      </w:r>
      <w:r>
        <w:rPr>
          <w:rFonts w:eastAsia="Arial TUR;Arial" w:cs="Arial TUR;Arial"/>
          <w:rtl w:val="true"/>
        </w:rPr>
        <w:t xml:space="preserve"> </w:t>
      </w:r>
      <w:r>
        <w:rPr>
          <w:rtl w:val="true"/>
        </w:rPr>
        <w:t>של</w:t>
      </w:r>
      <w:r>
        <w:rPr>
          <w:rFonts w:eastAsia="Arial TUR;Arial" w:cs="Arial TUR;Arial"/>
          <w:rtl w:val="true"/>
        </w:rPr>
        <w:t xml:space="preserve"> </w:t>
      </w:r>
      <w:r>
        <w:rPr>
          <w:rtl w:val="true"/>
        </w:rPr>
        <w:t>השופט</w:t>
      </w:r>
      <w:r>
        <w:rPr>
          <w:rFonts w:eastAsia="Arial TUR;Arial" w:cs="Arial TUR;Arial"/>
          <w:rtl w:val="true"/>
        </w:rPr>
        <w:t xml:space="preserve"> </w:t>
      </w:r>
      <w:r>
        <w:rPr>
          <w:rtl w:val="true"/>
        </w:rPr>
        <w:t>ס</w:t>
      </w:r>
      <w:r>
        <w:rPr>
          <w:rtl w:val="true"/>
        </w:rPr>
        <w:t xml:space="preserve">' </w:t>
      </w:r>
      <w:r>
        <w:rPr>
          <w:rtl w:val="true"/>
        </w:rPr>
        <w:t>ג</w:t>
      </w:r>
      <w:r>
        <w:rPr>
          <w:rtl w:val="true"/>
        </w:rPr>
        <w:t>'</w:t>
      </w:r>
      <w:r>
        <w:rPr>
          <w:rtl w:val="true"/>
        </w:rPr>
        <w:t>ובראן</w:t>
      </w:r>
      <w:r>
        <w:rPr>
          <w:rtl w:val="true"/>
        </w:rPr>
        <w:t xml:space="preserve">. </w:t>
      </w:r>
    </w:p>
    <w:p>
      <w:pPr>
        <w:pStyle w:val="Ruller41"/>
        <w:ind w:end="0"/>
        <w:jc w:val="both"/>
        <w:rPr/>
      </w:pPr>
      <w:r>
        <w:rPr>
          <w:rtl w:val="true"/>
        </w:rPr>
      </w:r>
    </w:p>
    <w:p>
      <w:pPr>
        <w:pStyle w:val="Ruller41"/>
        <w:ind w:end="0"/>
        <w:jc w:val="both"/>
        <w:rPr/>
      </w:pPr>
      <w:r>
        <w:rPr>
          <w:rFonts w:eastAsia="Arial TUR;Arial" w:cs="Arial TUR;Arial"/>
          <w:rtl w:val="true"/>
        </w:rPr>
        <w:t xml:space="preserve"> </w:t>
      </w:r>
      <w:r>
        <w:rPr>
          <w:rtl w:val="true"/>
        </w:rPr>
        <w:t>ניתן</w:t>
      </w:r>
      <w:r>
        <w:rPr>
          <w:rFonts w:eastAsia="Arial TUR;Arial" w:cs="Arial TUR;Arial"/>
          <w:rtl w:val="true"/>
        </w:rPr>
        <w:t xml:space="preserve"> </w:t>
      </w:r>
      <w:r>
        <w:rPr>
          <w:rtl w:val="true"/>
        </w:rPr>
        <w:t>היום</w:t>
      </w:r>
      <w:r>
        <w:rPr>
          <w:rtl w:val="true"/>
        </w:rPr>
        <w:t xml:space="preserve">, </w:t>
      </w:r>
      <w:r>
        <w:rPr>
          <w:rtl w:val="true"/>
        </w:rPr>
        <w:t>י</w:t>
      </w:r>
      <w:r>
        <w:rPr>
          <w:rtl w:val="true"/>
        </w:rPr>
        <w:t>"</w:t>
      </w:r>
      <w:r>
        <w:rPr>
          <w:rtl w:val="true"/>
        </w:rPr>
        <w:t>ד</w:t>
      </w:r>
      <w:r>
        <w:rPr>
          <w:rFonts w:eastAsia="Arial TUR;Arial" w:cs="Arial TUR;Arial"/>
          <w:rtl w:val="true"/>
        </w:rPr>
        <w:t xml:space="preserve"> </w:t>
      </w:r>
      <w:r>
        <w:rPr>
          <w:rtl w:val="true"/>
        </w:rPr>
        <w:t>בשבט</w:t>
      </w:r>
      <w:r>
        <w:rPr>
          <w:rFonts w:eastAsia="Arial TUR;Arial" w:cs="Arial TUR;Arial"/>
          <w:rtl w:val="true"/>
        </w:rPr>
        <w:t xml:space="preserve"> </w:t>
      </w:r>
      <w:r>
        <w:rPr>
          <w:rtl w:val="true"/>
        </w:rPr>
        <w:t>התשע</w:t>
      </w:r>
      <w:r>
        <w:rPr>
          <w:rtl w:val="true"/>
        </w:rPr>
        <w:t>"</w:t>
      </w:r>
      <w:r>
        <w:rPr>
          <w:rtl w:val="true"/>
        </w:rPr>
        <w:t>ד</w:t>
      </w:r>
      <w:r>
        <w:rPr>
          <w:rFonts w:eastAsia="Arial TUR;Arial" w:cs="Arial TUR;Arial"/>
          <w:rtl w:val="true"/>
        </w:rPr>
        <w:t xml:space="preserve"> </w:t>
      </w:r>
      <w:r>
        <w:rPr>
          <w:rtl w:val="true"/>
        </w:rPr>
        <w:t>(</w:t>
      </w:r>
      <w:r>
        <w:rPr/>
        <w:t>15.1.2014</w:t>
      </w:r>
      <w:r>
        <w:rPr>
          <w:rtl w:val="true"/>
        </w:rPr>
        <w:t xml:space="preserve">). </w:t>
      </w:r>
    </w:p>
    <w:p>
      <w:pPr>
        <w:pStyle w:val="Ruller41"/>
        <w:ind w:end="0"/>
        <w:jc w:val="both"/>
        <w:rPr>
          <w:color w:val="FFFFFF"/>
          <w:sz w:val="2"/>
          <w:szCs w:val="2"/>
        </w:rPr>
      </w:pPr>
      <w:r>
        <w:rPr>
          <w:color w:val="FFFFFF"/>
          <w:sz w:val="2"/>
          <w:szCs w:val="2"/>
        </w:rPr>
        <w:t>5129371</w:t>
      </w:r>
    </w:p>
    <w:tbl>
      <w:tblPr>
        <w:bidiVisual w:val="true"/>
        <w:tblW w:w="8522" w:type="dxa"/>
        <w:jc w:val="end"/>
        <w:tblInd w:w="0" w:type="dxa"/>
        <w:tblLayout w:type="fixed"/>
        <w:tblCellMar>
          <w:top w:w="0" w:type="dxa"/>
          <w:start w:w="108" w:type="dxa"/>
          <w:bottom w:w="0" w:type="dxa"/>
          <w:end w:w="108" w:type="dxa"/>
        </w:tblCellMar>
      </w:tblPr>
      <w:tblGrid>
        <w:gridCol w:w="2840"/>
        <w:gridCol w:w="2841"/>
        <w:gridCol w:w="2841"/>
      </w:tblGrid>
      <w:tr>
        <w:trPr/>
        <w:tc>
          <w:tcPr>
            <w:tcW w:w="2840" w:type="dxa"/>
            <w:tcBorders/>
          </w:tcPr>
          <w:p>
            <w:pPr>
              <w:pStyle w:val="Ruller41"/>
              <w:ind w:end="0"/>
              <w:jc w:val="both"/>
              <w:rPr/>
            </w:pPr>
            <w:r>
              <w:rPr>
                <w:color w:val="FFFFFF"/>
                <w:sz w:val="2"/>
                <w:szCs w:val="2"/>
              </w:rPr>
              <w:t>54678313</w:t>
            </w:r>
            <w:r>
              <w:rPr>
                <w:rtl w:val="true"/>
              </w:rPr>
              <w:t>ש</w:t>
            </w:r>
            <w:r>
              <w:rPr>
                <w:rFonts w:eastAsia="Arial TUR;Arial" w:cs="Arial TUR;Arial"/>
                <w:rtl w:val="true"/>
              </w:rPr>
              <w:t xml:space="preserve"> </w:t>
            </w:r>
            <w:r>
              <w:rPr>
                <w:rtl w:val="true"/>
              </w:rPr>
              <w:t>ו</w:t>
            </w:r>
            <w:r>
              <w:rPr>
                <w:rFonts w:eastAsia="Arial TUR;Arial" w:cs="Arial TUR;Arial"/>
                <w:rtl w:val="true"/>
              </w:rPr>
              <w:t xml:space="preserve"> </w:t>
            </w:r>
            <w:r>
              <w:rPr>
                <w:rtl w:val="true"/>
              </w:rPr>
              <w:t>פ</w:t>
            </w:r>
            <w:r>
              <w:rPr>
                <w:rFonts w:eastAsia="Arial TUR;Arial" w:cs="Arial TUR;Arial"/>
                <w:rtl w:val="true"/>
              </w:rPr>
              <w:t xml:space="preserve"> </w:t>
            </w:r>
            <w:r>
              <w:rPr>
                <w:rtl w:val="true"/>
              </w:rPr>
              <w:t>ט</w:t>
            </w:r>
          </w:p>
        </w:tc>
        <w:tc>
          <w:tcPr>
            <w:tcW w:w="2841" w:type="dxa"/>
            <w:tcBorders/>
          </w:tcPr>
          <w:p>
            <w:pPr>
              <w:pStyle w:val="Ruller41"/>
              <w:ind w:end="0"/>
              <w:jc w:val="both"/>
              <w:rPr/>
            </w:pPr>
            <w:r>
              <w:rPr>
                <w:rFonts w:eastAsia="Arial TUR;Arial" w:cs="Arial TUR;Arial"/>
                <w:rtl w:val="true"/>
              </w:rPr>
              <w:t xml:space="preserve">        </w:t>
            </w:r>
            <w:r>
              <w:rPr>
                <w:rtl w:val="true"/>
              </w:rPr>
              <w:t>ש</w:t>
            </w:r>
            <w:r>
              <w:rPr>
                <w:rFonts w:eastAsia="Arial TUR;Arial" w:cs="Arial TUR;Arial"/>
                <w:rtl w:val="true"/>
              </w:rPr>
              <w:t xml:space="preserve"> </w:t>
            </w:r>
            <w:r>
              <w:rPr>
                <w:rtl w:val="true"/>
              </w:rPr>
              <w:t>ו</w:t>
            </w:r>
            <w:r>
              <w:rPr>
                <w:rFonts w:eastAsia="Arial TUR;Arial" w:cs="Arial TUR;Arial"/>
                <w:rtl w:val="true"/>
              </w:rPr>
              <w:t xml:space="preserve"> </w:t>
            </w:r>
            <w:r>
              <w:rPr>
                <w:rtl w:val="true"/>
              </w:rPr>
              <w:t>פ</w:t>
            </w:r>
            <w:r>
              <w:rPr>
                <w:rFonts w:eastAsia="Arial TUR;Arial" w:cs="Arial TUR;Arial"/>
                <w:rtl w:val="true"/>
              </w:rPr>
              <w:t xml:space="preserve"> </w:t>
            </w:r>
            <w:r>
              <w:rPr>
                <w:rtl w:val="true"/>
              </w:rPr>
              <w:t>ט</w:t>
            </w:r>
          </w:p>
        </w:tc>
        <w:tc>
          <w:tcPr>
            <w:tcW w:w="2841" w:type="dxa"/>
            <w:tcBorders/>
          </w:tcPr>
          <w:p>
            <w:pPr>
              <w:pStyle w:val="Ruller41"/>
              <w:ind w:end="0"/>
              <w:jc w:val="both"/>
              <w:rPr/>
            </w:pPr>
            <w:r>
              <w:rPr>
                <w:rFonts w:eastAsia="Arial TUR;Arial" w:cs="Arial TUR;Arial"/>
                <w:rtl w:val="true"/>
              </w:rPr>
              <w:t xml:space="preserve">             </w:t>
            </w:r>
            <w:r>
              <w:rPr>
                <w:rtl w:val="true"/>
              </w:rPr>
              <w:t>ש</w:t>
            </w:r>
            <w:r>
              <w:rPr>
                <w:rFonts w:eastAsia="Arial TUR;Arial" w:cs="Arial TUR;Arial"/>
                <w:rtl w:val="true"/>
              </w:rPr>
              <w:t xml:space="preserve"> </w:t>
            </w:r>
            <w:r>
              <w:rPr>
                <w:rtl w:val="true"/>
              </w:rPr>
              <w:t>ו</w:t>
            </w:r>
            <w:r>
              <w:rPr>
                <w:rFonts w:eastAsia="Arial TUR;Arial" w:cs="Arial TUR;Arial"/>
                <w:rtl w:val="true"/>
              </w:rPr>
              <w:t xml:space="preserve"> </w:t>
            </w:r>
            <w:r>
              <w:rPr>
                <w:rtl w:val="true"/>
              </w:rPr>
              <w:t>פ</w:t>
            </w:r>
            <w:r>
              <w:rPr>
                <w:rFonts w:eastAsia="Arial TUR;Arial" w:cs="Arial TUR;Arial"/>
                <w:rtl w:val="true"/>
              </w:rPr>
              <w:t xml:space="preserve"> </w:t>
            </w:r>
            <w:r>
              <w:rPr>
                <w:rtl w:val="true"/>
              </w:rPr>
              <w:t>ט</w:t>
            </w:r>
          </w:p>
        </w:tc>
      </w:tr>
    </w:tbl>
    <w:p>
      <w:pPr>
        <w:pStyle w:val="Ruller41"/>
        <w:spacing w:lineRule="auto" w:line="480"/>
        <w:ind w:end="0"/>
        <w:jc w:val="both"/>
        <w:rPr/>
      </w:pPr>
      <w:r>
        <w:rPr>
          <w:rtl w:val="true"/>
        </w:rPr>
      </w:r>
    </w:p>
    <w:p>
      <w:pPr>
        <w:pStyle w:val="Normal"/>
        <w:ind w:end="0"/>
        <w:jc w:val="start"/>
        <w:rPr>
          <w:szCs w:val="16"/>
        </w:rPr>
      </w:pPr>
      <w:r>
        <w:rPr>
          <w:szCs w:val="16"/>
          <w:rtl w:val="true"/>
        </w:rPr>
        <w:t>_________________________</w:t>
      </w:r>
    </w:p>
    <w:p>
      <w:pPr>
        <w:pStyle w:val="Ruller381"/>
        <w:ind w:end="0"/>
        <w:jc w:val="start"/>
        <w:rPr/>
      </w:pPr>
      <w:r>
        <w:rPr>
          <w:rtl w:val="true"/>
        </w:rPr>
        <w:t>העותק</w:t>
      </w:r>
      <w:r>
        <w:rPr>
          <w:rFonts w:cs="Times New Roman"/>
          <w:rtl w:val="true"/>
        </w:rPr>
        <w:t xml:space="preserve"> </w:t>
      </w:r>
      <w:r>
        <w:rPr>
          <w:rtl w:val="true"/>
        </w:rPr>
        <w:t>כפוף</w:t>
      </w:r>
      <w:r>
        <w:rPr>
          <w:rFonts w:cs="Times New Roman"/>
          <w:rtl w:val="true"/>
        </w:rPr>
        <w:t xml:space="preserve"> </w:t>
      </w:r>
      <w:r>
        <w:rPr>
          <w:rtl w:val="true"/>
        </w:rPr>
        <w:t>לשינויי</w:t>
      </w:r>
      <w:r>
        <w:rPr>
          <w:rFonts w:cs="Times New Roman"/>
          <w:rtl w:val="true"/>
        </w:rPr>
        <w:t xml:space="preserve"> </w:t>
      </w:r>
      <w:r>
        <w:rPr>
          <w:rtl w:val="true"/>
        </w:rPr>
        <w:t>עריכה</w:t>
      </w:r>
      <w:r>
        <w:rPr>
          <w:rFonts w:cs="Times New Roman"/>
          <w:rtl w:val="true"/>
        </w:rPr>
        <w:t xml:space="preserve"> </w:t>
      </w:r>
      <w:r>
        <w:rPr>
          <w:rtl w:val="true"/>
        </w:rPr>
        <w:t>וניסוח</w:t>
      </w:r>
      <w:r>
        <w:rPr>
          <w:rtl w:val="true"/>
        </w:rPr>
        <w:t>.</w:t>
      </w:r>
      <w:r>
        <w:rPr>
          <w:sz w:val="16"/>
          <w:rtl w:val="true"/>
        </w:rPr>
        <w:t xml:space="preserve"> </w:t>
      </w:r>
      <w:r>
        <w:rPr>
          <w:sz w:val="16"/>
          <w:rtl w:val="true"/>
        </w:rPr>
        <w:t xml:space="preserve">  </w:t>
      </w:r>
      <w:bookmarkStart w:id="26" w:name="FileName"/>
      <w:r>
        <w:rPr>
          <w:sz w:val="16"/>
        </w:rPr>
        <w:t>13011270</w:t>
      </w:r>
      <w:r>
        <w:rPr>
          <w:sz w:val="16"/>
          <w:rtl w:val="true"/>
        </w:rPr>
        <w:t>_</w:t>
      </w:r>
      <w:r>
        <w:rPr>
          <w:sz w:val="16"/>
        </w:rPr>
        <w:t>H01.doc</w:t>
      </w:r>
      <w:r>
        <w:rPr>
          <w:sz w:val="16"/>
          <w:rtl w:val="true"/>
        </w:rPr>
        <w:t xml:space="preserve">   </w:t>
      </w:r>
      <w:bookmarkEnd w:id="26"/>
      <w:r>
        <w:rPr>
          <w:sz w:val="16"/>
          <w:sz w:val="16"/>
          <w:rtl w:val="true"/>
        </w:rPr>
        <w:t>שצ</w:t>
      </w:r>
    </w:p>
    <w:p>
      <w:pPr>
        <w:pStyle w:val="Ruller381"/>
        <w:ind w:end="0"/>
        <w:jc w:val="start"/>
        <w:rPr/>
      </w:pPr>
      <w:r>
        <w:rPr>
          <w:rtl w:val="true"/>
        </w:rPr>
        <w:t>מרכז</w:t>
      </w:r>
      <w:r>
        <w:rPr>
          <w:rFonts w:cs="Times New Roman"/>
          <w:rtl w:val="true"/>
        </w:rPr>
        <w:t xml:space="preserve"> </w:t>
      </w:r>
      <w:r>
        <w:rPr>
          <w:rtl w:val="true"/>
        </w:rPr>
        <w:t>מידע</w:t>
      </w:r>
      <w:r>
        <w:rPr>
          <w:rtl w:val="true"/>
        </w:rPr>
        <w:t xml:space="preserve">, </w:t>
      </w:r>
      <w:r>
        <w:rPr>
          <w:rtl w:val="true"/>
        </w:rPr>
        <w:t>טל</w:t>
      </w:r>
      <w:r>
        <w:rPr>
          <w:rtl w:val="true"/>
        </w:rPr>
        <w:t xml:space="preserve">' </w:t>
      </w:r>
      <w:r>
        <w:rPr/>
        <w:t>077-2703333</w:t>
      </w:r>
      <w:r>
        <w:rPr>
          <w:rtl w:val="true"/>
        </w:rPr>
        <w:t xml:space="preserve"> ; </w:t>
      </w:r>
      <w:r>
        <w:rPr>
          <w:rtl w:val="true"/>
        </w:rPr>
        <w:t>אתר</w:t>
      </w:r>
      <w:r>
        <w:rPr>
          <w:rFonts w:cs="Times New Roman"/>
          <w:rtl w:val="true"/>
        </w:rPr>
        <w:t xml:space="preserve"> </w:t>
      </w:r>
      <w:r>
        <w:rPr>
          <w:rtl w:val="true"/>
        </w:rPr>
        <w:t>אינטרנט</w:t>
      </w:r>
      <w:r>
        <w:rPr>
          <w:rtl w:val="true"/>
        </w:rPr>
        <w:t xml:space="preserve">,  </w:t>
      </w:r>
      <w:hyperlink r:id="rId129">
        <w:r>
          <w:rPr>
            <w:rStyle w:val="Hyperlink"/>
            <w:sz w:val="16"/>
          </w:rPr>
          <w:t>www.court.gov.il</w:t>
        </w:r>
      </w:hyperlink>
    </w:p>
    <w:p>
      <w:pPr>
        <w:pStyle w:val="Ruller381"/>
        <w:keepNext w:val="true"/>
        <w:ind w:end="0"/>
        <w:jc w:val="start"/>
        <w:rPr>
          <w:rFonts w:ascii="David" w:hAnsi="David" w:cs="David"/>
          <w:color w:val="000000"/>
          <w:szCs w:val="22"/>
        </w:rPr>
      </w:pPr>
      <w:r>
        <w:rPr>
          <w:rFonts w:cs="David" w:ascii="David" w:hAnsi="David"/>
          <w:color w:val="000000"/>
          <w:szCs w:val="22"/>
          <w:rtl w:val="true"/>
        </w:rPr>
      </w:r>
    </w:p>
    <w:p>
      <w:pPr>
        <w:pStyle w:val="Ruller381"/>
        <w:keepNext w:val="true"/>
        <w:ind w:end="0"/>
        <w:jc w:val="start"/>
        <w:rPr>
          <w:rFonts w:ascii="David" w:hAnsi="David" w:cs="David"/>
          <w:color w:val="000000"/>
          <w:szCs w:val="22"/>
        </w:rPr>
      </w:pPr>
      <w:r>
        <w:rPr>
          <w:rFonts w:ascii="David" w:hAnsi="David"/>
          <w:color w:val="000000"/>
          <w:szCs w:val="22"/>
          <w:rtl w:val="true"/>
        </w:rPr>
        <w:t>ס</w:t>
      </w:r>
      <w:r>
        <w:rPr>
          <w:rFonts w:cs="David" w:ascii="David" w:hAnsi="David"/>
          <w:color w:val="000000"/>
          <w:szCs w:val="22"/>
          <w:rtl w:val="true"/>
        </w:rPr>
        <w:t xml:space="preserve">' </w:t>
      </w:r>
      <w:r>
        <w:rPr>
          <w:rFonts w:ascii="David" w:hAnsi="David"/>
          <w:color w:val="000000"/>
          <w:szCs w:val="22"/>
          <w:rtl w:val="true"/>
        </w:rPr>
        <w:t>ג</w:t>
      </w:r>
      <w:r>
        <w:rPr>
          <w:rFonts w:cs="David" w:ascii="David" w:hAnsi="David"/>
          <w:color w:val="000000"/>
          <w:szCs w:val="22"/>
          <w:rtl w:val="true"/>
        </w:rPr>
        <w:t>'</w:t>
      </w:r>
      <w:r>
        <w:rPr>
          <w:rFonts w:ascii="David" w:hAnsi="David"/>
          <w:color w:val="000000"/>
          <w:szCs w:val="22"/>
          <w:rtl w:val="true"/>
        </w:rPr>
        <w:t xml:space="preserve">ובראן </w:t>
      </w:r>
      <w:r>
        <w:rPr>
          <w:rFonts w:cs="David" w:ascii="David" w:hAnsi="David"/>
          <w:color w:val="000000"/>
          <w:szCs w:val="22"/>
        </w:rPr>
        <w:t>54678313-1127/13</w:t>
      </w:r>
    </w:p>
    <w:p>
      <w:pPr>
        <w:pStyle w:val="Ruller381"/>
        <w:ind w:end="0"/>
        <w:jc w:val="start"/>
        <w:rPr/>
      </w:pPr>
      <w:r>
        <w:rPr>
          <w:color w:val="000000"/>
          <w:rtl w:val="true"/>
        </w:rPr>
        <w:t>נוסח</w:t>
      </w:r>
      <w:r>
        <w:rPr>
          <w:rFonts w:cs="Times New Roman"/>
          <w:color w:val="000000"/>
          <w:rtl w:val="true"/>
        </w:rPr>
        <w:t xml:space="preserve"> </w:t>
      </w:r>
      <w:r>
        <w:rPr>
          <w:color w:val="000000"/>
          <w:rtl w:val="true"/>
        </w:rPr>
        <w:t>מסמך</w:t>
      </w:r>
      <w:r>
        <w:rPr>
          <w:rFonts w:cs="Times New Roman"/>
          <w:color w:val="000000"/>
          <w:rtl w:val="true"/>
        </w:rPr>
        <w:t xml:space="preserve"> </w:t>
      </w:r>
      <w:r>
        <w:rPr>
          <w:color w:val="000000"/>
          <w:rtl w:val="true"/>
        </w:rPr>
        <w:t>זה</w:t>
      </w:r>
      <w:r>
        <w:rPr>
          <w:rFonts w:cs="Times New Roman"/>
          <w:color w:val="000000"/>
          <w:rtl w:val="true"/>
        </w:rPr>
        <w:t xml:space="preserve"> </w:t>
      </w:r>
      <w:r>
        <w:rPr>
          <w:color w:val="000000"/>
          <w:rtl w:val="true"/>
        </w:rPr>
        <w:t>כפוף</w:t>
      </w:r>
      <w:r>
        <w:rPr>
          <w:rFonts w:cs="Times New Roman"/>
          <w:color w:val="000000"/>
          <w:rtl w:val="true"/>
        </w:rPr>
        <w:t xml:space="preserve"> </w:t>
      </w:r>
      <w:r>
        <w:rPr>
          <w:color w:val="000000"/>
          <w:rtl w:val="true"/>
        </w:rPr>
        <w:t>לשינויי</w:t>
      </w:r>
      <w:r>
        <w:rPr>
          <w:rFonts w:cs="Times New Roman"/>
          <w:color w:val="000000"/>
          <w:rtl w:val="true"/>
        </w:rPr>
        <w:t xml:space="preserve"> </w:t>
      </w:r>
      <w:r>
        <w:rPr>
          <w:color w:val="000000"/>
          <w:rtl w:val="true"/>
        </w:rPr>
        <w:t>ניסוח</w:t>
      </w:r>
      <w:r>
        <w:rPr>
          <w:rFonts w:cs="Times New Roman"/>
          <w:color w:val="000000"/>
          <w:rtl w:val="true"/>
        </w:rPr>
        <w:t xml:space="preserve"> </w:t>
      </w:r>
      <w:r>
        <w:rPr>
          <w:color w:val="000000"/>
          <w:rtl w:val="true"/>
        </w:rPr>
        <w:t>ועריכה</w:t>
      </w:r>
    </w:p>
    <w:p>
      <w:pPr>
        <w:pStyle w:val="Ruller381"/>
        <w:ind w:end="0"/>
        <w:jc w:val="start"/>
        <w:rPr/>
      </w:pPr>
      <w:r>
        <w:rPr>
          <w:rtl w:val="true"/>
        </w:rPr>
      </w:r>
    </w:p>
    <w:p>
      <w:pPr>
        <w:pStyle w:val="Ruller381"/>
        <w:ind w:end="0"/>
        <w:jc w:val="center"/>
        <w:rPr>
          <w:color w:val="0000FF"/>
          <w:szCs w:val="24"/>
          <w:u w:val="single"/>
        </w:rPr>
      </w:pPr>
      <w:hyperlink r:id="rId130">
        <w:r>
          <w:rPr>
            <w:rStyle w:val="Hyperlink"/>
            <w:color w:val="0000FF"/>
            <w:szCs w:val="24"/>
            <w:u w:val="single"/>
            <w:rtl w:val="true"/>
          </w:rPr>
          <w:t>בעניין</w:t>
        </w:r>
        <w:r>
          <w:rPr>
            <w:rStyle w:val="Hyperlink"/>
            <w:rFonts w:cs="Times New Roman"/>
            <w:color w:val="0000FF"/>
            <w:szCs w:val="24"/>
            <w:u w:val="single"/>
            <w:rtl w:val="true"/>
          </w:rPr>
          <w:t xml:space="preserve"> </w:t>
        </w:r>
        <w:r>
          <w:rPr>
            <w:rStyle w:val="Hyperlink"/>
            <w:color w:val="0000FF"/>
            <w:szCs w:val="24"/>
            <w:u w:val="single"/>
            <w:rtl w:val="true"/>
          </w:rPr>
          <w:t>עריכה</w:t>
        </w:r>
        <w:r>
          <w:rPr>
            <w:rStyle w:val="Hyperlink"/>
            <w:rFonts w:cs="Times New Roman"/>
            <w:color w:val="0000FF"/>
            <w:szCs w:val="24"/>
            <w:u w:val="single"/>
            <w:rtl w:val="true"/>
          </w:rPr>
          <w:t xml:space="preserve"> </w:t>
        </w:r>
        <w:r>
          <w:rPr>
            <w:rStyle w:val="Hyperlink"/>
            <w:color w:val="0000FF"/>
            <w:szCs w:val="24"/>
            <w:u w:val="single"/>
            <w:rtl w:val="true"/>
          </w:rPr>
          <w:t>ושינויים</w:t>
        </w:r>
        <w:r>
          <w:rPr>
            <w:rStyle w:val="Hyperlink"/>
            <w:rFonts w:cs="Times New Roman"/>
            <w:color w:val="0000FF"/>
            <w:szCs w:val="24"/>
            <w:u w:val="single"/>
            <w:rtl w:val="true"/>
          </w:rPr>
          <w:t xml:space="preserve"> </w:t>
        </w:r>
        <w:r>
          <w:rPr>
            <w:rStyle w:val="Hyperlink"/>
            <w:color w:val="0000FF"/>
            <w:szCs w:val="24"/>
            <w:u w:val="single"/>
            <w:rtl w:val="true"/>
          </w:rPr>
          <w:t>במסמכי</w:t>
        </w:r>
        <w:r>
          <w:rPr>
            <w:rStyle w:val="Hyperlink"/>
            <w:rFonts w:cs="Times New Roman"/>
            <w:color w:val="0000FF"/>
            <w:szCs w:val="24"/>
            <w:u w:val="single"/>
            <w:rtl w:val="true"/>
          </w:rPr>
          <w:t xml:space="preserve"> </w:t>
        </w:r>
        <w:r>
          <w:rPr>
            <w:rStyle w:val="Hyperlink"/>
            <w:color w:val="0000FF"/>
            <w:szCs w:val="24"/>
            <w:u w:val="single"/>
            <w:rtl w:val="true"/>
          </w:rPr>
          <w:t>פסיקה</w:t>
        </w:r>
        <w:r>
          <w:rPr>
            <w:rStyle w:val="Hyperlink"/>
            <w:color w:val="0000FF"/>
            <w:szCs w:val="24"/>
            <w:u w:val="single"/>
            <w:rtl w:val="true"/>
          </w:rPr>
          <w:t xml:space="preserve">, </w:t>
        </w:r>
        <w:r>
          <w:rPr>
            <w:rStyle w:val="Hyperlink"/>
            <w:color w:val="0000FF"/>
            <w:szCs w:val="24"/>
            <w:u w:val="single"/>
            <w:rtl w:val="true"/>
          </w:rPr>
          <w:t>חקיקה</w:t>
        </w:r>
        <w:r>
          <w:rPr>
            <w:rStyle w:val="Hyperlink"/>
            <w:rFonts w:cs="Times New Roman"/>
            <w:color w:val="0000FF"/>
            <w:szCs w:val="24"/>
            <w:u w:val="single"/>
            <w:rtl w:val="true"/>
          </w:rPr>
          <w:t xml:space="preserve"> </w:t>
        </w:r>
        <w:r>
          <w:rPr>
            <w:rStyle w:val="Hyperlink"/>
            <w:color w:val="0000FF"/>
            <w:szCs w:val="24"/>
            <w:u w:val="single"/>
            <w:rtl w:val="true"/>
          </w:rPr>
          <w:t>ועוד</w:t>
        </w:r>
        <w:r>
          <w:rPr>
            <w:rStyle w:val="Hyperlink"/>
            <w:rFonts w:cs="Times New Roman"/>
            <w:color w:val="0000FF"/>
            <w:szCs w:val="24"/>
            <w:u w:val="single"/>
            <w:rtl w:val="true"/>
          </w:rPr>
          <w:t xml:space="preserve"> </w:t>
        </w:r>
        <w:r>
          <w:rPr>
            <w:rStyle w:val="Hyperlink"/>
            <w:color w:val="0000FF"/>
            <w:szCs w:val="24"/>
            <w:u w:val="single"/>
            <w:rtl w:val="true"/>
          </w:rPr>
          <w:t>באתר</w:t>
        </w:r>
        <w:r>
          <w:rPr>
            <w:rStyle w:val="Hyperlink"/>
            <w:rFonts w:cs="Times New Roman"/>
            <w:color w:val="0000FF"/>
            <w:szCs w:val="24"/>
            <w:u w:val="single"/>
            <w:rtl w:val="true"/>
          </w:rPr>
          <w:t xml:space="preserve"> </w:t>
        </w:r>
        <w:r>
          <w:rPr>
            <w:rStyle w:val="Hyperlink"/>
            <w:color w:val="0000FF"/>
            <w:szCs w:val="24"/>
            <w:u w:val="single"/>
            <w:rtl w:val="true"/>
          </w:rPr>
          <w:t>נבו</w:t>
        </w:r>
        <w:r>
          <w:rPr>
            <w:rStyle w:val="Hyperlink"/>
            <w:rFonts w:cs="Times New Roman"/>
            <w:color w:val="0000FF"/>
            <w:szCs w:val="24"/>
            <w:u w:val="single"/>
            <w:rtl w:val="true"/>
          </w:rPr>
          <w:t xml:space="preserve"> </w:t>
        </w:r>
        <w:r>
          <w:rPr>
            <w:rStyle w:val="Hyperlink"/>
            <w:color w:val="0000FF"/>
            <w:szCs w:val="24"/>
            <w:u w:val="single"/>
            <w:rtl w:val="true"/>
          </w:rPr>
          <w:t>–</w:t>
        </w:r>
        <w:r>
          <w:rPr>
            <w:rStyle w:val="Hyperlink"/>
            <w:rFonts w:cs="Times New Roman"/>
            <w:color w:val="0000FF"/>
            <w:szCs w:val="24"/>
            <w:u w:val="single"/>
            <w:rtl w:val="true"/>
          </w:rPr>
          <w:t xml:space="preserve"> </w:t>
        </w:r>
        <w:r>
          <w:rPr>
            <w:rStyle w:val="Hyperlink"/>
            <w:color w:val="0000FF"/>
            <w:szCs w:val="24"/>
            <w:u w:val="single"/>
            <w:rtl w:val="true"/>
          </w:rPr>
          <w:t>הקש</w:t>
        </w:r>
        <w:r>
          <w:rPr>
            <w:rStyle w:val="Hyperlink"/>
            <w:rFonts w:cs="Times New Roman"/>
            <w:color w:val="0000FF"/>
            <w:szCs w:val="24"/>
            <w:u w:val="single"/>
            <w:rtl w:val="true"/>
          </w:rPr>
          <w:t xml:space="preserve"> </w:t>
        </w:r>
        <w:r>
          <w:rPr>
            <w:rStyle w:val="Hyperlink"/>
            <w:color w:val="0000FF"/>
            <w:szCs w:val="24"/>
            <w:u w:val="single"/>
            <w:rtl w:val="true"/>
          </w:rPr>
          <w:t>כאן</w:t>
        </w:r>
      </w:hyperlink>
    </w:p>
    <w:p>
      <w:pPr>
        <w:pStyle w:val="Ruller381"/>
        <w:ind w:end="0"/>
        <w:jc w:val="center"/>
        <w:rPr>
          <w:color w:val="0000FF"/>
          <w:szCs w:val="24"/>
          <w:u w:val="single"/>
        </w:rPr>
      </w:pPr>
      <w:r>
        <w:rPr>
          <w:color w:val="0000FF"/>
          <w:szCs w:val="24"/>
          <w:u w:val="single"/>
          <w:rtl w:val="true"/>
        </w:rPr>
      </w:r>
    </w:p>
    <w:sectPr>
      <w:headerReference w:type="default" r:id="rId131"/>
      <w:footerReference w:type="default" r:id="rId132"/>
      <w:type w:val="nextPage"/>
      <w:pgSz w:w="11906" w:h="16838"/>
      <w:pgMar w:left="1800" w:right="1800" w:gutter="0" w:header="708" w:top="1701" w:footer="708" w:bottom="1440"/>
      <w:pgNumType w:start="1" w:fmt="decimal"/>
      <w:formProt w:val="false"/>
      <w:textDirection w:val="lrTb"/>
      <w:bidi/>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TUR">
    <w:altName w:val="Arial"/>
    <w:charset w:val="00" w:characterSet="windows-1252"/>
    <w:family w:val="swiss"/>
    <w:pitch w:val="variable"/>
  </w:font>
  <w:font w:name="Liberation Sans">
    <w:altName w:val="Arial"/>
    <w:charset w:val="01" w:characterSet="utf-8"/>
    <w:family w:val="swiss"/>
    <w:pitch w:val="variable"/>
  </w:font>
  <w:font w:name="Garamond">
    <w:charset w:val="00" w:characterSet="windows-1252"/>
    <w:family w:val="roman"/>
    <w:pitch w:val="variable"/>
  </w:font>
  <w:font w:name="FrankRuehl">
    <w:charset w:val="b1" w:characterSet="windows-1255"/>
    <w:family w:val="swiss"/>
    <w:pitch w:val="variable"/>
  </w:font>
  <w:font w:name="Century">
    <w:charset w:val="00" w:characterSet="windows-1252"/>
    <w:family w:val="roman"/>
    <w:pitch w:val="variable"/>
  </w:font>
  <w:font w:name="David">
    <w:charset w:val="b1" w:characterSet="windows-1255"/>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center"/>
      <w:rPr>
        <w:rFonts w:ascii="FrankRuehl" w:hAnsi="FrankRuehl" w:cs="FrankRuehl"/>
        <w:sz w:val="24"/>
      </w:rPr>
    </w:pPr>
    <w:r>
      <w:rPr>
        <w:rFonts w:cs="FrankRuehl" w:ascii="FrankRuehl" w:hAnsi="FrankRuehl"/>
        <w:sz w:val="24"/>
        <w:rtl w:val="true"/>
      </w:rPr>
      <w:fldChar w:fldCharType="begin"/>
    </w:r>
    <w:r>
      <w:rPr>
        <w:rtl w:val="true"/>
        <w:sz w:val="24"/>
        <w:rFonts w:cs="FrankRuehl" w:ascii="FrankRuehl" w:hAnsi="FrankRuehl"/>
      </w:rPr>
      <w:instrText xml:space="preserve"> PAGE </w:instrText>
    </w:r>
    <w:r>
      <w:rPr>
        <w:rtl w:val="true"/>
        <w:sz w:val="24"/>
        <w:rFonts w:cs="FrankRuehl" w:ascii="FrankRuehl" w:hAnsi="FrankRuehl"/>
      </w:rPr>
      <w:fldChar w:fldCharType="separate"/>
    </w:r>
    <w:r>
      <w:rPr>
        <w:rtl w:val="true"/>
        <w:sz w:val="24"/>
        <w:rFonts w:cs="FrankRuehl" w:ascii="FrankRuehl" w:hAnsi="FrankRuehl"/>
      </w:rPr>
      <w:t>21</w:t>
    </w:r>
    <w:r>
      <w:rPr>
        <w:rtl w:val="true"/>
        <w:sz w:val="24"/>
        <w:rFonts w:cs="FrankRuehl" w:ascii="FrankRuehl" w:hAnsi="FrankRuehl"/>
      </w:rPr>
      <w:fldChar w:fldCharType="end"/>
    </w:r>
  </w:p>
  <w:p>
    <w:pPr>
      <w:pStyle w:val="Footer"/>
      <w:pBdr>
        <w:top w:val="single" w:sz="4" w:space="1" w:color="000000"/>
      </w:pBdr>
      <w:spacing w:before="0" w:after="60"/>
      <w:ind w:end="0"/>
      <w:jc w:val="center"/>
      <w:rPr>
        <w:rFonts w:ascii="FrankRuehl" w:hAnsi="FrankRuehl" w:cs="FrankRuehl"/>
        <w:color w:val="000000"/>
        <w:sz w:val="24"/>
      </w:rPr>
    </w:pPr>
    <w:r>
      <w:rPr>
        <w:rFonts w:cs="FrankRuehl" w:ascii="FrankRuehl" w:hAnsi="FrankRuehl"/>
        <w:color w:val="000000"/>
        <w:sz w:val="24"/>
        <w:rtl w:val="true"/>
      </w:rPr>
      <w:drawing>
        <wp:inline distT="0" distB="0" distL="0" distR="0">
          <wp:extent cx="554990" cy="2254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65" t="-159" r="-65" b="-159"/>
                  <a:stretch>
                    <a:fillRect/>
                  </a:stretch>
                </pic:blipFill>
                <pic:spPr bwMode="auto">
                  <a:xfrm>
                    <a:off x="0" y="0"/>
                    <a:ext cx="554990" cy="225425"/>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4153"/>
        <w:tab w:val="clear" w:pos="8306"/>
        <w:tab w:val="right" w:pos="8311" w:leader="none"/>
      </w:tabs>
      <w:spacing w:lineRule="exact" w:line="220"/>
      <w:ind w:end="0"/>
      <w:jc w:val="start"/>
      <w:rPr>
        <w:rFonts w:ascii="David" w:hAnsi="David" w:cs="David"/>
        <w:color w:val="000000"/>
        <w:sz w:val="22"/>
        <w:szCs w:val="22"/>
      </w:rPr>
    </w:pPr>
    <w:r>
      <w:rPr>
        <w:rFonts w:ascii="David" w:hAnsi="David"/>
        <w:color w:val="000000"/>
        <w:sz w:val="22"/>
        <w:sz w:val="22"/>
        <w:szCs w:val="22"/>
        <w:rtl w:val="true"/>
      </w:rPr>
      <w:t xml:space="preserve">עפ </w:t>
    </w:r>
    <w:r>
      <w:rPr>
        <w:rFonts w:cs="David" w:ascii="David" w:hAnsi="David"/>
        <w:color w:val="000000"/>
        <w:sz w:val="22"/>
        <w:szCs w:val="22"/>
      </w:rPr>
      <w:t>1127/13</w:t>
    </w:r>
    <w:r>
      <w:rPr>
        <w:rFonts w:cs="David" w:ascii="David" w:hAnsi="David"/>
        <w:color w:val="000000"/>
        <w:sz w:val="22"/>
        <w:szCs w:val="22"/>
        <w:rtl w:val="true"/>
      </w:rPr>
      <w:t xml:space="preserve"> </w:t>
      <w:tab/>
      <w:t xml:space="preserve"> </w:t>
    </w:r>
    <w:r>
      <w:rPr>
        <w:rFonts w:ascii="David" w:hAnsi="David"/>
        <w:color w:val="000000"/>
        <w:sz w:val="22"/>
        <w:sz w:val="22"/>
        <w:szCs w:val="22"/>
        <w:rtl w:val="true"/>
      </w:rPr>
      <w:t>עמאואל גברזגיי נ</w:t>
    </w:r>
    <w:r>
      <w:rPr>
        <w:rFonts w:cs="David" w:ascii="David" w:hAnsi="David"/>
        <w:color w:val="000000"/>
        <w:sz w:val="22"/>
        <w:szCs w:val="22"/>
        <w:rtl w:val="true"/>
      </w:rPr>
      <w:t xml:space="preserve">' </w:t>
    </w:r>
    <w:r>
      <w:rPr>
        <w:rFonts w:ascii="David" w:hAnsi="David"/>
        <w:color w:val="000000"/>
        <w:sz w:val="22"/>
        <w:sz w:val="22"/>
        <w:szCs w:val="22"/>
        <w:rtl w:val="true"/>
      </w:rPr>
      <w:t>מדינת ישראל</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907"/>
        </w:tabs>
        <w:ind w:start="0" w:hanging="0"/>
      </w:pPr>
      <w:rPr>
        <w:lang w:val="en-US"/>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0"/>
  <w:compat>
    <w:doNotExpandShiftReturn/>
    <w:doNotBreakWrappedTables/>
    <w:compatSetting w:name="compatibilityMode" w:uri="http://schemas.microsoft.com/office/word" w:val="11"/>
  </w:compat>
  <w:docVars>
    <w:docVar w:name="MyInfo" w:val="This document was extracted from Nevo's sit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L" w:eastAsia="zh-CN" w:bidi="hi-IN"/>
      </w:rPr>
    </w:rPrDefault>
    <w:pPrDefault>
      <w:pPr>
        <w:suppressAutoHyphens w:val="true"/>
      </w:pPr>
    </w:pPrDefault>
  </w:docDefaults>
  <w:style w:type="paragraph" w:styleId="Normal">
    <w:name w:val="Normal"/>
    <w:qFormat/>
    <w:pPr>
      <w:widowControl/>
      <w:overflowPunct w:val="false"/>
      <w:autoSpaceDE w:val="false"/>
      <w:bidi w:val="1"/>
      <w:ind w:hanging="0" w:start="0" w:end="0"/>
      <w:jc w:val="start"/>
    </w:pPr>
    <w:rPr>
      <w:rFonts w:ascii="Times New Roman" w:hAnsi="Times New Roman" w:eastAsia="Times New Roman" w:cs="David"/>
      <w:color w:val="auto"/>
      <w:sz w:val="20"/>
      <w:szCs w:val="24"/>
      <w:lang w:val="en-US" w:bidi="he-IL" w:eastAsia="zh-CN"/>
    </w:rPr>
  </w:style>
  <w:style w:type="character" w:styleId="WW8Num1z0">
    <w:name w:val="WW8Num1z0"/>
    <w:qFormat/>
    <w:rPr>
      <w:lang w:val="en-U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Ruller4">
    <w:name w:val="Ruller4 תו"/>
    <w:basedOn w:val="DefaultParagraphFont"/>
    <w:qFormat/>
    <w:rPr>
      <w:rFonts w:ascii="Arial TUR;Arial" w:hAnsi="Arial TUR;Arial" w:cs="FrankRuehl"/>
      <w:spacing w:val="10"/>
      <w:sz w:val="22"/>
      <w:szCs w:val="28"/>
      <w:lang w:val="en-US" w:bidi="he-IL"/>
    </w:rPr>
  </w:style>
  <w:style w:type="character" w:styleId="Ruller5">
    <w:name w:val="Ruller5 תו"/>
    <w:basedOn w:val="DefaultParagraphFont"/>
    <w:qFormat/>
    <w:rPr>
      <w:rFonts w:ascii="Arial TUR;Arial" w:hAnsi="Arial TUR;Arial" w:cs="FrankRuehl"/>
      <w:spacing w:val="10"/>
      <w:sz w:val="22"/>
      <w:szCs w:val="28"/>
      <w:lang w:val="en-US" w:bidi="he-IL"/>
    </w:rPr>
  </w:style>
  <w:style w:type="character" w:styleId="Delete">
    <w:name w:val="Delete"/>
    <w:basedOn w:val="DefaultParagraphFont"/>
    <w:qFormat/>
    <w:rPr>
      <w:strike/>
    </w:rPr>
  </w:style>
  <w:style w:type="character" w:styleId="Hand">
    <w:name w:val="Hand"/>
    <w:basedOn w:val="DefaultParagraphFont"/>
    <w:qFormat/>
    <w:rPr>
      <w:rFonts w:cs="Guttman Yad"/>
    </w:rPr>
  </w:style>
  <w:style w:type="character" w:styleId="Ruller3">
    <w:name w:val="Ruller 3 תו"/>
    <w:basedOn w:val="DefaultParagraphFont"/>
    <w:qFormat/>
    <w:rPr>
      <w:rFonts w:cs="FrankRuehl"/>
      <w:sz w:val="22"/>
      <w:szCs w:val="28"/>
      <w:lang w:val="en-US" w:bidi="he-IL"/>
    </w:rPr>
  </w:style>
  <w:style w:type="character" w:styleId="BodyRuller">
    <w:name w:val="Body Ruller תו"/>
    <w:basedOn w:val="Ruller3"/>
    <w:qFormat/>
    <w:rPr>
      <w:rFonts w:cs="David"/>
    </w:rPr>
  </w:style>
  <w:style w:type="character" w:styleId="Ruller38">
    <w:name w:val="סגנון Ruller 3 + (מורכב) ‏8 נק תו"/>
    <w:basedOn w:val="BodyRuller"/>
    <w:qFormat/>
    <w:rPr>
      <w:szCs w:val="16"/>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ind w:hanging="0" w:start="0" w:end="0"/>
      <w:jc w:val="start"/>
    </w:pPr>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Ruller31">
    <w:name w:val="Ruller 3"/>
    <w:basedOn w:val="Normal"/>
    <w:qFormat/>
    <w:pPr>
      <w:tabs>
        <w:tab w:val="clear" w:pos="720"/>
        <w:tab w:val="left" w:pos="3210" w:leader="none"/>
        <w:tab w:val="left" w:pos="6753" w:leader="none"/>
      </w:tabs>
      <w:spacing w:lineRule="auto" w:line="360"/>
      <w:ind w:hanging="0" w:start="0" w:end="0"/>
      <w:jc w:val="start"/>
    </w:pPr>
    <w:rPr>
      <w:rFonts w:cs="FrankRuehl"/>
      <w:spacing w:val="10"/>
      <w:sz w:val="22"/>
      <w:szCs w:val="28"/>
    </w:rPr>
  </w:style>
  <w:style w:type="paragraph" w:styleId="Pskdinhead">
    <w:name w:val="Pskdin head"/>
    <w:basedOn w:val="Normal"/>
    <w:qFormat/>
    <w:pPr>
      <w:spacing w:lineRule="auto" w:line="360"/>
      <w:ind w:hanging="0" w:start="0" w:end="0"/>
      <w:jc w:val="start"/>
    </w:pPr>
    <w:rPr>
      <w:b/>
      <w:bCs/>
      <w:u w:val="single"/>
    </w:rPr>
  </w:style>
  <w:style w:type="paragraph" w:styleId="FileNumber">
    <w:name w:val="File Number"/>
    <w:basedOn w:val="Normal"/>
    <w:qFormat/>
    <w:pPr>
      <w:spacing w:lineRule="auto" w:line="360"/>
      <w:ind w:hanging="0" w:start="0" w:end="0"/>
      <w:jc w:val="end"/>
    </w:pPr>
    <w:rPr>
      <w:bCs/>
    </w:rPr>
  </w:style>
  <w:style w:type="paragraph" w:styleId="FirstpagestylePsakdin">
    <w:name w:val="First page style Psak din"/>
    <w:basedOn w:val="Ruller31"/>
    <w:qFormat/>
    <w:pPr>
      <w:tabs>
        <w:tab w:val="clear" w:pos="3210"/>
        <w:tab w:val="left" w:pos="3209" w:leader="none"/>
        <w:tab w:val="left" w:pos="6753" w:leader="none"/>
      </w:tabs>
      <w:ind w:hanging="0" w:start="0" w:end="0"/>
      <w:jc w:val="start"/>
    </w:pPr>
    <w:rPr>
      <w:bCs/>
    </w:rPr>
  </w:style>
  <w:style w:type="paragraph" w:styleId="TyutaDate">
    <w:name w:val="Tyuta Date"/>
    <w:basedOn w:val="Normal"/>
    <w:qFormat/>
    <w:pPr>
      <w:ind w:hanging="0" w:start="0" w:end="0"/>
      <w:jc w:val="center"/>
    </w:pPr>
    <w:rPr>
      <w:b/>
      <w:bCs/>
      <w:i/>
      <w:iCs/>
      <w:sz w:val="28"/>
      <w:szCs w:val="28"/>
    </w:rPr>
  </w:style>
  <w:style w:type="paragraph" w:styleId="DocumentHead">
    <w:name w:val="Document Head"/>
    <w:basedOn w:val="Normal"/>
    <w:qFormat/>
    <w:pPr>
      <w:spacing w:lineRule="auto" w:line="360"/>
      <w:ind w:hanging="0" w:start="0" w:end="0"/>
      <w:jc w:val="center"/>
    </w:pPr>
    <w:rPr>
      <w:bCs/>
      <w:spacing w:val="30"/>
      <w:szCs w:val="28"/>
      <w:u w:val="single"/>
    </w:rPr>
  </w:style>
  <w:style w:type="paragraph" w:styleId="TfutzaList">
    <w:name w:val="Tfutza List"/>
    <w:basedOn w:val="Normal"/>
    <w:qFormat/>
    <w:pPr>
      <w:ind w:hanging="0" w:start="0" w:end="0"/>
      <w:jc w:val="start"/>
    </w:pPr>
    <w:rPr>
      <w:i/>
      <w:iCs/>
    </w:rPr>
  </w:style>
  <w:style w:type="paragraph" w:styleId="Ruller41">
    <w:name w:val="Ruller4"/>
    <w:basedOn w:val="Normal"/>
    <w:qFormat/>
    <w:pPr>
      <w:tabs>
        <w:tab w:val="clear" w:pos="720"/>
        <w:tab w:val="left" w:pos="800" w:leader="none"/>
      </w:tabs>
      <w:spacing w:lineRule="auto" w:line="360"/>
      <w:ind w:hanging="0" w:start="0" w:end="0"/>
      <w:jc w:val="both"/>
    </w:pPr>
    <w:rPr>
      <w:rFonts w:ascii="Arial TUR;Arial" w:hAnsi="Arial TUR;Arial" w:cs="FrankRuehl"/>
      <w:spacing w:val="10"/>
      <w:sz w:val="22"/>
      <w:szCs w:val="28"/>
    </w:rPr>
  </w:style>
  <w:style w:type="paragraph" w:styleId="Ruller51">
    <w:name w:val="Ruller5"/>
    <w:basedOn w:val="Normal"/>
    <w:qFormat/>
    <w:pPr>
      <w:ind w:hanging="0" w:start="1642" w:end="1282"/>
      <w:jc w:val="both"/>
    </w:pPr>
    <w:rPr>
      <w:rFonts w:ascii="Arial TUR;Arial" w:hAnsi="Arial TUR;Arial" w:cs="FrankRuehl"/>
      <w:spacing w:val="10"/>
      <w:sz w:val="22"/>
      <w:szCs w:val="28"/>
    </w:rPr>
  </w:style>
  <w:style w:type="paragraph" w:styleId="Ruller6">
    <w:name w:val="Ruller6"/>
    <w:basedOn w:val="Normal"/>
    <w:qFormat/>
    <w:pPr>
      <w:tabs>
        <w:tab w:val="clear" w:pos="720"/>
        <w:tab w:val="left" w:pos="794" w:leader="none"/>
        <w:tab w:val="left" w:pos="2268" w:leader="none"/>
        <w:tab w:val="left" w:pos="5783" w:leader="none"/>
        <w:tab w:val="left" w:pos="7371" w:leader="none"/>
      </w:tabs>
      <w:ind w:hanging="0" w:start="0" w:end="0"/>
      <w:jc w:val="start"/>
    </w:pPr>
    <w:rPr>
      <w:rFonts w:ascii="Arial TUR;Arial" w:hAnsi="Arial TUR;Arial" w:cs="DavidFix;Times New Roman"/>
      <w:spacing w:val="10"/>
      <w:sz w:val="22"/>
      <w:szCs w:val="20"/>
    </w:rPr>
  </w:style>
  <w:style w:type="paragraph" w:styleId="WriterName">
    <w:name w:val="Writer Name"/>
    <w:basedOn w:val="Ruller41"/>
    <w:next w:val="Ruller41"/>
    <w:qFormat/>
    <w:pPr>
      <w:ind w:hanging="0" w:start="0" w:end="0"/>
      <w:jc w:val="both"/>
    </w:pPr>
    <w:rPr>
      <w:rFonts w:cs="David"/>
      <w:b/>
      <w:bCs/>
      <w:u w:val="single"/>
    </w:rPr>
  </w:style>
  <w:style w:type="paragraph" w:styleId="2">
    <w:name w:val="ñâðåï2"/>
    <w:basedOn w:val="Normal"/>
    <w:qFormat/>
    <w:pPr>
      <w:overflowPunct w:val="true"/>
      <w:ind w:hanging="0" w:start="0" w:end="0"/>
      <w:jc w:val="start"/>
    </w:pPr>
    <w:rPr>
      <w:rFonts w:cs="Times New Roman"/>
    </w:rPr>
  </w:style>
  <w:style w:type="paragraph" w:styleId="Casenameintextbody">
    <w:name w:val="Case name in text body"/>
    <w:basedOn w:val="Normal"/>
    <w:qFormat/>
    <w:pPr>
      <w:overflowPunct w:val="true"/>
      <w:ind w:hanging="0" w:start="0" w:end="0"/>
      <w:jc w:val="end"/>
    </w:pPr>
    <w:rPr>
      <w:rFonts w:cs="Times New Roman"/>
      <w:b/>
      <w:bCs/>
      <w:u w:val="single"/>
    </w:rPr>
  </w:style>
  <w:style w:type="paragraph" w:styleId="precasestyle">
    <w:name w:val="pre_case style"/>
    <w:basedOn w:val="Normal"/>
    <w:qFormat/>
    <w:pPr>
      <w:tabs>
        <w:tab w:val="clear" w:pos="720"/>
        <w:tab w:val="left" w:pos="2552" w:leader="none"/>
      </w:tabs>
      <w:overflowPunct w:val="true"/>
      <w:ind w:hanging="0" w:start="0" w:end="2549"/>
      <w:jc w:val="start"/>
    </w:pPr>
    <w:rPr>
      <w:rFonts w:cs="Times New Roman"/>
    </w:rPr>
  </w:style>
  <w:style w:type="paragraph" w:styleId="BodyRuller1">
    <w:name w:val="Body Ruller"/>
    <w:basedOn w:val="Normal"/>
    <w:qFormat/>
    <w:pPr>
      <w:ind w:hanging="0" w:start="0" w:end="0"/>
      <w:jc w:val="start"/>
    </w:pPr>
    <w:rPr>
      <w:sz w:val="22"/>
      <w:szCs w:val="28"/>
    </w:rPr>
  </w:style>
  <w:style w:type="paragraph" w:styleId="Ruller381">
    <w:name w:val="סגנון Ruller 3 + (מורכב) ‏8 נק"/>
    <w:basedOn w:val="BodyRuller1"/>
    <w:qFormat/>
    <w:pPr>
      <w:ind w:hanging="0" w:start="0" w:end="0"/>
      <w:jc w:val="start"/>
    </w:pPr>
    <w:rPr>
      <w:szCs w:val="16"/>
    </w:rPr>
  </w:style>
  <w:style w:type="paragraph" w:styleId="FileNumber1">
    <w:name w:val="סגנון File Number + ימין"/>
    <w:basedOn w:val="FileNumber"/>
    <w:qFormat/>
    <w:pPr>
      <w:ind w:hanging="0" w:start="0" w:end="0"/>
      <w:jc w:val="start"/>
    </w:pPr>
    <w:rPr>
      <w:szCs w:val="28"/>
    </w:rPr>
  </w:style>
  <w:style w:type="paragraph" w:styleId="BODYVERDICT">
    <w:name w:val="BODY VERDICT"/>
    <w:basedOn w:val="Normal"/>
    <w:qFormat/>
    <w:pPr>
      <w:ind w:hanging="0" w:start="0" w:end="0"/>
      <w:jc w:val="start"/>
    </w:pPr>
    <w:rPr>
      <w:rFonts w:cs="FrankRuehl"/>
      <w:spacing w:val="10"/>
      <w:sz w:val="22"/>
      <w:szCs w:val="28"/>
    </w:rPr>
  </w:style>
  <w:style w:type="paragraph" w:styleId="Ruller42">
    <w:name w:val="Ruller 4 ממוספר"/>
    <w:basedOn w:val="Ruller41"/>
    <w:next w:val="Ruller41"/>
    <w:qFormat/>
    <w:pPr>
      <w:numPr>
        <w:ilvl w:val="0"/>
        <w:numId w:val="1"/>
      </w:numPr>
      <w:ind w:hanging="0" w:start="0" w:end="0"/>
      <w:jc w:val="both"/>
    </w:pPr>
    <w:rPr>
      <w:rFonts w:ascii="Garamond" w:hAnsi="Garamond" w:cs="Garamond"/>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evo.co.il/links/psika/?NEWPROC=&#1514;&#1508;&amp;NEWPARTA=26136&amp;NEWPARTB=04&amp;NEWPARTC=12" TargetMode="External"/><Relationship Id="rId3" Type="http://schemas.openxmlformats.org/officeDocument/2006/relationships/hyperlink" Target="http://www.nevo.co.il/safrut/book/14971" TargetMode="External"/><Relationship Id="rId4" Type="http://schemas.openxmlformats.org/officeDocument/2006/relationships/hyperlink" Target="http://www.nevo.co.il/safrut/book/14971" TargetMode="External"/><Relationship Id="rId5" Type="http://schemas.openxmlformats.org/officeDocument/2006/relationships/hyperlink" Target="http://www.nevo.co.il/law/70301" TargetMode="External"/><Relationship Id="rId6" Type="http://schemas.openxmlformats.org/officeDocument/2006/relationships/hyperlink" Target="http://www.nevo.co.il/law/70301/40c" TargetMode="External"/><Relationship Id="rId7" Type="http://schemas.openxmlformats.org/officeDocument/2006/relationships/hyperlink" Target="http://www.nevo.co.il/law/70301/40c.a" TargetMode="External"/><Relationship Id="rId8" Type="http://schemas.openxmlformats.org/officeDocument/2006/relationships/hyperlink" Target="http://www.nevo.co.il/law/70301/40c.b" TargetMode="External"/><Relationship Id="rId9" Type="http://schemas.openxmlformats.org/officeDocument/2006/relationships/hyperlink" Target="http://www.nevo.co.il/law/70301/40d" TargetMode="External"/><Relationship Id="rId10" Type="http://schemas.openxmlformats.org/officeDocument/2006/relationships/hyperlink" Target="http://www.nevo.co.il/law/70301/40e" TargetMode="External"/><Relationship Id="rId11" Type="http://schemas.openxmlformats.org/officeDocument/2006/relationships/hyperlink" Target="http://www.nevo.co.il/law/70301/40f" TargetMode="External"/><Relationship Id="rId12" Type="http://schemas.openxmlformats.org/officeDocument/2006/relationships/hyperlink" Target="http://www.nevo.co.il/law/70301/40g" TargetMode="External"/><Relationship Id="rId13" Type="http://schemas.openxmlformats.org/officeDocument/2006/relationships/hyperlink" Target="http://www.nevo.co.il/law/70301/40i" TargetMode="External"/><Relationship Id="rId14" Type="http://schemas.openxmlformats.org/officeDocument/2006/relationships/hyperlink" Target="http://www.nevo.co.il/law/70301/186.a" TargetMode="External"/><Relationship Id="rId15" Type="http://schemas.openxmlformats.org/officeDocument/2006/relationships/hyperlink" Target="http://www.nevo.co.il/law/70301/402.a" TargetMode="External"/><Relationship Id="rId16" Type="http://schemas.openxmlformats.org/officeDocument/2006/relationships/hyperlink" Target="http://www.nevo.co.il/law/70301/402.b" TargetMode="External"/><Relationship Id="rId17" Type="http://schemas.openxmlformats.org/officeDocument/2006/relationships/hyperlink" Target="http://www.nevo.co.il/law/70301/40ja" TargetMode="External"/><Relationship Id="rId18" Type="http://schemas.openxmlformats.org/officeDocument/2006/relationships/hyperlink" Target="http://www.nevo.co.il/law/70301/40ja.1" TargetMode="External"/><Relationship Id="rId19" Type="http://schemas.openxmlformats.org/officeDocument/2006/relationships/hyperlink" Target="http://www.nevo.co.il/law/70301/40ja.11" TargetMode="External"/><Relationship Id="rId20" Type="http://schemas.openxmlformats.org/officeDocument/2006/relationships/hyperlink" Target="http://www.nevo.co.il/law/70301/40ja.8" TargetMode="External"/><Relationship Id="rId21" Type="http://schemas.openxmlformats.org/officeDocument/2006/relationships/hyperlink" Target="http://www.nevo.co.il/law/70301/40jb" TargetMode="External"/><Relationship Id="rId22" Type="http://schemas.openxmlformats.org/officeDocument/2006/relationships/hyperlink" Target="http://www.nevo.co.il/law/70301/40jc" TargetMode="External"/><Relationship Id="rId23" Type="http://schemas.openxmlformats.org/officeDocument/2006/relationships/hyperlink" Target="http://www.nevo.co.il/law/70301/40jc.a" TargetMode="External"/><Relationship Id="rId24" Type="http://schemas.openxmlformats.org/officeDocument/2006/relationships/hyperlink" Target="http://www.nevo.co.il/law/70301/40jc.b" TargetMode="External"/><Relationship Id="rId25" Type="http://schemas.openxmlformats.org/officeDocument/2006/relationships/hyperlink" Target="http://www.nevo.co.il/law/70301/40jc.c" TargetMode="External"/><Relationship Id="rId26" Type="http://schemas.openxmlformats.org/officeDocument/2006/relationships/hyperlink" Target="http://www.nevo.co.il/law/70301/40jd.1" TargetMode="External"/><Relationship Id="rId27" Type="http://schemas.openxmlformats.org/officeDocument/2006/relationships/hyperlink" Target="http://www.nevo.co.il/law/70301/499" TargetMode="External"/><Relationship Id="rId28" Type="http://schemas.openxmlformats.org/officeDocument/2006/relationships/hyperlink" Target="http://www.nevo.co.il/law/70301/499.a.1" TargetMode="External"/><Relationship Id="rId29" Type="http://schemas.openxmlformats.org/officeDocument/2006/relationships/hyperlink" Target="http://www.nevo.co.il/law/70301/402.b" TargetMode="External"/><Relationship Id="rId30" Type="http://schemas.openxmlformats.org/officeDocument/2006/relationships/hyperlink" Target="http://www.nevo.co.il/law/70301" TargetMode="External"/><Relationship Id="rId31" Type="http://schemas.openxmlformats.org/officeDocument/2006/relationships/hyperlink" Target="http://www.nevo.co.il/law/70301" TargetMode="External"/><Relationship Id="rId32" Type="http://schemas.openxmlformats.org/officeDocument/2006/relationships/hyperlink" Target="http://www.nevo.co.il/law/70301/40c" TargetMode="External"/><Relationship Id="rId33" Type="http://schemas.openxmlformats.org/officeDocument/2006/relationships/hyperlink" Target="http://www.nevo.co.il/law/70301/40jc" TargetMode="External"/><Relationship Id="rId34" Type="http://schemas.openxmlformats.org/officeDocument/2006/relationships/hyperlink" Target="http://www.nevo.co.il/law/70301" TargetMode="External"/><Relationship Id="rId35" Type="http://schemas.openxmlformats.org/officeDocument/2006/relationships/hyperlink" Target="http://www.nevo.co.il/law/70301" TargetMode="External"/><Relationship Id="rId36" Type="http://schemas.openxmlformats.org/officeDocument/2006/relationships/hyperlink" Target="http://www.nevo.co.il/law/70301/40ja" TargetMode="External"/><Relationship Id="rId37" Type="http://schemas.openxmlformats.org/officeDocument/2006/relationships/hyperlink" Target="http://www.nevo.co.il/law/70301/40d" TargetMode="External"/><Relationship Id="rId38" Type="http://schemas.openxmlformats.org/officeDocument/2006/relationships/hyperlink" Target="http://www.nevo.co.il/law/70301/40e" TargetMode="External"/><Relationship Id="rId39" Type="http://schemas.openxmlformats.org/officeDocument/2006/relationships/hyperlink" Target="http://www.nevo.co.il/law/70301" TargetMode="External"/><Relationship Id="rId40" Type="http://schemas.openxmlformats.org/officeDocument/2006/relationships/hyperlink" Target="http://www.nevo.co.il/law/70301/40f" TargetMode="External"/><Relationship Id="rId41" Type="http://schemas.openxmlformats.org/officeDocument/2006/relationships/hyperlink" Target="http://www.nevo.co.il/law/70301/40g" TargetMode="External"/><Relationship Id="rId42" Type="http://schemas.openxmlformats.org/officeDocument/2006/relationships/hyperlink" Target="http://www.nevo.co.il/law/70301/402.b" TargetMode="External"/><Relationship Id="rId43" Type="http://schemas.openxmlformats.org/officeDocument/2006/relationships/hyperlink" Target="http://www.nevo.co.il/law/70301/499" TargetMode="External"/><Relationship Id="rId44" Type="http://schemas.openxmlformats.org/officeDocument/2006/relationships/hyperlink" Target="http://www.nevo.co.il/law/70301" TargetMode="External"/><Relationship Id="rId45" Type="http://schemas.openxmlformats.org/officeDocument/2006/relationships/hyperlink" Target="http://www.nevo.co.il/law/70301" TargetMode="External"/><Relationship Id="rId46" Type="http://schemas.openxmlformats.org/officeDocument/2006/relationships/hyperlink" Target="http://www.nevo.co.il/links/psika/?NEWPROC=&#1514;&#1508;&amp;NEWPARTA=26136&amp;NEWPARTB=04&amp;NEWPARTC=12" TargetMode="External"/><Relationship Id="rId47" Type="http://schemas.openxmlformats.org/officeDocument/2006/relationships/hyperlink" Target="http://www.nevo.co.il/law/70301/499.a.1" TargetMode="External"/><Relationship Id="rId48" Type="http://schemas.openxmlformats.org/officeDocument/2006/relationships/hyperlink" Target="http://www.nevo.co.il/law/70301" TargetMode="External"/><Relationship Id="rId49" Type="http://schemas.openxmlformats.org/officeDocument/2006/relationships/hyperlink" Target="http://www.nevo.co.il/law/70301/402.b" TargetMode="External"/><Relationship Id="rId50" Type="http://schemas.openxmlformats.org/officeDocument/2006/relationships/hyperlink" Target="http://www.nevo.co.il/law/70301/186.a" TargetMode="External"/><Relationship Id="rId51" Type="http://schemas.openxmlformats.org/officeDocument/2006/relationships/hyperlink" Target="http://www.nevo.co.il/law/70301" TargetMode="External"/><Relationship Id="rId52" Type="http://schemas.openxmlformats.org/officeDocument/2006/relationships/hyperlink" Target="http://www.nevo.co.il/law/70301/40g" TargetMode="External"/><Relationship Id="rId53" Type="http://schemas.openxmlformats.org/officeDocument/2006/relationships/hyperlink" Target="http://www.nevo.co.il/law/70301" TargetMode="External"/><Relationship Id="rId54" Type="http://schemas.openxmlformats.org/officeDocument/2006/relationships/hyperlink" Target="http://www.nevo.co.il/links/psika/?link=&#1506;&#1508;%203091/08" TargetMode="External"/><Relationship Id="rId55" Type="http://schemas.openxmlformats.org/officeDocument/2006/relationships/hyperlink" Target="http://www.nevo.co.il/links/psika/?link=&#1506;&#1508;%207563/08" TargetMode="External"/><Relationship Id="rId56" Type="http://schemas.openxmlformats.org/officeDocument/2006/relationships/hyperlink" Target="http://www.nevo.co.il/links/psika/?link=&#1506;&#1508;%207439/08" TargetMode="External"/><Relationship Id="rId57" Type="http://schemas.openxmlformats.org/officeDocument/2006/relationships/hyperlink" Target="http://www.nevo.co.il/psika_word/elyon/08094370-h04.doc" TargetMode="External"/><Relationship Id="rId58" Type="http://schemas.openxmlformats.org/officeDocument/2006/relationships/hyperlink" Target="http://www.nevo.co.il/links/psika/?link=&#1506;&#1508;%205931/11" TargetMode="External"/><Relationship Id="rId59" Type="http://schemas.openxmlformats.org/officeDocument/2006/relationships/hyperlink" Target="http://www.nevo.co.il/law/70301" TargetMode="External"/><Relationship Id="rId60" Type="http://schemas.openxmlformats.org/officeDocument/2006/relationships/hyperlink" Target="http://www.nevo.co.il/links/psika/?link=&#1506;&#1508;%202357/13" TargetMode="External"/><Relationship Id="rId61" Type="http://schemas.openxmlformats.org/officeDocument/2006/relationships/hyperlink" Target="http://www.nevo.co.il/links/psika/?link=&#1506;&#1508;%201846/13" TargetMode="External"/><Relationship Id="rId62" Type="http://schemas.openxmlformats.org/officeDocument/2006/relationships/hyperlink" Target="http://www.nevo.co.il/links/psika/?link=&#1506;&#1508;%204815/13" TargetMode="External"/><Relationship Id="rId63" Type="http://schemas.openxmlformats.org/officeDocument/2006/relationships/hyperlink" Target="http://www.nevo.co.il/links/psika/?link=&#1506;&#1508;%205653/13" TargetMode="External"/><Relationship Id="rId64" Type="http://schemas.openxmlformats.org/officeDocument/2006/relationships/hyperlink" Target="http://www.nevo.co.il/law/70301/40c" TargetMode="External"/><Relationship Id="rId65" Type="http://schemas.openxmlformats.org/officeDocument/2006/relationships/hyperlink" Target="http://www.nevo.co.il/law/70301/40jc" TargetMode="External"/><Relationship Id="rId66" Type="http://schemas.openxmlformats.org/officeDocument/2006/relationships/hyperlink" Target="http://www.nevo.co.il/law/70301" TargetMode="External"/><Relationship Id="rId67" Type="http://schemas.openxmlformats.org/officeDocument/2006/relationships/hyperlink" Target="http://www.nevo.co.il/links/psika/?NEWPROC=&#1514;&#1508;&amp;NEWPARTA=26657&amp;NEWPARTB=03&amp;NEWPARTC=12" TargetMode="External"/><Relationship Id="rId68" Type="http://schemas.openxmlformats.org/officeDocument/2006/relationships/hyperlink" Target="http://www.nevo.co.il/links/psika/?NEWPROC=&#1514;&#1508;&amp;NEWPARTA=34583&amp;NEWPARTB=02&amp;NEWPARTC=12" TargetMode="External"/><Relationship Id="rId69" Type="http://schemas.openxmlformats.org/officeDocument/2006/relationships/hyperlink" Target="http://www.nevo.co.il/links/psika/?NEWPROC=&#1514;&#1508;&amp;NEWPARTA=50748&amp;NEWPARTB=01&amp;NEWPARTC=12" TargetMode="External"/><Relationship Id="rId70" Type="http://schemas.openxmlformats.org/officeDocument/2006/relationships/hyperlink" Target="http://www.nevo.co.il/links/psika/?NEWPROC=&#1514;&#1508;&amp;NEWPARTA=14199&amp;NEWPARTB=04&amp;NEWPARTC=12" TargetMode="External"/><Relationship Id="rId71" Type="http://schemas.openxmlformats.org/officeDocument/2006/relationships/hyperlink" Target="http://www.nevo.co.il/links/psika/?link=&#1514;&#1508;%2090/12" TargetMode="External"/><Relationship Id="rId72" Type="http://schemas.openxmlformats.org/officeDocument/2006/relationships/hyperlink" Target="http://www.nevo.co.il/law/70301/402.a" TargetMode="External"/><Relationship Id="rId73" Type="http://schemas.openxmlformats.org/officeDocument/2006/relationships/hyperlink" Target="http://www.nevo.co.il/law/70301" TargetMode="External"/><Relationship Id="rId74" Type="http://schemas.openxmlformats.org/officeDocument/2006/relationships/hyperlink" Target="http://www.nevo.co.il/law/70301/402.b" TargetMode="External"/><Relationship Id="rId75" Type="http://schemas.openxmlformats.org/officeDocument/2006/relationships/hyperlink" Target="http://www.nevo.co.il/links/psika/?link=&#1506;&#1508;%205535/12" TargetMode="External"/><Relationship Id="rId76" Type="http://schemas.openxmlformats.org/officeDocument/2006/relationships/hyperlink" Target="http://www.nevo.co.il/links/psika/?link=&#1506;&#1508;%205875/12" TargetMode="External"/><Relationship Id="rId77" Type="http://schemas.openxmlformats.org/officeDocument/2006/relationships/hyperlink" Target="http://www.nevo.co.il/links/psika/?link=&#1506;&#1508;%207560/12" TargetMode="External"/><Relationship Id="rId78" Type="http://schemas.openxmlformats.org/officeDocument/2006/relationships/hyperlink" Target="http://www.nevo.co.il/links/psika/?link=&#1506;&#1508;%20772/13" TargetMode="External"/><Relationship Id="rId79" Type="http://schemas.openxmlformats.org/officeDocument/2006/relationships/hyperlink" Target="http://www.nevo.co.il/law/70301" TargetMode="External"/><Relationship Id="rId80" Type="http://schemas.openxmlformats.org/officeDocument/2006/relationships/hyperlink" Target="http://www.nevo.co.il/links/psika/?NEWPROC=&#1514;&#1508;&amp;NEWPARTA=22977&amp;NEWPARTB=10&amp;NEWPARTC=11" TargetMode="External"/><Relationship Id="rId81" Type="http://schemas.openxmlformats.org/officeDocument/2006/relationships/hyperlink" Target="http://www.nevo.co.il/links/psika/?link=&#1506;&#1508;%204149/12" TargetMode="External"/><Relationship Id="rId82" Type="http://schemas.openxmlformats.org/officeDocument/2006/relationships/hyperlink" Target="http://www.nevo.co.il/links/psika/?NEWPROC=&#1514;&#1508;&amp;NEWPARTA=37941&amp;NEWPARTB=01&amp;NEWPARTC=12" TargetMode="External"/><Relationship Id="rId83" Type="http://schemas.openxmlformats.org/officeDocument/2006/relationships/hyperlink" Target="http://www.nevo.co.il/links/psika/?NEWPROC=&#1514;&#1508;&amp;NEWPARTA=25929&amp;NEWPARTB=10&amp;NEWPARTC=11" TargetMode="External"/><Relationship Id="rId84" Type="http://schemas.openxmlformats.org/officeDocument/2006/relationships/hyperlink" Target="http://www.nevo.co.il/law/70301" TargetMode="External"/><Relationship Id="rId85" Type="http://schemas.openxmlformats.org/officeDocument/2006/relationships/hyperlink" Target="http://www.nevo.co.il/law/70301/40c.b" TargetMode="External"/><Relationship Id="rId86" Type="http://schemas.openxmlformats.org/officeDocument/2006/relationships/hyperlink" Target="http://www.nevo.co.il/law/70301/40ja" TargetMode="External"/><Relationship Id="rId87" Type="http://schemas.openxmlformats.org/officeDocument/2006/relationships/hyperlink" Target="http://www.nevo.co.il/law/70301/40g" TargetMode="External"/><Relationship Id="rId88" Type="http://schemas.openxmlformats.org/officeDocument/2006/relationships/hyperlink" Target="http://www.nevo.co.il/law/70301" TargetMode="External"/><Relationship Id="rId89" Type="http://schemas.openxmlformats.org/officeDocument/2006/relationships/hyperlink" Target="http://www.nevo.co.il/law/70301" TargetMode="External"/><Relationship Id="rId90" Type="http://schemas.openxmlformats.org/officeDocument/2006/relationships/hyperlink" Target="http://www.nevo.co.il/law/70301" TargetMode="External"/><Relationship Id="rId91" Type="http://schemas.openxmlformats.org/officeDocument/2006/relationships/hyperlink" Target="http://www.nevo.co.il/links/psika/?link=&#1506;&#1508;%208641/12" TargetMode="External"/><Relationship Id="rId92" Type="http://schemas.openxmlformats.org/officeDocument/2006/relationships/hyperlink" Target="http://www.nevo.co.il/law/70301/40jc" TargetMode="External"/><Relationship Id="rId93" Type="http://schemas.openxmlformats.org/officeDocument/2006/relationships/hyperlink" Target="http://www.nevo.co.il/law/70301" TargetMode="External"/><Relationship Id="rId94" Type="http://schemas.openxmlformats.org/officeDocument/2006/relationships/hyperlink" Target="http://www.nevo.co.il/law/70301/40jc.a" TargetMode="External"/><Relationship Id="rId95" Type="http://schemas.openxmlformats.org/officeDocument/2006/relationships/hyperlink" Target="http://www.nevo.co.il/law/70301/40jc.b" TargetMode="External"/><Relationship Id="rId96" Type="http://schemas.openxmlformats.org/officeDocument/2006/relationships/hyperlink" Target="http://www.nevo.co.il/law/70301/40jd.1" TargetMode="External"/><Relationship Id="rId97" Type="http://schemas.openxmlformats.org/officeDocument/2006/relationships/hyperlink" Target="http://www.nevo.co.il/law/70301/40c.a" TargetMode="External"/><Relationship Id="rId98" Type="http://schemas.openxmlformats.org/officeDocument/2006/relationships/hyperlink" Target="http://www.nevo.co.il/law/70301" TargetMode="External"/><Relationship Id="rId99" Type="http://schemas.openxmlformats.org/officeDocument/2006/relationships/hyperlink" Target="http://www.nevo.co.il/law/70301/40i" TargetMode="External"/><Relationship Id="rId100" Type="http://schemas.openxmlformats.org/officeDocument/2006/relationships/hyperlink" Target="http://www.nevo.co.il/law/70301" TargetMode="External"/><Relationship Id="rId101" Type="http://schemas.openxmlformats.org/officeDocument/2006/relationships/hyperlink" Target="http://www.nevo.co.il/links/psika/?link=&#1506;&#1508;%207655/12" TargetMode="External"/><Relationship Id="rId102" Type="http://schemas.openxmlformats.org/officeDocument/2006/relationships/hyperlink" Target="http://www.nevo.co.il/links/psika/?link=&#1512;&#1506;&#1508;%204088/13" TargetMode="External"/><Relationship Id="rId103" Type="http://schemas.openxmlformats.org/officeDocument/2006/relationships/hyperlink" Target="http://www.nevo.co.il/safrut/book/14971" TargetMode="External"/><Relationship Id="rId104" Type="http://schemas.openxmlformats.org/officeDocument/2006/relationships/hyperlink" Target="http://www.nevo.co.il/links/psika/?link=&#1506;&#1508;%201323/13" TargetMode="External"/><Relationship Id="rId105" Type="http://schemas.openxmlformats.org/officeDocument/2006/relationships/hyperlink" Target="http://www.nevo.co.il/law/70301/40ja" TargetMode="External"/><Relationship Id="rId106" Type="http://schemas.openxmlformats.org/officeDocument/2006/relationships/hyperlink" Target="http://www.nevo.co.il/law/70301" TargetMode="External"/><Relationship Id="rId107" Type="http://schemas.openxmlformats.org/officeDocument/2006/relationships/hyperlink" Target="http://www.nevo.co.il/law/70301/40c.b" TargetMode="External"/><Relationship Id="rId108" Type="http://schemas.openxmlformats.org/officeDocument/2006/relationships/hyperlink" Target="http://www.nevo.co.il/law/70301/40ja" TargetMode="External"/><Relationship Id="rId109" Type="http://schemas.openxmlformats.org/officeDocument/2006/relationships/hyperlink" Target="http://www.nevo.co.il/law/70301/40d" TargetMode="External"/><Relationship Id="rId110" Type="http://schemas.openxmlformats.org/officeDocument/2006/relationships/hyperlink" Target="http://www.nevo.co.il/law/70301/40e" TargetMode="External"/><Relationship Id="rId111" Type="http://schemas.openxmlformats.org/officeDocument/2006/relationships/hyperlink" Target="http://www.nevo.co.il/law/70301" TargetMode="External"/><Relationship Id="rId112" Type="http://schemas.openxmlformats.org/officeDocument/2006/relationships/hyperlink" Target="http://www.nevo.co.il/law/70301/40f" TargetMode="External"/><Relationship Id="rId113" Type="http://schemas.openxmlformats.org/officeDocument/2006/relationships/hyperlink" Target="http://www.nevo.co.il/law/70301/40g" TargetMode="External"/><Relationship Id="rId114" Type="http://schemas.openxmlformats.org/officeDocument/2006/relationships/hyperlink" Target="http://www.nevo.co.il/law/70301/402.b" TargetMode="External"/><Relationship Id="rId115" Type="http://schemas.openxmlformats.org/officeDocument/2006/relationships/hyperlink" Target="http://www.nevo.co.il/law/70301/499" TargetMode="External"/><Relationship Id="rId116" Type="http://schemas.openxmlformats.org/officeDocument/2006/relationships/hyperlink" Target="http://www.nevo.co.il/links/psika/?link=&#1506;&#1508;%203027/13" TargetMode="External"/><Relationship Id="rId117" Type="http://schemas.openxmlformats.org/officeDocument/2006/relationships/hyperlink" Target="http://www.nevo.co.il/links/psika/?link=&#1506;&#1508;%203160/12" TargetMode="External"/><Relationship Id="rId118" Type="http://schemas.openxmlformats.org/officeDocument/2006/relationships/hyperlink" Target="http://www.nevo.co.il/law/70301" TargetMode="External"/><Relationship Id="rId119" Type="http://schemas.openxmlformats.org/officeDocument/2006/relationships/hyperlink" Target="http://www.nevo.co.il/law/70301" TargetMode="External"/><Relationship Id="rId120" Type="http://schemas.openxmlformats.org/officeDocument/2006/relationships/hyperlink" Target="http://www.nevo.co.il/law/70301" TargetMode="External"/><Relationship Id="rId121" Type="http://schemas.openxmlformats.org/officeDocument/2006/relationships/hyperlink" Target="http://www.nevo.co.il/law/70301/40jb" TargetMode="External"/><Relationship Id="rId122" Type="http://schemas.openxmlformats.org/officeDocument/2006/relationships/hyperlink" Target="http://www.nevo.co.il/law/70301/40ja" TargetMode="External"/><Relationship Id="rId123" Type="http://schemas.openxmlformats.org/officeDocument/2006/relationships/hyperlink" Target="http://www.nevo.co.il/law/70301/40ja.1" TargetMode="External"/><Relationship Id="rId124" Type="http://schemas.openxmlformats.org/officeDocument/2006/relationships/hyperlink" Target="http://www.nevo.co.il/links/psika/?link=&#1506;&#1508;%207781/12" TargetMode="External"/><Relationship Id="rId125" Type="http://schemas.openxmlformats.org/officeDocument/2006/relationships/hyperlink" Target="http://www.nevo.co.il/law/70301/40ja.11" TargetMode="External"/><Relationship Id="rId126" Type="http://schemas.openxmlformats.org/officeDocument/2006/relationships/hyperlink" Target="http://www.nevo.co.il/law/70301/40ja.8" TargetMode="External"/><Relationship Id="rId127" Type="http://schemas.openxmlformats.org/officeDocument/2006/relationships/hyperlink" Target="http://www.nevo.co.il/law/70301/40jb" TargetMode="External"/><Relationship Id="rId128" Type="http://schemas.openxmlformats.org/officeDocument/2006/relationships/hyperlink" Target="http://www.nevo.co.il/law/70301/40jc.c" TargetMode="External"/><Relationship Id="rId129" Type="http://schemas.openxmlformats.org/officeDocument/2006/relationships/hyperlink" Target="http://www.court.gov.il/" TargetMode="External"/><Relationship Id="rId130" Type="http://schemas.openxmlformats.org/officeDocument/2006/relationships/hyperlink" Target="http://www.nevo.co.il/advertisements/nevo-100.doc" TargetMode="External"/><Relationship Id="rId131" Type="http://schemas.openxmlformats.org/officeDocument/2006/relationships/header" Target="header1.xml"/><Relationship Id="rId132" Type="http://schemas.openxmlformats.org/officeDocument/2006/relationships/footer" Target="footer1.xml"/><Relationship Id="rId133" Type="http://schemas.openxmlformats.org/officeDocument/2006/relationships/numbering" Target="numbering.xml"/><Relationship Id="rId134" Type="http://schemas.openxmlformats.org/officeDocument/2006/relationships/fontTable" Target="fontTable.xml"/><Relationship Id="rId135" Type="http://schemas.openxmlformats.org/officeDocument/2006/relationships/settings" Target="settings.xml"/><Relationship Id="rId13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13011270.H01.doc</Template>
  <TotalTime>6</TotalTime>
  <Application>LibreOffice/24.8.4.2$MacOSX_AARCH64 LibreOffice_project/bb3cfa12c7b1bf994ecc5649a80400d06cd71002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2014-01-16T12:43:00Z</dcterms:created>
  <dc:creator> </dc:creator>
  <dc:description/>
  <cp:keywords/>
  <dc:language>en-IL</dc:language>
  <cp:lastModifiedBy>orly</cp:lastModifiedBy>
  <cp:lastPrinted>2014-01-15T12:41:00Z</cp:lastPrinted>
  <dcterms:modified xsi:type="dcterms:W3CDTF">2014-01-16T13:12:00Z</dcterms:modified>
  <cp:revision>3</cp:revision>
  <dc:subject> </dc:subject>
  <dc:title>nevo.co.il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LLANT">
    <vt:lpwstr>עמאואל גברזגיי</vt:lpwstr>
  </property>
  <property fmtid="{D5CDD505-2E9C-101B-9397-08002B2CF9AE}" pid="3" name="APPELLANT1">
    <vt:lpwstr/>
  </property>
  <property fmtid="{D5CDD505-2E9C-101B-9397-08002B2CF9AE}" pid="4" name="APPELLANT2">
    <vt:lpwstr/>
  </property>
  <property fmtid="{D5CDD505-2E9C-101B-9397-08002B2CF9AE}" pid="5" name="APPELLEE">
    <vt:lpwstr>מדינת ישראל</vt:lpwstr>
  </property>
  <property fmtid="{D5CDD505-2E9C-101B-9397-08002B2CF9AE}" pid="6" name="APPELLEE1">
    <vt:lpwstr/>
  </property>
  <property fmtid="{D5CDD505-2E9C-101B-9397-08002B2CF9AE}" pid="7" name="APPELLEE2">
    <vt:lpwstr/>
  </property>
  <property fmtid="{D5CDD505-2E9C-101B-9397-08002B2CF9AE}" pid="8" name="CITY">
    <vt:lpwstr/>
  </property>
  <property fmtid="{D5CDD505-2E9C-101B-9397-08002B2CF9AE}" pid="9" name="DATE">
    <vt:lpwstr>20140115</vt:lpwstr>
  </property>
  <property fmtid="{D5CDD505-2E9C-101B-9397-08002B2CF9AE}" pid="10" name="DELEMATA">
    <vt:lpwstr/>
  </property>
  <property fmtid="{D5CDD505-2E9C-101B-9397-08002B2CF9AE}" pid="11" name="ISABSTRACT">
    <vt:lpwstr>Y</vt:lpwstr>
  </property>
  <property fmtid="{D5CDD505-2E9C-101B-9397-08002B2CF9AE}" pid="12" name="JUDGE">
    <vt:lpwstr>ס' ג'ובראן;ח' מלצר;צ' זילברטל</vt:lpwstr>
  </property>
  <property fmtid="{D5CDD505-2E9C-101B-9397-08002B2CF9AE}" pid="13" name="LAWLISTTMP1">
    <vt:lpwstr>70301/499.a.1;402.b;186.a;040g;040c;40jc;402.a;040c.b;40ja;40jc.a;40jc.b;40jd.1;040c.a;040i;040d;040e;040f;499;40jb;40ja.1;40ja.11;40ja.8;40jc.c</vt:lpwstr>
  </property>
  <property fmtid="{D5CDD505-2E9C-101B-9397-08002B2CF9AE}" pid="14" name="LAWYER">
    <vt:lpwstr>חיים שוויצר;ניר אלפסה</vt:lpwstr>
  </property>
  <property fmtid="{D5CDD505-2E9C-101B-9397-08002B2CF9AE}" pid="15" name="LINKK1">
    <vt:lpwstr/>
  </property>
  <property fmtid="{D5CDD505-2E9C-101B-9397-08002B2CF9AE}" pid="16" name="LINKK2">
    <vt:lpwstr/>
  </property>
  <property fmtid="{D5CDD505-2E9C-101B-9397-08002B2CF9AE}" pid="17" name="LINKK3">
    <vt:lpwstr/>
  </property>
  <property fmtid="{D5CDD505-2E9C-101B-9397-08002B2CF9AE}" pid="18" name="LINKK4">
    <vt:lpwstr/>
  </property>
  <property fmtid="{D5CDD505-2E9C-101B-9397-08002B2CF9AE}" pid="19" name="LINKK5">
    <vt:lpwstr/>
  </property>
  <property fmtid="{D5CDD505-2E9C-101B-9397-08002B2CF9AE}" pid="20" name="METAKZER">
    <vt:lpwstr>נעה</vt:lpwstr>
  </property>
  <property fmtid="{D5CDD505-2E9C-101B-9397-08002B2CF9AE}" pid="21" name="NEWPARTA">
    <vt:lpwstr/>
  </property>
  <property fmtid="{D5CDD505-2E9C-101B-9397-08002B2CF9AE}" pid="22" name="NEWPARTB">
    <vt:lpwstr/>
  </property>
  <property fmtid="{D5CDD505-2E9C-101B-9397-08002B2CF9AE}" pid="23" name="NEWPARTC">
    <vt:lpwstr/>
  </property>
  <property fmtid="{D5CDD505-2E9C-101B-9397-08002B2CF9AE}" pid="24" name="NEWPROC">
    <vt:lpwstr/>
  </property>
  <property fmtid="{D5CDD505-2E9C-101B-9397-08002B2CF9AE}" pid="25" name="NOSE11">
    <vt:lpwstr>עונשין</vt:lpwstr>
  </property>
  <property fmtid="{D5CDD505-2E9C-101B-9397-08002B2CF9AE}" pid="26" name="NOSE110">
    <vt:lpwstr/>
  </property>
  <property fmtid="{D5CDD505-2E9C-101B-9397-08002B2CF9AE}" pid="27" name="NOSE12">
    <vt:lpwstr>בתי-משפט</vt:lpwstr>
  </property>
  <property fmtid="{D5CDD505-2E9C-101B-9397-08002B2CF9AE}" pid="28" name="NOSE13">
    <vt:lpwstr>עונשין</vt:lpwstr>
  </property>
  <property fmtid="{D5CDD505-2E9C-101B-9397-08002B2CF9AE}" pid="29" name="NOSE14">
    <vt:lpwstr>עונשין</vt:lpwstr>
  </property>
  <property fmtid="{D5CDD505-2E9C-101B-9397-08002B2CF9AE}" pid="30" name="NOSE15">
    <vt:lpwstr/>
  </property>
  <property fmtid="{D5CDD505-2E9C-101B-9397-08002B2CF9AE}" pid="31" name="NOSE16">
    <vt:lpwstr/>
  </property>
  <property fmtid="{D5CDD505-2E9C-101B-9397-08002B2CF9AE}" pid="32" name="NOSE17">
    <vt:lpwstr/>
  </property>
  <property fmtid="{D5CDD505-2E9C-101B-9397-08002B2CF9AE}" pid="33" name="NOSE18">
    <vt:lpwstr/>
  </property>
  <property fmtid="{D5CDD505-2E9C-101B-9397-08002B2CF9AE}" pid="34" name="NOSE19">
    <vt:lpwstr/>
  </property>
  <property fmtid="{D5CDD505-2E9C-101B-9397-08002B2CF9AE}" pid="35" name="NOSE1ID">
    <vt:lpwstr>77;14;77;77</vt:lpwstr>
  </property>
  <property fmtid="{D5CDD505-2E9C-101B-9397-08002B2CF9AE}" pid="36" name="NOSE21">
    <vt:lpwstr>ענישה</vt:lpwstr>
  </property>
  <property fmtid="{D5CDD505-2E9C-101B-9397-08002B2CF9AE}" pid="37" name="NOSE210">
    <vt:lpwstr/>
  </property>
  <property fmtid="{D5CDD505-2E9C-101B-9397-08002B2CF9AE}" pid="38" name="NOSE22">
    <vt:lpwstr>ערעור</vt:lpwstr>
  </property>
  <property fmtid="{D5CDD505-2E9C-101B-9397-08002B2CF9AE}" pid="39" name="NOSE23">
    <vt:lpwstr>עבירות</vt:lpwstr>
  </property>
  <property fmtid="{D5CDD505-2E9C-101B-9397-08002B2CF9AE}" pid="40" name="NOSE24">
    <vt:lpwstr>ענישה</vt:lpwstr>
  </property>
  <property fmtid="{D5CDD505-2E9C-101B-9397-08002B2CF9AE}" pid="41" name="NOSE25">
    <vt:lpwstr/>
  </property>
  <property fmtid="{D5CDD505-2E9C-101B-9397-08002B2CF9AE}" pid="42" name="NOSE26">
    <vt:lpwstr/>
  </property>
  <property fmtid="{D5CDD505-2E9C-101B-9397-08002B2CF9AE}" pid="43" name="NOSE27">
    <vt:lpwstr/>
  </property>
  <property fmtid="{D5CDD505-2E9C-101B-9397-08002B2CF9AE}" pid="44" name="NOSE28">
    <vt:lpwstr/>
  </property>
  <property fmtid="{D5CDD505-2E9C-101B-9397-08002B2CF9AE}" pid="45" name="NOSE29">
    <vt:lpwstr/>
  </property>
  <property fmtid="{D5CDD505-2E9C-101B-9397-08002B2CF9AE}" pid="46" name="NOSE2ID">
    <vt:lpwstr>1446;333;1443;1446</vt:lpwstr>
  </property>
  <property fmtid="{D5CDD505-2E9C-101B-9397-08002B2CF9AE}" pid="47" name="NOSE31">
    <vt:lpwstr>תיקון 113</vt:lpwstr>
  </property>
  <property fmtid="{D5CDD505-2E9C-101B-9397-08002B2CF9AE}" pid="48" name="NOSE310">
    <vt:lpwstr/>
  </property>
  <property fmtid="{D5CDD505-2E9C-101B-9397-08002B2CF9AE}" pid="49" name="NOSE32">
    <vt:lpwstr>התערבות במידת העונש</vt:lpwstr>
  </property>
  <property fmtid="{D5CDD505-2E9C-101B-9397-08002B2CF9AE}" pid="50" name="NOSE33">
    <vt:lpwstr>שוד בנסיבות מחמירות</vt:lpwstr>
  </property>
  <property fmtid="{D5CDD505-2E9C-101B-9397-08002B2CF9AE}" pid="51" name="NOSE34">
    <vt:lpwstr>מתחם הענישה</vt:lpwstr>
  </property>
  <property fmtid="{D5CDD505-2E9C-101B-9397-08002B2CF9AE}" pid="52" name="NOSE35">
    <vt:lpwstr/>
  </property>
  <property fmtid="{D5CDD505-2E9C-101B-9397-08002B2CF9AE}" pid="53" name="NOSE36">
    <vt:lpwstr/>
  </property>
  <property fmtid="{D5CDD505-2E9C-101B-9397-08002B2CF9AE}" pid="54" name="NOSE37">
    <vt:lpwstr/>
  </property>
  <property fmtid="{D5CDD505-2E9C-101B-9397-08002B2CF9AE}" pid="55" name="NOSE38">
    <vt:lpwstr/>
  </property>
  <property fmtid="{D5CDD505-2E9C-101B-9397-08002B2CF9AE}" pid="56" name="NOSE39">
    <vt:lpwstr/>
  </property>
  <property fmtid="{D5CDD505-2E9C-101B-9397-08002B2CF9AE}" pid="57" name="NOSE3ID">
    <vt:lpwstr>15240;2708;11375;14985</vt:lpwstr>
  </property>
  <property fmtid="{D5CDD505-2E9C-101B-9397-08002B2CF9AE}" pid="58" name="PADIDATE">
    <vt:lpwstr>20140116</vt:lpwstr>
  </property>
  <property fmtid="{D5CDD505-2E9C-101B-9397-08002B2CF9AE}" pid="59" name="PADIMAIL">
    <vt:lpwstr>YES</vt:lpwstr>
  </property>
  <property fmtid="{D5CDD505-2E9C-101B-9397-08002B2CF9AE}" pid="60" name="PAGE">
    <vt:lpwstr/>
  </property>
  <property fmtid="{D5CDD505-2E9C-101B-9397-08002B2CF9AE}" pid="61" name="PART">
    <vt:lpwstr/>
  </property>
  <property fmtid="{D5CDD505-2E9C-101B-9397-08002B2CF9AE}" pid="62" name="PROCESS">
    <vt:lpwstr>עפ</vt:lpwstr>
  </property>
  <property fmtid="{D5CDD505-2E9C-101B-9397-08002B2CF9AE}" pid="63" name="PROCNUM">
    <vt:lpwstr>1127</vt:lpwstr>
  </property>
  <property fmtid="{D5CDD505-2E9C-101B-9397-08002B2CF9AE}" pid="64" name="PROCYEAR">
    <vt:lpwstr>13</vt:lpwstr>
  </property>
  <property fmtid="{D5CDD505-2E9C-101B-9397-08002B2CF9AE}" pid="65" name="PSAKDIN">
    <vt:lpwstr>פסק-דין</vt:lpwstr>
  </property>
  <property fmtid="{D5CDD505-2E9C-101B-9397-08002B2CF9AE}" pid="66" name="TYPE">
    <vt:lpwstr>1</vt:lpwstr>
  </property>
  <property fmtid="{D5CDD505-2E9C-101B-9397-08002B2CF9AE}" pid="67" name="TYPE_ABS_DATE">
    <vt:lpwstr>410120140115</vt:lpwstr>
  </property>
  <property fmtid="{D5CDD505-2E9C-101B-9397-08002B2CF9AE}" pid="68" name="TYPE_N_DATE">
    <vt:lpwstr>41020140115</vt:lpwstr>
  </property>
  <property fmtid="{D5CDD505-2E9C-101B-9397-08002B2CF9AE}" pid="69" name="VOLUME">
    <vt:lpwstr/>
  </property>
  <property fmtid="{D5CDD505-2E9C-101B-9397-08002B2CF9AE}" pid="70" name="WORDNUMPAGES">
    <vt:lpwstr>18</vt:lpwstr>
  </property>
</Properties>
</file>