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bidi/>
        <w:spacing w:after="100"/>
      </w:pPr>
      <w:r>
        <w:rPr>
          <w:rFonts w:ascii="Times New Roman" w:hAnsi="Times New Roman" w:cs="Times New Roman"/>
          <w:sz w:val="24"/>
          <w:sz-cs w:val="24"/>
        </w:rPr>
        <w:t xml:space="preserve">ערעור פלילי  04 / 1332</w:t>
      </w:r>
    </w:p>
    <w:p>
      <w:pPr>
        <w:bidi/>
        <w:spacing w:after="240"/>
      </w:pPr>
      <w:r>
        <w:rPr>
          <w:rFonts w:ascii="Times New Roman" w:hAnsi="Times New Roman" w:cs="Times New Roman"/>
          <w:sz w:val="24"/>
          <w:sz-cs w:val="24"/>
        </w:rPr>
        <w:t xml:space="preserve">ערעור פלילי  04 / 1530</w:t>
      </w:r>
    </w:p>
    <w:p>
      <w:pPr>
        <w:jc w:val="both"/>
        <w:bidi/>
        <w:spacing w:after="100"/>
      </w:pPr>
      <w:r>
        <w:rPr>
          <w:rFonts w:ascii="Times New Roman" w:hAnsi="Times New Roman" w:cs="Times New Roman"/>
          <w:sz w:val="22"/>
          <w:sz-cs w:val="22"/>
        </w:rPr>
        <w:t xml:space="preserve">מדינת ישראל</w:t>
      </w:r>
    </w:p>
    <w:p>
      <w:pPr>
        <w:jc w:val="both"/>
        <w:bidi/>
        <w:spacing w:after="100"/>
      </w:pPr>
      <w:r>
        <w:rPr>
          <w:rFonts w:ascii="Times New Roman" w:hAnsi="Times New Roman" w:cs="Times New Roman"/>
          <w:sz w:val="22"/>
          <w:sz-cs w:val="22"/>
        </w:rPr>
        <w:t xml:space="preserve">נגד</w:t>
      </w:r>
    </w:p>
    <w:p>
      <w:pPr>
        <w:jc w:val="both"/>
        <w:bidi/>
        <w:spacing w:after="100"/>
      </w:pPr>
      <w:r>
        <w:rPr>
          <w:rFonts w:ascii="Times New Roman" w:hAnsi="Times New Roman" w:cs="Times New Roman"/>
          <w:sz w:val="22"/>
          <w:sz-cs w:val="22"/>
        </w:rPr>
        <w:t xml:space="preserve">1. יצחק רפאל פס</w:t>
      </w:r>
    </w:p>
    <w:p>
      <w:pPr>
        <w:jc w:val="both"/>
        <w:bidi/>
        <w:spacing w:after="360"/>
      </w:pPr>
      <w:r>
        <w:rPr>
          <w:rFonts w:ascii="Times New Roman" w:hAnsi="Times New Roman" w:cs="Times New Roman"/>
          <w:sz w:val="22"/>
          <w:sz-cs w:val="22"/>
        </w:rPr>
        <w:t xml:space="preserve">2. מתתיהו שבו</w:t>
        <w:tab/>
        <w:t xml:space="preserve"/>
        <w:tab/>
        <w:t xml:space="preserve"/>
        <w:tab/>
        <w:t xml:space="preserve"/>
        <w:tab/>
        <w:t xml:space="preserve"/>
        <w:tab/>
        <w:t xml:space="preserve">ע"פ 1332/04</w:t>
      </w:r>
    </w:p>
    <w:p>
      <w:pPr>
        <w:jc w:val="both"/>
        <w:bidi/>
        <w:spacing w:after="100"/>
      </w:pPr>
      <w:r>
        <w:rPr>
          <w:rFonts w:ascii="Times New Roman" w:hAnsi="Times New Roman" w:cs="Times New Roman"/>
          <w:sz w:val="22"/>
          <w:sz-cs w:val="22"/>
        </w:rPr>
        <w:t xml:space="preserve">מתתיהו שבו</w:t>
      </w:r>
    </w:p>
    <w:p>
      <w:pPr>
        <w:jc w:val="both"/>
        <w:bidi/>
        <w:spacing w:after="100"/>
      </w:pPr>
      <w:r>
        <w:rPr>
          <w:rFonts w:ascii="Times New Roman" w:hAnsi="Times New Roman" w:cs="Times New Roman"/>
          <w:sz w:val="22"/>
          <w:sz-cs w:val="22"/>
        </w:rPr>
        <w:t xml:space="preserve">נגד </w:t>
      </w:r>
    </w:p>
    <w:p>
      <w:pPr>
        <w:jc w:val="both"/>
        <w:bidi/>
        <w:spacing w:after="100"/>
      </w:pPr>
      <w:r>
        <w:rPr>
          <w:rFonts w:ascii="Times New Roman" w:hAnsi="Times New Roman" w:cs="Times New Roman"/>
          <w:sz w:val="22"/>
          <w:sz-cs w:val="22"/>
        </w:rPr>
        <w:t xml:space="preserve">מדינת ישראל</w:t>
        <w:tab/>
        <w:t xml:space="preserve"/>
        <w:tab/>
        <w:t xml:space="preserve"/>
        <w:tab/>
        <w:t xml:space="preserve"/>
        <w:tab/>
        <w:t xml:space="preserve"/>
        <w:tab/>
        <w:t xml:space="preserve">ע"פ 1530/04</w:t>
      </w:r>
    </w:p>
    <w:p>
      <w:pPr>
        <w:jc w:val="center"/>
        <w:bidi/>
        <w:spacing w:before="360"/>
      </w:pPr>
      <w:r>
        <w:rPr>
          <w:rFonts w:ascii="Times New Roman" w:hAnsi="Times New Roman" w:cs="Times New Roman"/>
          <w:sz w:val="24"/>
          <w:sz-cs w:val="24"/>
        </w:rPr>
        <w:t xml:space="preserve">בבית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המשפט העליון בשבתו כבית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משפט לערעורים פליליים</w:t>
      </w:r>
    </w:p>
    <w:p>
      <w:pPr>
        <w:jc w:val="center"/>
        <w:bidi/>
        <w:spacing w:after="120"/>
      </w:pPr>
      <w:r>
        <w:rPr>
          <w:rFonts w:ascii="Times New Roman" w:hAnsi="Times New Roman" w:cs="Times New Roman"/>
          <w:sz w:val="24"/>
          <w:sz-cs w:val="24"/>
        </w:rPr>
        <w:t xml:space="preserve">[19.4.2004]</w:t>
      </w:r>
    </w:p>
    <w:p>
      <w:pPr>
        <w:jc w:val="center"/>
        <w:bidi/>
        <w:spacing w:after="360"/>
      </w:pPr>
      <w:r>
        <w:rPr>
          <w:rFonts w:ascii="Times New Roman" w:hAnsi="Times New Roman" w:cs="Times New Roman"/>
          <w:sz w:val="24"/>
          <w:sz-cs w:val="24"/>
        </w:rPr>
        <w:t xml:space="preserve">לפני השופטים</w:t>
      </w:r>
      <w:r>
        <w:rPr>
          <w:rFonts w:ascii="Times New Roman" w:hAnsi="Times New Roman" w:cs="Times New Roman"/>
          <w:sz w:val="24"/>
          <w:sz-cs w:val="24"/>
          <w:spacing w:val="20"/>
        </w:rPr>
        <w:t xml:space="preserve"> ד' ביניש, א' ריבלין, ס' ג'ובראן</w:t>
      </w:r>
      <w:r>
        <w:rPr>
          <w:rFonts w:ascii="Times New Roman" w:hAnsi="Times New Roman" w:cs="Times New Roman"/>
          <w:sz w:val="24"/>
          <w:sz-cs w:val="24"/>
        </w:rPr>
        <w:t xml:space="preserve"/>
      </w:r>
    </w:p>
    <w:p>
      <w:pPr>
        <w:jc w:val="both"/>
        <w:bidi/>
      </w:pPr>
      <w:r>
        <w:rPr>
          <w:rFonts w:ascii="Times New Roman" w:hAnsi="Times New Roman" w:cs="Times New Roman"/>
          <w:sz w:val="22"/>
          <w:sz-cs w:val="22"/>
        </w:rPr>
        <w:t xml:space="preserve">בית</w:t>
      </w:r>
      <w:r>
        <w:rPr>
          <w:rFonts w:ascii="Times New Roman" w:hAnsi="Times New Roman" w:cs="Times New Roman"/>
          <w:sz w:val="18"/>
          <w:sz-cs w:val="18"/>
          <w:position w:val="3"/>
        </w:rPr>
        <w:t xml:space="preserve">-</w:t>
      </w:r>
      <w:r>
        <w:rPr>
          <w:rFonts w:ascii="Times New Roman" w:hAnsi="Times New Roman" w:cs="Times New Roman"/>
          <w:sz w:val="22"/>
          <w:sz-cs w:val="22"/>
        </w:rPr>
        <w:t xml:space="preserve">המשפט המחוזי הרשיע את המשיבים בעבירות של נשיאת נשק וקבלת נכסים שהושגו בפשע לאחר שהובילו ברכבם לבנות חבלה שנגנבו מצה"ל. בית</w:t>
      </w:r>
      <w:r>
        <w:rPr>
          <w:rFonts w:ascii="Times New Roman" w:hAnsi="Times New Roman" w:cs="Times New Roman"/>
          <w:sz w:val="18"/>
          <w:sz-cs w:val="18"/>
          <w:position w:val="3"/>
        </w:rPr>
        <w:t xml:space="preserve">-</w:t>
      </w:r>
      <w:r>
        <w:rPr>
          <w:rFonts w:ascii="Times New Roman" w:hAnsi="Times New Roman" w:cs="Times New Roman"/>
          <w:sz w:val="22"/>
          <w:sz-cs w:val="22"/>
        </w:rPr>
        <w:t xml:space="preserve">המשפט קבע כי יש להטיל עונש המאזן בין נסיבותיהם האישיות של המשיבים לבין הצורך בהרתעה וגזר את עונשם ל</w:t>
      </w:r>
      <w:r>
        <w:rPr>
          <w:rFonts w:ascii="Times New Roman" w:hAnsi="Times New Roman" w:cs="Times New Roman"/>
          <w:sz w:val="18"/>
          <w:sz-cs w:val="18"/>
          <w:position w:val="3"/>
        </w:rPr>
        <w:t xml:space="preserve">-</w:t>
      </w:r>
      <w:r>
        <w:rPr>
          <w:rFonts w:ascii="Times New Roman" w:hAnsi="Times New Roman" w:cs="Times New Roman"/>
          <w:sz w:val="22"/>
          <w:sz-cs w:val="22"/>
        </w:rPr>
        <w:t xml:space="preserve">15 חודשי מאסר בפועל ול</w:t>
      </w:r>
      <w:r>
        <w:rPr>
          <w:rFonts w:ascii="Times New Roman" w:hAnsi="Times New Roman" w:cs="Times New Roman"/>
          <w:sz w:val="18"/>
          <w:sz-cs w:val="18"/>
          <w:position w:val="3"/>
        </w:rPr>
        <w:t xml:space="preserve">-</w:t>
      </w:r>
      <w:r>
        <w:rPr>
          <w:rFonts w:ascii="Times New Roman" w:hAnsi="Times New Roman" w:cs="Times New Roman"/>
          <w:sz w:val="22"/>
          <w:sz-cs w:val="22"/>
        </w:rPr>
        <w:t xml:space="preserve">18 חודשי מאסר על</w:t>
      </w:r>
      <w:r>
        <w:rPr>
          <w:rFonts w:ascii="Times New Roman" w:hAnsi="Times New Roman" w:cs="Times New Roman"/>
          <w:sz w:val="18"/>
          <w:sz-cs w:val="18"/>
          <w:position w:val="3"/>
        </w:rPr>
        <w:t xml:space="preserve">-</w:t>
      </w:r>
      <w:r>
        <w:rPr>
          <w:rFonts w:ascii="Times New Roman" w:hAnsi="Times New Roman" w:cs="Times New Roman"/>
          <w:sz w:val="22"/>
          <w:sz-cs w:val="22"/>
        </w:rPr>
        <w:t xml:space="preserve">תנאי. המדינה טוענת כי העונש שהוטל על המשיבים אינו הולם את חומרת העבירות ואת נסיבות ביצוען.</w:t>
      </w:r>
    </w:p>
    <w:p>
      <w:pPr>
        <w:jc w:val="both"/>
        <w:bidi/>
        <w:ind w:right="680"/>
        <w:spacing w:before="240"/>
      </w:pPr>
      <w:r>
        <w:rPr>
          <w:rFonts w:ascii="Times New Roman" w:hAnsi="Times New Roman" w:cs="Times New Roman"/>
          <w:sz w:val="18"/>
          <w:sz-cs w:val="18"/>
        </w:rPr>
        <w:t xml:space="preserve">בית</w:t>
      </w:r>
      <w:r>
        <w:rPr>
          <w:rFonts w:ascii="Times New Roman" w:hAnsi="Times New Roman" w:cs="Times New Roman"/>
          <w:sz w:val="18"/>
          <w:sz-cs w:val="18"/>
          <w:position w:val="3"/>
        </w:rPr>
        <w:t xml:space="preserve">-</w:t>
      </w:r>
      <w:r>
        <w:rPr>
          <w:rFonts w:ascii="Times New Roman" w:hAnsi="Times New Roman" w:cs="Times New Roman"/>
          <w:sz w:val="18"/>
          <w:sz-cs w:val="18"/>
        </w:rPr>
        <w:t xml:space="preserve">המשפט העליון פסק:</w:t>
      </w:r>
    </w:p>
    <w:p>
      <w:pPr>
        <w:jc w:val="both"/>
        <w:bidi/>
        <w:ind w:left="340" w:right="340" w:first-line="-340"/>
      </w:pPr>
      <w:r>
        <w:rPr>
          <w:rFonts w:ascii="Times New Roman" w:hAnsi="Times New Roman" w:cs="Times New Roman"/>
          <w:sz w:val="18"/>
          <w:sz-cs w:val="18"/>
        </w:rPr>
        <w:t xml:space="preserve">(1)</w:t>
        <w:tab/>
        <w:t xml:space="preserve">מידת העונש המוטל בגין עבירות המבוצעות בנשק מושפעת מפוטנציאל הסיכון הרב הטמון בנשק המוחזק שלא כדין ומהעברתו מיד ליד ללא פיקוח. בבוא בית המשפט לגזור את הדין בעבירה של החזקה ונשיאה של נשק עליו להתחשב בנסיבות שבהן באה לידי ביטוי החומרה המיוחדת שבעבירה. בין היתר ייתן בית</w:t>
      </w:r>
      <w:r>
        <w:rPr>
          <w:rFonts w:ascii="Times New Roman" w:hAnsi="Times New Roman" w:cs="Times New Roman"/>
          <w:sz w:val="18"/>
          <w:sz-cs w:val="18"/>
          <w:position w:val="3"/>
        </w:rPr>
        <w:t xml:space="preserve">-</w:t>
      </w:r>
      <w:r>
        <w:rPr>
          <w:rFonts w:ascii="Times New Roman" w:hAnsi="Times New Roman" w:cs="Times New Roman"/>
          <w:sz w:val="18"/>
          <w:sz-cs w:val="18"/>
        </w:rPr>
        <w:t xml:space="preserve">המשפט דעתו על סוג הנשק המוחזק שלא כדין, על כמותו, על התכלית שלשמה הוא מוחזק ועל הסכנה המוחשית שיעשה בו שימוש. כאשר מדובר בנשק שעל</w:t>
      </w:r>
      <w:r>
        <w:rPr>
          <w:rFonts w:ascii="Times New Roman" w:hAnsi="Times New Roman" w:cs="Times New Roman"/>
          <w:sz w:val="18"/>
          <w:sz-cs w:val="18"/>
          <w:position w:val="3"/>
        </w:rPr>
        <w:t xml:space="preserve">-</w:t>
      </w:r>
      <w:r>
        <w:rPr>
          <w:rFonts w:ascii="Times New Roman" w:hAnsi="Times New Roman" w:cs="Times New Roman"/>
          <w:sz w:val="18"/>
          <w:sz-cs w:val="18"/>
        </w:rPr>
        <w:t xml:space="preserve">פי טיבו אינו מיועד להגנה עצמית, וכל כולו נשק התקפי רב עוצמה אשר השימוש בו יכול להביא להרג ללא הבחנה, יש בעבירת ההחזקה והנשיאה של אותו נשק חומרה מיוחדת (544ג – ד).</w:t>
      </w:r>
    </w:p>
    <w:p>
      <w:pPr>
        <w:jc w:val="both"/>
        <w:bidi/>
        <w:ind w:left="340" w:right="340" w:first-line="-340"/>
      </w:pPr>
      <w:r>
        <w:rPr>
          <w:rFonts w:ascii="Times New Roman" w:hAnsi="Times New Roman" w:cs="Times New Roman"/>
          <w:sz w:val="22"/>
          <w:sz-cs w:val="22"/>
        </w:rPr>
        <w:t xml:space="preserve"/>
        <w:br w:type="page"/>
        <w:t xml:space="preserve">(2)</w:t>
        <w:tab/>
        <w:t xml:space="preserve"/>
      </w:r>
      <w:r>
        <w:rPr>
          <w:rFonts w:ascii="Times New Roman" w:hAnsi="Times New Roman" w:cs="Times New Roman"/>
          <w:sz w:val="22"/>
          <w:sz-cs w:val="22"/>
          <w:spacing w:val="-2"/>
        </w:rPr>
        <w:t xml:space="preserve">במקרה דנן </w:t>
      </w:r>
      <w:r>
        <w:rPr>
          <w:rFonts w:ascii="Times New Roman" w:hAnsi="Times New Roman" w:cs="Times New Roman"/>
          <w:sz w:val="18"/>
          <w:sz-cs w:val="18"/>
          <w:spacing w:val="-2"/>
        </w:rPr>
        <w:t xml:space="preserve">העונש שהושת על המשיבים מקל עמם במידה ניכרת ואינו נותן משקל הולם לחומרה המיוחדת שיש בהחזקה ובנשיאה של לבנות חבלה מן הסוג שנתפס ברכבם.</w:t>
      </w:r>
      <w:r>
        <w:rPr>
          <w:rFonts w:ascii="Times New Roman" w:hAnsi="Times New Roman" w:cs="Times New Roman"/>
          <w:sz w:val="22"/>
          <w:sz-cs w:val="22"/>
          <w:spacing w:val="-2"/>
        </w:rPr>
        <w:t xml:space="preserve"> מן הראוי שיהיה בעונש כדי להרתיע מנפיצות התופעה העבריינית של החזקת נשק חם מסוגים שונים, נשיאתו ושימוש בו. </w:t>
      </w:r>
      <w:r>
        <w:rPr>
          <w:rFonts w:ascii="Times New Roman" w:hAnsi="Times New Roman" w:cs="Times New Roman"/>
          <w:sz w:val="18"/>
          <w:sz-cs w:val="18"/>
          <w:spacing w:val="-2"/>
        </w:rPr>
        <w:t xml:space="preserve">על</w:t>
      </w:r>
      <w:r>
        <w:rPr>
          <w:rFonts w:ascii="Times New Roman" w:hAnsi="Times New Roman" w:cs="Times New Roman"/>
          <w:sz w:val="18"/>
          <w:sz-cs w:val="18"/>
          <w:position w:val="3"/>
          <w:spacing w:val="-2"/>
        </w:rPr>
        <w:t xml:space="preserve">-</w:t>
      </w:r>
      <w:r>
        <w:rPr>
          <w:rFonts w:ascii="Times New Roman" w:hAnsi="Times New Roman" w:cs="Times New Roman"/>
          <w:sz w:val="18"/>
          <w:sz-cs w:val="18"/>
          <w:spacing w:val="-2"/>
        </w:rPr>
        <w:t xml:space="preserve">כן יש להחמיר בעונשם של המשיבים (545ה – ו, 546א – ב)</w:t>
      </w:r>
      <w:r>
        <w:rPr>
          <w:rFonts w:ascii="Times New Roman" w:hAnsi="Times New Roman" w:cs="Times New Roman"/>
          <w:sz w:val="18"/>
          <w:sz-cs w:val="18"/>
        </w:rPr>
        <w:t xml:space="preserve">. </w:t>
      </w:r>
    </w:p>
    <w:p>
      <w:pPr>
        <w:jc w:val="both"/>
        <w:bidi/>
        <w:ind w:right="567"/>
        <w:spacing w:before="240"/>
      </w:pPr>
      <w:r>
        <w:rPr>
          <w:rFonts w:ascii="Times New Roman" w:hAnsi="Times New Roman" w:cs="Times New Roman"/>
          <w:sz w:val="24"/>
          <w:sz-cs w:val="24"/>
        </w:rPr>
        <w:t xml:space="preserve">חקיקה ראשית שאוזכרה:</w:t>
      </w:r>
    </w:p>
    <w:p>
      <w:pPr>
        <w:jc w:val="both"/>
        <w:bidi/>
        <w:ind w:right="567"/>
        <w:spacing w:after="40"/>
      </w:pPr>
      <w:r>
        <w:rPr>
          <w:rFonts w:ascii="Times New Roman" w:hAnsi="Times New Roman" w:cs="Times New Roman"/>
          <w:sz w:val="24"/>
          <w:sz-cs w:val="24"/>
        </w:rPr>
        <w:t xml:space="preserve">–</w:t>
        <w:tab/>
        <w:t xml:space="preserve"/>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תשל"ז-1977, סעיפים </w:t>
      </w:r>
      <w:r>
        <w:rPr>
          <w:rFonts w:ascii="Times New Roman" w:hAnsi="Times New Roman" w:cs="Times New Roman"/>
          <w:sz w:val="24"/>
          <w:sz-cs w:val="24"/>
          <w:u w:val="single"/>
          <w:color w:val="0000FF"/>
        </w:rPr>
        <w:t xml:space="preserve"> HYPERLINK "http://www.nevo.co.il/law/70301/144.b" 144(ב)</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"http://www.nevo.co.il/law/70301/411" 411</w:t>
      </w:r>
      <w:r>
        <w:rPr>
          <w:rFonts w:ascii="Times New Roman" w:hAnsi="Times New Roman" w:cs="Times New Roman"/>
          <w:sz w:val="24"/>
          <w:sz-cs w:val="24"/>
        </w:rPr>
        <w:t xml:space="preserve">.</w:t>
      </w:r>
    </w:p>
    <w:p>
      <w:pPr>
        <w:jc w:val="both"/>
        <w:bidi/>
        <w:ind w:right="567"/>
        <w:spacing w:before="240"/>
      </w:pPr>
      <w:r>
        <w:rPr>
          <w:rFonts w:ascii="Times New Roman" w:hAnsi="Times New Roman" w:cs="Times New Roman"/>
          <w:sz w:val="24"/>
          <w:sz-cs w:val="24"/>
        </w:rPr>
        <w:t xml:space="preserve">פסקי</w:t>
      </w:r>
      <w:r>
        <w:rPr>
          <w:rFonts w:ascii="Times New Roman" w:hAnsi="Times New Roman" w:cs="Times New Roman"/>
          <w:sz w:val="22"/>
          <w:sz-cs w:val="22"/>
          <w:position w:val="4"/>
        </w:rPr>
        <w:t xml:space="preserve">-</w:t>
      </w:r>
      <w:r>
        <w:rPr>
          <w:rFonts w:ascii="Times New Roman" w:hAnsi="Times New Roman" w:cs="Times New Roman"/>
          <w:sz w:val="24"/>
          <w:sz-cs w:val="24"/>
        </w:rPr>
        <w:t xml:space="preserve">דין של בית</w:t>
      </w:r>
      <w:r>
        <w:rPr>
          <w:rFonts w:ascii="Times New Roman" w:hAnsi="Times New Roman" w:cs="Times New Roman"/>
          <w:sz w:val="22"/>
          <w:sz-cs w:val="22"/>
          <w:position w:val="4"/>
        </w:rPr>
        <w:t xml:space="preserve">-</w:t>
      </w:r>
      <w:r>
        <w:rPr>
          <w:rFonts w:ascii="Times New Roman" w:hAnsi="Times New Roman" w:cs="Times New Roman"/>
          <w:sz w:val="24"/>
          <w:sz-cs w:val="24"/>
        </w:rPr>
        <w:t xml:space="preserve">המשפט העליון שאוזכרו:</w:t>
      </w:r>
    </w:p>
    <w:p>
      <w:pPr>
        <w:jc w:val="both"/>
        <w:bidi/>
        <w:ind w:right="567"/>
        <w:spacing w:after="40"/>
      </w:pPr>
      <w:r>
        <w:rPr>
          <w:rFonts w:ascii="Times New Roman" w:hAnsi="Times New Roman" w:cs="Times New Roman"/>
          <w:sz w:val="24"/>
          <w:sz-cs w:val="24"/>
        </w:rPr>
        <w:t xml:space="preserve">[1]</w:t>
        <w:tab/>
        <w:t xml:space="preserve"/>
      </w:r>
      <w:r>
        <w:rPr>
          <w:rFonts w:ascii="Times New Roman" w:hAnsi="Times New Roman" w:cs="Times New Roman"/>
          <w:sz w:val="24"/>
          <w:sz-cs w:val="24"/>
          <w:u w:val="single"/>
          <w:color w:val="0000FF"/>
        </w:rPr>
        <w:t xml:space="preserve">HYPERLINK "http://www.nevo.co.il/case/17929065"</w:t>
      </w:r>
      <w:r>
        <w:rPr>
          <w:rFonts w:ascii="Arial" w:hAnsi="Arial" w:cs="Arial"/>
          <w:sz w:val="24"/>
          <w:sz-cs w:val="24"/>
          <w:b/>
          <w:u w:val="single"/>
          <w:color w:val="0000FF"/>
        </w:rPr>
        <w:t xml:space="preserve">ב"ש 625/82 מחמוד נ' מדינת ישראל, פ"ד לז</w:t>
      </w:r>
      <w:r>
        <w:rPr>
          <w:rFonts w:ascii="Arial" w:hAnsi="Arial" w:cs="Arial"/>
          <w:sz w:val="24"/>
          <w:sz-cs w:val="24"/>
          <w:b/>
        </w:rPr>
        <w:t xml:space="preserve">(3) 668.</w:t>
      </w:r>
      <w:r>
        <w:rPr>
          <w:rFonts w:ascii="Times New Roman" w:hAnsi="Times New Roman" w:cs="Times New Roman"/>
          <w:sz w:val="24"/>
          <w:sz-cs w:val="24"/>
        </w:rPr>
        <w:t xml:space="preserve"/>
      </w:r>
    </w:p>
    <w:p>
      <w:pPr>
        <w:jc w:val="both"/>
        <w:bidi/>
        <w:ind w:right="567"/>
        <w:spacing w:after="40"/>
      </w:pPr>
      <w:r>
        <w:rPr>
          <w:rFonts w:ascii="Times New Roman" w:hAnsi="Times New Roman" w:cs="Times New Roman"/>
          <w:sz w:val="24"/>
          <w:sz-cs w:val="24"/>
        </w:rPr>
        <w:t xml:space="preserve">[2]</w:t>
        <w:tab/>
        <w:t xml:space="preserve"/>
      </w:r>
      <w:r>
        <w:rPr>
          <w:rFonts w:ascii="Times New Roman" w:hAnsi="Times New Roman" w:cs="Times New Roman"/>
          <w:sz w:val="24"/>
          <w:sz-cs w:val="24"/>
          <w:u w:val="single"/>
          <w:color w:val="0000FF"/>
        </w:rPr>
        <w:t xml:space="preserve">HYPERLINK "http://www.nevo.co.il/case/6180713"</w:t>
      </w:r>
      <w:r>
        <w:rPr>
          <w:rFonts w:ascii="Times New Roman" w:hAnsi="Times New Roman" w:cs="Times New Roman"/>
          <w:sz w:val="24"/>
          <w:sz-cs w:val="24"/>
          <w:u w:val="single"/>
          <w:color w:val="0000FF"/>
        </w:rPr>
        <w:t xml:space="preserve">ע"פ 11448/03</w:t>
      </w:r>
      <w:r>
        <w:rPr>
          <w:rFonts w:ascii="Times New Roman" w:hAnsi="Times New Roman" w:cs="Times New Roman"/>
          <w:sz w:val="24"/>
          <w:sz-cs w:val="24"/>
        </w:rPr>
        <w:t xml:space="preserve"> מדינת ישראל נ' גרבאן (לא פורסם).</w:t>
      </w:r>
    </w:p>
    <w:p>
      <w:pPr>
        <w:jc w:val="both"/>
        <w:bidi/>
        <w:ind w:right="567"/>
        <w:spacing w:after="40"/>
      </w:pPr>
      <w:r>
        <w:rPr>
          <w:rFonts w:ascii="Times New Roman" w:hAnsi="Times New Roman" w:cs="Times New Roman"/>
          <w:sz w:val="24"/>
          <w:sz-cs w:val="24"/>
        </w:rPr>
        <w:t xml:space="preserve">[3]</w:t>
        <w:tab/>
        <w:t xml:space="preserve"/>
      </w:r>
      <w:r>
        <w:rPr>
          <w:rFonts w:ascii="Times New Roman" w:hAnsi="Times New Roman" w:cs="Times New Roman"/>
          <w:sz w:val="24"/>
          <w:sz-cs w:val="24"/>
          <w:u w:val="single"/>
          <w:color w:val="0000FF"/>
        </w:rPr>
        <w:t xml:space="preserve">HYPERLINK "http://www.nevo.co.il/case/6006233"ע"פ 5318/03</w:t>
      </w:r>
      <w:r>
        <w:rPr>
          <w:rFonts w:ascii="Times New Roman" w:hAnsi="Times New Roman" w:cs="Times New Roman"/>
          <w:sz w:val="24"/>
          <w:sz-cs w:val="24"/>
        </w:rPr>
        <w:t xml:space="preserve"> עמר נ' מדינת ישראל (לא פורסם).</w:t>
      </w:r>
    </w:p>
    <w:p>
      <w:pPr>
        <w:jc w:val="both"/>
        <w:bidi/>
        <w:spacing w:before="240"/>
      </w:pPr>
      <w:r>
        <w:rPr>
          <w:rFonts w:ascii="Times New Roman" w:hAnsi="Times New Roman" w:cs="Times New Roman"/>
          <w:sz w:val="38"/>
          <w:sz-cs w:val="38"/>
        </w:rPr>
        <w:t xml:space="preserve">ערעורים על גזר</w:t>
      </w:r>
      <w:r>
        <w:rPr>
          <w:rFonts w:ascii="Times New Roman" w:hAnsi="Times New Roman" w:cs="Times New Roman"/>
          <w:sz w:val="24"/>
          <w:sz-cs w:val="24"/>
          <w:position w:val="4"/>
        </w:rPr>
        <w:t xml:space="preserve">-</w:t>
      </w:r>
      <w:r>
        <w:rPr>
          <w:rFonts w:ascii="Times New Roman" w:hAnsi="Times New Roman" w:cs="Times New Roman"/>
          <w:sz w:val="38"/>
          <w:sz-cs w:val="38"/>
        </w:rPr>
        <w:t xml:space="preserve">דינו של בית</w:t>
      </w:r>
      <w:r>
        <w:rPr>
          <w:rFonts w:ascii="Times New Roman" w:hAnsi="Times New Roman" w:cs="Times New Roman"/>
          <w:sz w:val="24"/>
          <w:sz-cs w:val="24"/>
          <w:position w:val="4"/>
        </w:rPr>
        <w:t xml:space="preserve">-</w:t>
      </w:r>
      <w:r>
        <w:rPr>
          <w:rFonts w:ascii="Times New Roman" w:hAnsi="Times New Roman" w:cs="Times New Roman"/>
          <w:sz w:val="38"/>
          <w:sz-cs w:val="38"/>
        </w:rPr>
        <w:t xml:space="preserve">המשפט המחוזי בירושלים (</w:t>
      </w:r>
      <w:r>
        <w:rPr>
          <w:rFonts w:ascii="Times New Roman" w:hAnsi="Times New Roman" w:cs="Times New Roman"/>
          <w:sz w:val="26"/>
          <w:sz-cs w:val="26"/>
        </w:rPr>
        <w:t xml:space="preserve">השופטת מ' שידלובסקי</w:t>
      </w:r>
      <w:r>
        <w:rPr>
          <w:rFonts w:ascii="Times New Roman" w:hAnsi="Times New Roman" w:cs="Times New Roman"/>
          <w:sz w:val="24"/>
          <w:sz-cs w:val="24"/>
          <w:position w:val="4"/>
        </w:rPr>
        <w:t xml:space="preserve">-</w:t>
      </w:r>
      <w:r>
        <w:rPr>
          <w:rFonts w:ascii="Times New Roman" w:hAnsi="Times New Roman" w:cs="Times New Roman"/>
          <w:sz w:val="26"/>
          <w:sz-cs w:val="26"/>
        </w:rPr>
        <w:t xml:space="preserve">אור)</w:t>
      </w:r>
      <w:r>
        <w:rPr>
          <w:rFonts w:ascii="Times New Roman" w:hAnsi="Times New Roman" w:cs="Times New Roman"/>
          <w:sz w:val="38"/>
          <w:sz-cs w:val="38"/>
        </w:rPr>
        <w:t xml:space="preserve"> מיום 29.</w:t>
      </w:r>
      <w:r>
        <w:rPr>
          <w:rFonts w:ascii="Times New Roman" w:hAnsi="Times New Roman" w:cs="Times New Roman"/>
          <w:sz w:val="26"/>
          <w:sz-cs w:val="26"/>
        </w:rPr>
        <w:t xml:space="preserve">1.04 ב</w:t>
      </w:r>
      <w:r>
        <w:rPr>
          <w:rFonts w:ascii="Times New Roman" w:hAnsi="Times New Roman" w:cs="Times New Roman"/>
          <w:sz w:val="26"/>
          <w:sz-cs w:val="26"/>
          <w:u w:val="single"/>
          <w:color w:val="0000FF"/>
        </w:rPr>
        <w:t xml:space="preserve"> HYPERLINK "http://www.nevo.co.il/links/psika/?link=תפ 198/03" ת"פ 198/03</w:t>
      </w:r>
      <w:r>
        <w:rPr>
          <w:rFonts w:ascii="Times New Roman" w:hAnsi="Times New Roman" w:cs="Times New Roman"/>
          <w:sz w:val="24"/>
          <w:sz-cs w:val="24"/>
        </w:rPr>
        <w:t xml:space="preserve">. </w:t>
      </w:r>
      <w:r>
        <w:rPr>
          <w:rFonts w:ascii="Times New Roman" w:hAnsi="Times New Roman" w:cs="Times New Roman"/>
          <w:sz w:val="26"/>
          <w:sz-cs w:val="26"/>
        </w:rPr>
        <w:t xml:space="preserve">הערעור ב</w:t>
      </w:r>
      <w:r>
        <w:rPr>
          <w:rFonts w:ascii="Times New Roman" w:hAnsi="Times New Roman" w:cs="Times New Roman"/>
          <w:sz w:val="24"/>
          <w:sz-cs w:val="24"/>
          <w:u w:val="single"/>
          <w:color w:val="0000FF"/>
        </w:rPr>
        <w:t xml:space="preserve"> HYPERLINK "http://www.nevo.co.il/links/psika/?link=עפ 1332/04" ע"פ 1332/04</w:t>
      </w:r>
      <w:r>
        <w:rPr>
          <w:rFonts w:ascii="Times New Roman" w:hAnsi="Times New Roman" w:cs="Times New Roman"/>
          <w:sz w:val="24"/>
          <w:sz-cs w:val="24"/>
        </w:rPr>
        <w:t xml:space="preserve"> נתקבל. הערעור ב</w:t>
      </w:r>
      <w:r>
        <w:rPr>
          <w:rFonts w:ascii="Times New Roman" w:hAnsi="Times New Roman" w:cs="Times New Roman"/>
          <w:sz w:val="24"/>
          <w:sz-cs w:val="24"/>
          <w:u w:val="single"/>
          <w:color w:val="0000FF"/>
        </w:rPr>
        <w:t xml:space="preserve"> HYPERLINK "http://www.nevo.co.il/links/psika/?link=עפ 1530/04" ע"פ 1530/04</w:t>
      </w:r>
      <w:r>
        <w:rPr>
          <w:rFonts w:ascii="Times New Roman" w:hAnsi="Times New Roman" w:cs="Times New Roman"/>
          <w:sz w:val="24"/>
          <w:sz-cs w:val="24"/>
        </w:rPr>
        <w:t xml:space="preserve"> נדחה.</w:t>
      </w:r>
    </w:p>
    <w:p>
      <w:pPr>
        <w:jc w:val="both"/>
        <w:bidi/>
        <w:ind w:left="284" w:right="284" w:first-line="-284"/>
        <w:spacing w:after="60"/>
      </w:pPr>
      <w:r>
        <w:rPr>
          <w:rFonts w:ascii="Times New Roman" w:hAnsi="Times New Roman" w:cs="Times New Roman"/>
          <w:sz w:val="24"/>
          <w:sz-cs w:val="24"/>
        </w:rPr>
        <w:t xml:space="preserve">עמית מררי, עוזר ראשי לפרקליטת המדינה – בשם המערערת ב</w:t>
      </w:r>
      <w:r>
        <w:rPr>
          <w:rFonts w:ascii="Times New Roman" w:hAnsi="Times New Roman" w:cs="Times New Roman"/>
          <w:sz w:val="24"/>
          <w:sz-cs w:val="24"/>
          <w:u w:val="single"/>
          <w:color w:val="0000FF"/>
        </w:rPr>
        <w:t xml:space="preserve"> HYPERLINK "http://www.nevo.co.il/links/psika/?link=עפ 1332/04" </w:t>
      </w:r>
      <w:r>
        <w:rPr>
          <w:rFonts w:ascii="Times New Roman" w:hAnsi="Times New Roman" w:cs="Times New Roman"/>
          <w:sz w:val="24"/>
          <w:sz-cs w:val="24"/>
          <w:u w:val="single"/>
          <w:color w:val="0000FF"/>
        </w:rPr>
        <w:t xml:space="preserve">ע"פ 1332/04</w:t>
      </w:r>
      <w:r>
        <w:rPr>
          <w:rFonts w:ascii="Times New Roman" w:hAnsi="Times New Roman" w:cs="Times New Roman"/>
          <w:sz w:val="24"/>
          <w:sz-cs w:val="24"/>
        </w:rPr>
        <w:t xml:space="preserve"> (המשיבה ב</w:t>
      </w:r>
      <w:r>
        <w:rPr>
          <w:rFonts w:ascii="Times New Roman" w:hAnsi="Times New Roman" w:cs="Times New Roman"/>
          <w:sz w:val="24"/>
          <w:sz-cs w:val="24"/>
          <w:u w:val="single"/>
          <w:color w:val="0000FF"/>
        </w:rPr>
        <w:t xml:space="preserve"> HYPERLINK "http://www.nevo.co.il/links/psika/?link=עפ 1530/04" </w:t>
      </w:r>
      <w:r>
        <w:rPr>
          <w:rFonts w:ascii="Times New Roman" w:hAnsi="Times New Roman" w:cs="Times New Roman"/>
          <w:sz w:val="24"/>
          <w:sz-cs w:val="24"/>
          <w:u w:val="single"/>
          <w:color w:val="0000FF"/>
        </w:rPr>
        <w:t xml:space="preserve">ע"פ 1530/04</w:t>
      </w:r>
      <w:r>
        <w:rPr>
          <w:rFonts w:ascii="Times New Roman" w:hAnsi="Times New Roman" w:cs="Times New Roman"/>
          <w:sz w:val="24"/>
          <w:sz-cs w:val="24"/>
        </w:rPr>
        <w:t xml:space="preserve">);</w:t>
      </w:r>
    </w:p>
    <w:p>
      <w:pPr>
        <w:jc w:val="both"/>
        <w:bidi/>
        <w:ind w:left="284" w:right="284" w:first-line="-284"/>
        <w:spacing w:after="60"/>
      </w:pPr>
      <w:r>
        <w:rPr>
          <w:rFonts w:ascii="Times New Roman" w:hAnsi="Times New Roman" w:cs="Times New Roman"/>
          <w:sz w:val="24"/>
          <w:sz-cs w:val="24"/>
        </w:rPr>
        <w:t xml:space="preserve">יאיר גולן – בשם המשיב 1;</w:t>
      </w:r>
    </w:p>
    <w:p>
      <w:pPr>
        <w:jc w:val="both"/>
        <w:bidi/>
        <w:ind w:left="284" w:right="284" w:first-line="-284"/>
        <w:spacing w:after="60"/>
      </w:pPr>
      <w:r>
        <w:rPr>
          <w:rFonts w:ascii="Times New Roman" w:hAnsi="Times New Roman" w:cs="Times New Roman"/>
          <w:sz w:val="24"/>
          <w:sz-cs w:val="24"/>
        </w:rPr>
        <w:t xml:space="preserve">נפתלי ורצברגר – בשם המשיב 2 ב</w:t>
      </w:r>
      <w:r>
        <w:rPr>
          <w:rFonts w:ascii="Times New Roman" w:hAnsi="Times New Roman" w:cs="Times New Roman"/>
          <w:sz w:val="24"/>
          <w:sz-cs w:val="24"/>
          <w:u w:val="single"/>
          <w:color w:val="0000FF"/>
        </w:rPr>
        <w:t xml:space="preserve"> HYPERLINK "http://www.nevo.co.il/links/psika/?link=עפ 1332/04" ע"פ 1332/04</w:t>
      </w:r>
      <w:r>
        <w:rPr>
          <w:rFonts w:ascii="Times New Roman" w:hAnsi="Times New Roman" w:cs="Times New Roman"/>
          <w:sz w:val="24"/>
          <w:sz-cs w:val="24"/>
        </w:rPr>
        <w:t xml:space="preserve"> (המערער ב</w:t>
      </w:r>
      <w:r>
        <w:rPr>
          <w:rFonts w:ascii="Times New Roman" w:hAnsi="Times New Roman" w:cs="Times New Roman"/>
          <w:sz w:val="24"/>
          <w:sz-cs w:val="24"/>
          <w:u w:val="single"/>
          <w:color w:val="0000FF"/>
        </w:rPr>
        <w:t xml:space="preserve"> HYPERLINK "http://www.nevo.co.il/links/psika/?link=עפ 1530/04" ע"פ 1530/04</w:t>
      </w:r>
      <w:r>
        <w:rPr>
          <w:rFonts w:ascii="Times New Roman" w:hAnsi="Times New Roman" w:cs="Times New Roman"/>
          <w:sz w:val="24"/>
          <w:sz-cs w:val="24"/>
        </w:rPr>
        <w:t xml:space="preserve">).</w:t>
      </w:r>
    </w:p>
    <w:p>
      <w:pPr>
        <w:jc w:val="center"/>
        <w:bidi/>
        <w:spacing w:before="360" w:after="240"/>
      </w:pPr>
      <w:r>
        <w:rPr>
          <w:rFonts w:ascii="Arial" w:hAnsi="Arial" w:cs="Arial"/>
          <w:sz w:val="24"/>
          <w:sz-cs w:val="24"/>
          <w:b/>
          <w:spacing w:val="20"/>
        </w:rPr>
        <w:t xml:space="preserve">פסק</w:t>
      </w:r>
      <w:r>
        <w:rPr>
          <w:rFonts w:ascii="Arial" w:hAnsi="Arial" w:cs="Arial"/>
          <w:sz w:val="24"/>
          <w:sz-cs w:val="24"/>
          <w:b/>
          <w:position w:val="5"/>
          <w:spacing w:val="20"/>
        </w:rPr>
        <w:t xml:space="preserve">-</w:t>
      </w:r>
      <w:r>
        <w:rPr>
          <w:rFonts w:ascii="Arial" w:hAnsi="Arial" w:cs="Arial"/>
          <w:sz w:val="24"/>
          <w:sz-cs w:val="24"/>
          <w:b/>
          <w:spacing w:val="20"/>
        </w:rPr>
        <w:t xml:space="preserve">דין</w:t>
      </w:r>
    </w:p>
    <w:p>
      <w:pPr>
        <w:jc w:val="both"/>
        <w:bidi/>
        <w:spacing w:after="240"/>
      </w:pPr>
      <w:r>
        <w:rPr>
          <w:rFonts w:ascii="Arial" w:hAnsi="Arial" w:cs="Arial"/>
          <w:sz w:val="24"/>
          <w:sz-cs w:val="24"/>
        </w:rPr>
        <w:t xml:space="preserve">השופטת ד' ביניש</w:t>
      </w:r>
    </w:p>
    <w:p>
      <w:pPr>
        <w:jc w:val="both"/>
        <w:bidi/>
        <w:spacing w:after="240"/>
      </w:pPr>
      <w:r>
        <w:rPr>
          <w:rFonts w:ascii="Times New Roman" w:hAnsi="Times New Roman" w:cs="Times New Roman"/>
          <w:sz w:val="24"/>
          <w:sz-cs w:val="24"/>
        </w:rPr>
        <w:t xml:space="preserve">המדינה מערערת על קולת עונשם של המשיבים, אשר נדונו בבית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המחוזי בירושלים לעונש של 15 חודשי מאסר בפועל מיום מעצרם ול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18 חודשי 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השניים הורשעו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פי הודאתם בעובדות כתב</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אישום מתוקן בנשיאת נשק, עבירה לפי </w:t>
      </w:r>
      <w:r>
        <w:rPr>
          <w:rFonts w:ascii="Times New Roman" w:hAnsi="Times New Roman" w:cs="Times New Roman"/>
          <w:sz w:val="24"/>
          <w:sz-cs w:val="24"/>
          <w:u w:val="single"/>
          <w:color w:val="0000FF"/>
        </w:rPr>
        <w:t xml:space="preserve"> HYPERLINK "http://www.nevo.co.il/law/70301/144.b" סעיף 144(ב)</w:t>
      </w:r>
      <w:r>
        <w:rPr>
          <w:rFonts w:ascii="Times New Roman" w:hAnsi="Times New Roman" w:cs="Times New Roman"/>
          <w:sz w:val="24"/>
          <w:sz-cs w:val="24"/>
        </w:rPr>
        <w:t xml:space="preserve"> רישה ל</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תשל"ז-1977, וקבלת נכסים שהושגו בפשע, עבירה לפי </w:t>
      </w:r>
      <w:r>
        <w:rPr>
          <w:rFonts w:ascii="Times New Roman" w:hAnsi="Times New Roman" w:cs="Times New Roman"/>
          <w:sz w:val="24"/>
          <w:sz-cs w:val="24"/>
          <w:u w:val="single"/>
          <w:color w:val="0000FF"/>
        </w:rPr>
        <w:t xml:space="preserve"> HYPERLINK "http://www.nevo.co.il/law/70301/411" סעיף 411</w:t>
      </w:r>
      <w:r>
        <w:rPr>
          <w:rFonts w:ascii="Times New Roman" w:hAnsi="Times New Roman" w:cs="Times New Roman"/>
          <w:sz w:val="24"/>
          <w:sz-cs w:val="24"/>
        </w:rPr>
        <w:t xml:space="preserve"> לחוק העונשין. המשיב 2 הגיש ערעור על חומרת עונשו בטענו, בין היתר, כי יש להקל עמו ביחס לשותפו לעבירה. </w:t>
      </w:r>
    </w:p>
    <w:p>
      <w:pPr>
        <w:jc w:val="both"/>
        <w:bidi/>
        <w:spacing w:after="240"/>
      </w:pPr>
      <w:r>
        <w:rPr>
          <w:rFonts w:ascii="Times New Roman" w:hAnsi="Times New Roman" w:cs="Times New Roman"/>
          <w:sz w:val="24"/>
          <w:sz-cs w:val="24"/>
        </w:rPr>
        <w:t xml:space="preserve"/>
        <w:br w:type="page"/>
        <w:t xml:space="preserve">1.</w:t>
        <w:tab/>
        <w:t xml:space="preserve">מן העובדות שהמשיבים הודו בהן עולה כי במועד בלתי ידוע, לפני 17.7.2003, מסר המשיב 1 לאדם בשם שחר זליגר (דביר) את החזקה בשמונה לבנות חבלה – אשר נגנבו קודם לכן מצה"ל ואשר מכילות חומר נפץ במשקל כולל של כארבעה ק"ג – וביקש ממנו לשמור עליהן, לאחר שהעמידו על כך שמדובר בחומרי חבלה. ביום 17.8.2003, בשעות אחר הצהריים קיבלו המשיבים משחר זליגר הנ"ל את לבנות החבלה בחזרה והובילו אותן במכוניתו של המשיב 1 ממקום המפגש בגבעת "עדי עד" לכיוון ירושלים, עד שנעצרו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ידי כוחות הביטחון ליד מחסום "חיזמה". כאמור, לבנות החבלה הכילו חומר נפץ מרסק מן הסוג המוחזק רק בידי הצבא, כאשר מעטיפתה של כל אחת מלבנות החבלה הוסרו מספרי הסימן והסדרה. המשיבים ידעו כי הם מובילים ברכבם נשק שהושג בפשע. </w:t>
      </w:r>
    </w:p>
    <w:p>
      <w:pPr>
        <w:jc w:val="both"/>
        <w:bidi/>
        <w:spacing w:after="240"/>
      </w:pPr>
      <w:r>
        <w:rPr>
          <w:rFonts w:ascii="Times New Roman" w:hAnsi="Times New Roman" w:cs="Times New Roman"/>
          <w:sz w:val="24"/>
          <w:sz-cs w:val="24"/>
        </w:rPr>
        <w:t xml:space="preserve">2.</w:t>
        <w:tab/>
        <w:t xml:space="preserve">בגוזרו את דינם של המשיבים ציין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משפט קמא כי לא הובאה בפניו ראיה כלשהי המלמדת שמעשיהם של המשיבים הינם בגדר "עבריינות אידיאולוגית שנועדה לנקום בערבים", כפי שנטען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ידי התביעה. עם זאת הוסיף כי המשיבים לא סיפקו הסבר למעשיהם ולמטרה לשמה החזיקו בלבנות החבלה, ומכאן הסיק כי החזקת לבנות החבלה הייתה למטרה לא חוקית.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עמד על כך שמדובר בכמות ניכרת של לבנות חבלה, בתקופה של אי</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שקט ובשים לב לחשש מפני אפשרות של השתלטות גורמים עברייניים ועוינים על אמצעי לחימה. לאחר שנתן דעתו על גזרי</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הדין המקלים אשר הושתו עד כה בגין עבירות דומות, קבע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משפט קמא כי יש להטיל עונש המאזן בין נסיבותיהם האישיות של המשיבים לבין הצורך בהרתעה, ולפיכך גזר עליהם כאמור עונש של 15 חודשים לריצוי בפועל ומאסר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w:t>
      </w:r>
    </w:p>
    <w:p>
      <w:pPr>
        <w:jc w:val="both"/>
        <w:bidi/>
        <w:spacing w:after="240"/>
      </w:pPr>
      <w:r>
        <w:rPr>
          <w:rFonts w:ascii="Times New Roman" w:hAnsi="Times New Roman" w:cs="Times New Roman"/>
          <w:sz w:val="24"/>
          <w:sz-cs w:val="24"/>
        </w:rPr>
        <w:t xml:space="preserve">3.</w:t>
        <w:tab/>
        <w:t xml:space="preserve">בערעורה טענה המדינה כי העונש שהוטל על המשיבים אינו הולם את חומרת העבירות ואת נסיבות ביצוען. בטיעוניה עמדה באת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כוחה של המדינה על הצורך בהרתעה מפני ביצוע עבירות בכלי נשק, בייחוד בימים אלה שבהם רבו מעשי האלימות והשימוש בנשק חם, שיש בהם כדי לסכן חיי אדם. כן טענה כי גזר</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הדין אינו מבטא את החומרה הנובעת מסוג הנשק, המיועד למטרה התקפית והפוגע ברבים ללא הבחנה וללא בקרה, וכן כי לא ניתן משקל הולם לכך שמדובר בנשק שמקורו בצה"ל. </w:t>
      </w:r>
    </w:p>
    <w:p>
      <w:pPr>
        <w:jc w:val="both"/>
        <w:bidi/>
        <w:spacing w:after="240"/>
      </w:pPr>
      <w:r>
        <w:rPr>
          <w:rFonts w:ascii="Times New Roman" w:hAnsi="Times New Roman" w:cs="Times New Roman"/>
          <w:sz w:val="24"/>
          <w:sz-cs w:val="24"/>
        </w:rPr>
        <w:t xml:space="preserve">הסניגורים מצדם המעיטו בחומרת העבירות. בא</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כוחו של המשיב 1, עורך</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דין גולן, טען כי אין לערוך השוואה בין מרשו לבין עבריינים פליליים העושים שימוש בנשק חם, ולכן אין לתת ביטוי בעניינו של מרשו לחשש מפני השתלטות גורמים עברייניים על נשק זמין. כמו כן טען כי אין לומר שהרקע למעשים הינו עבריינות אידאולוגית, שכן לא הובהרו הנסיבות אשר בגינן הוביל מרשו את לבנות החבלה. עוד טען כי יש להביא </w:t>
      </w:r>
    </w:p>
    <w:p>
      <w:pPr>
        <w:jc w:val="both"/>
        <w:bidi/>
        <w:spacing w:after="240"/>
      </w:pPr>
      <w:r>
        <w:rPr>
          <w:rFonts w:ascii="Times New Roman" w:hAnsi="Times New Roman" w:cs="Times New Roman"/>
          <w:sz w:val="24"/>
          <w:sz-cs w:val="24"/>
        </w:rPr>
        <w:t xml:space="preserve"/>
        <w:br w:type="page"/>
        <w:t xml:space="preserve">בחשבון שלבנות חבלה, כשהן ללא נַפּץ, אינן כשירות להפעלה. בעומדו על נסיבותיו האישיות הקשות של מרשו טען הסניגור כי העונש שנגזר עליו הינו מידתי ואינו חורג מרמת הענישה המקובלת בעבירות מסוג זה. עורך</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דין ורצברגר טען בשמו של </w:t>
        <w:br/>
        <w:t xml:space="preserve">המשיב 2 כי חלקו של מרשו היה משני ביחס לחלקו של המשיב 1, וכי הוא הצטרף אליו לנסיעה כמלווה בידיעה שיש ברכב לבנות חבלה. אף הוא עמד על רמת הענישה המקלה בעבירות מסוג זה, ולפיכך ביקש מאתנו להקל בעונשו של מרשו. </w:t>
      </w:r>
    </w:p>
    <w:p>
      <w:pPr>
        <w:jc w:val="both"/>
        <w:bidi/>
        <w:spacing w:after="240"/>
      </w:pPr>
      <w:r>
        <w:rPr>
          <w:rFonts w:ascii="Times New Roman" w:hAnsi="Times New Roman" w:cs="Times New Roman"/>
          <w:sz w:val="24"/>
          <w:sz-cs w:val="24"/>
        </w:rPr>
        <w:t xml:space="preserve">4.</w:t>
        <w:tab/>
        <w:t xml:space="preserve">לאחר ששקלנו את טענות הצדדים באנו לידי מסקנה כי יש לקבל את ערעור המדינה ולדחות את ערעורו של המשיב 2. העונש שהושת על המשיבים מקל עמם במידה ניכרת ואינו נותן משקל הולם לחומרה המיוחדת שיש בהחזקה ובנשיאה של לבנות חבלה מן הסוג שנתפס ברכבם. כבר נאמר לא אחת בפסיקתנו כי מידת העונש המוטל בגין עבירות המבוצעות בנשק, מושפעת מפוטנציאל הסיכון הרב הטמון בנשק המוחזק שלא כדין ומהעברתו מיד ליד ללא פיקוח. בבוא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לגזור את הדין בעבירה של החזקה ונשיאה של נשק עליו להתחשב בנסיבות שבהן באה לידי ביטוי החומרה המיוחדת שבעבירה. בין היתר, ייתן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דעתו על סוג הנשק המוחזק שלא כדין, על כמותו, על התכלית שלשמה הוא מוחזק ועל הסכנה המוחשית שיעשה בו שימוש (השוו </w:t>
      </w:r>
      <w:r>
        <w:rPr>
          <w:rFonts w:ascii="Times New Roman" w:hAnsi="Times New Roman" w:cs="Times New Roman"/>
          <w:sz w:val="24"/>
          <w:sz-cs w:val="24"/>
          <w:u w:val="single"/>
          <w:color w:val="0000FF"/>
        </w:rPr>
        <w:t xml:space="preserve">HYPERLINK "http://www.nevo.co.il/case/17929065"</w:t>
      </w:r>
      <w:r>
        <w:rPr>
          <w:rFonts w:ascii="Times New Roman" w:hAnsi="Times New Roman" w:cs="Times New Roman"/>
          <w:sz w:val="24"/>
          <w:sz-cs w:val="24"/>
          <w:u w:val="single"/>
          <w:color w:val="0000FF"/>
        </w:rPr>
        <w:t xml:space="preserve">ב"ש 625/82</w:t>
      </w:r>
      <w:r>
        <w:rPr>
          <w:rFonts w:ascii="Times New Roman" w:hAnsi="Times New Roman" w:cs="Times New Roman"/>
          <w:sz w:val="24"/>
          <w:sz-cs w:val="24"/>
        </w:rPr>
        <w:t xml:space="preserve"> מחמוד נ' מדינת ישראל [1]). כאשר מדובר בנשק שעל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פי טיבו אינו מיועד להגנה עצמית, וכל כולו נשק התקפי רב עוצמה אשר השימוש בו יכול להביא להרג ללא הבחנה, יש בעבירת ההחזקה והנשיאה של אותו נשק חומרה מיוחדת. </w:t>
      </w:r>
    </w:p>
    <w:p>
      <w:pPr>
        <w:jc w:val="both"/>
        <w:bidi/>
        <w:spacing w:after="240"/>
      </w:pPr>
      <w:r>
        <w:rPr>
          <w:rFonts w:ascii="Times New Roman" w:hAnsi="Times New Roman" w:cs="Times New Roman"/>
          <w:sz w:val="24"/>
          <w:sz-cs w:val="24"/>
        </w:rPr>
        <w:t xml:space="preserve">הסניגורים טענו בפנינו כי אין בדל ראיה כי הנשק שנתפס בידי המשיבים הוא נשק למטרות עברייניות, או כי הוא קשור בצורה כלשהי לעבריינות אידאולוגית מחתרתית. טענה זו קשה היא כאשר נשמעת היא בשמם של האוחזים בנשק, אשר נמנעו מלתת כל הסבר, הן בחקירה המשטרתית הן במשפט, ביחס לתכלית החזקתן ונשיאתן של לבנות החבלה. חומר נפץ מרסק מן הסוג שנתפס במכונית שבה נסעו המשיבים, בכמות כה משמעותית, בהיעדר הסבר כלשהו לתכלית החזקתו והעברתו ברכב, מקים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פי ניסיון החיים הנחה עובדתית כי אכן נועד למטרות התקפיות. העובדה כי ללבנות החבלה לא הוצמד נַפּץ איננה מפחיתה מאופיין המסוכן. אין ספק כי על נקלה היה החומר שמצוי בלבנות החבלה יכול להפוך למטענים רבי עוצמה, שכן החיבור לנפץ ניתן לביצוע קל ומיידי. העובדה שהמשיב 1 דאג להעביר את לבנות החבלה תחילה להחזקה בידי אדם שהיה נאמן עליו, ולאחר מכן לקח אותן ממנו והובילן למקום אחר, מלמדת כי אין מדובר בנשק שהוחזק באקראי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ידיו, אלא בנשק שזכה לתשומת לב מיוחדת לתכלית כלשהי שנסיבותיה לא הובררו. מטבע הדברים אין לראות בנסיעה המשותפת של המשיבים, כשלבנות החבלה ברכבם, נסיעה תמימה. בימים אלה, כאשר המציאות רוויה </w:t>
      </w:r>
    </w:p>
    <w:p>
      <w:pPr>
        <w:jc w:val="both"/>
        <w:bidi/>
        <w:spacing w:after="240"/>
      </w:pPr>
      <w:r>
        <w:rPr>
          <w:rFonts w:ascii="Times New Roman" w:hAnsi="Times New Roman" w:cs="Times New Roman"/>
          <w:sz w:val="24"/>
          <w:sz-cs w:val="24"/>
        </w:rPr>
        <w:t xml:space="preserve"/>
        <w:br w:type="page"/>
        <w:t xml:space="preserve">מעשי אלימות, פעולות חבלה וחשש מפני טרור הן בידי גורמים עוינים הן בידי גורמים קיצוניים חדורי מוטיבציה אידאולוגית, יש לנהוג בחומרה מיוחדת בנושאי נשק בעל אופי התקפי כדי למנוע התדרדרות של המצב הרגיש, בעיקר בשטחים המוחזקים שבהם מתגוררים המשיבים. יש לעשות כל שניתן לסכל כל פוטנציאל לפעולות של עשיית דין עצמי ושפיכות דמים. </w:t>
      </w:r>
    </w:p>
    <w:p>
      <w:pPr>
        <w:jc w:val="both"/>
        <w:bidi/>
        <w:spacing w:after="240"/>
      </w:pPr>
      <w:r>
        <w:rPr>
          <w:rFonts w:ascii="Times New Roman" w:hAnsi="Times New Roman" w:cs="Times New Roman"/>
          <w:sz w:val="24"/>
          <w:sz-cs w:val="24"/>
        </w:rPr>
        <w:t xml:space="preserve">נתנו דעתנו על הנסיבות האישיות המיוחדות של המשיב 1, אשר מעשה הטרור הנפשע שבוצע כנגדו וכנגד בתו התינוקת הינו חמור ומזעזע מאין כמוהו. מוכנים אנו להניח כי גם גיסו, המשיב 2, הושפע מן האסון שפקד את משפחתו, אולם הנסיבות האישיות, קשות ככל שתהיינה, אין בהן כדי להצדיק עשיית דין עצמי, ולפיכך מן הראוי להחמיר בעונשיהם של מי שמחזיקים חומרי חבלה ונשק שעלולים לשמש למעשי הרג ולגזור עונשים שיהיה בהם כדי להרתיע מפני הסיכון של עשיית שימוש שלא כדין בנשק חם מכל סוג שהוא. </w:t>
      </w:r>
    </w:p>
    <w:p>
      <w:pPr>
        <w:jc w:val="both"/>
        <w:bidi/>
        <w:spacing w:after="240"/>
      </w:pPr>
      <w:r>
        <w:rPr>
          <w:rFonts w:ascii="Times New Roman" w:hAnsi="Times New Roman" w:cs="Times New Roman"/>
          <w:sz w:val="24"/>
          <w:sz-cs w:val="24"/>
        </w:rPr>
        <w:t xml:space="preserve">בחנו גם את טענת הסניגורים אשר מצאה אוזן קשבת בבית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משפט קמא כי רמת הענישה המקובלת בגין עבירות של החזקת נשק נמוכה היא, וכי העונש שהושת על מרשיהם אינו חורג מן המקובל בעבירות מסוג זה. לביסוס טענתם זו הפנו באי</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כוח המשיבים לגזרי</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דין רבים – בחלקם הושתו עונשים קלים מהעונש שנגזר על מרשיהם, בחלקם נגזרו עונשים קרובים לעונש האמור, והיו גם חמורים יותר. קשה להשוות גזרי</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דין באורח מתמטי, שהרי כל מקרה והנסיבות האופפות אותו. נראה כי רוב העונשים המקלים מתייחסים להחזקה שאין עמה נשיאה של נשק, אך בהבחנה זו אין די. נוכח גזרי</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הדין המקלים שהובאו בפנינו לא ראינו למצות את הדין עם המשיבים, עם זאת נדגיש כי בכל הנוגע לרמת הענישה, הגיעה העת לתת משקל לחומרת העבירות של החזקת נשק, ובייחוד נשק התקפי שנגנב מצה"ל. מן הראוי שיהיה בעונש כדי להרתיע מנפיצות התופעה העבריינית של החזקת נשק חם מסוגים שונים, נשיאתו ושימוש בו. גם אם נכון הדבר כי עד כה רמת הענישה בעבירות של החזקת נשק אינה גבוהה, הרי שהמציאות השוררת היום בארץ – זמינותו של נשק חם ורב עוצמה שיש עמו פוטנציאל להסלמה באלימות העבריינית והאידאולוגית כאחד – מחייבת מתן ביטוי עונשי הולם והחמרה ברמת הענישה (השוו: </w:t>
      </w:r>
      <w:r>
        <w:rPr>
          <w:rFonts w:ascii="Times New Roman" w:hAnsi="Times New Roman" w:cs="Times New Roman"/>
          <w:sz w:val="24"/>
          <w:sz-cs w:val="24"/>
          <w:u w:val="single"/>
          <w:color w:val="0000FF"/>
        </w:rPr>
        <w:t xml:space="preserve">HYPERLINK "http://www.nevo.co.il/case/6180713"</w:t>
      </w:r>
      <w:r>
        <w:rPr>
          <w:rFonts w:ascii="Times New Roman" w:hAnsi="Times New Roman" w:cs="Times New Roman"/>
          <w:sz w:val="24"/>
          <w:sz-cs w:val="24"/>
          <w:u w:val="single"/>
          <w:color w:val="0000FF"/>
        </w:rPr>
        <w:t xml:space="preserve">ע"פ 11448/03</w:t>
      </w:r>
      <w:r>
        <w:rPr>
          <w:rFonts w:ascii="Times New Roman" w:hAnsi="Times New Roman" w:cs="Times New Roman"/>
          <w:sz w:val="24"/>
          <w:sz-cs w:val="24"/>
        </w:rPr>
        <w:t xml:space="preserve"> מדינת ישראל נ' גרבאן [2]; </w:t>
      </w:r>
      <w:r>
        <w:rPr>
          <w:rFonts w:ascii="Times New Roman" w:hAnsi="Times New Roman" w:cs="Times New Roman"/>
          <w:sz w:val="24"/>
          <w:sz-cs w:val="24"/>
          <w:u w:val="single"/>
          <w:color w:val="0000FF"/>
        </w:rPr>
        <w:t xml:space="preserve">HYPERLINK "http://www.nevo.co.il/case/6006233"</w:t>
      </w:r>
      <w:r>
        <w:rPr>
          <w:rFonts w:ascii="Times New Roman" w:hAnsi="Times New Roman" w:cs="Times New Roman"/>
          <w:sz w:val="24"/>
          <w:sz-cs w:val="24"/>
          <w:u w:val="single"/>
          <w:color w:val="0000FF"/>
        </w:rPr>
        <w:t xml:space="preserve">ע"פ 5318/03</w:t>
      </w:r>
      <w:r>
        <w:rPr>
          <w:rFonts w:ascii="Times New Roman" w:hAnsi="Times New Roman" w:cs="Times New Roman"/>
          <w:sz w:val="24"/>
          <w:sz-cs w:val="24"/>
        </w:rPr>
        <w:t xml:space="preserve"> עמר נ' מדינת ישראל [3]). כך בדרך</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כלל בעבירות נשק וכך גם בנסיבות העניין שלפנינו, שבו מדובר בנשק התקפי, ובו חומר נפץ שהושג ממקורות צה"ליים והוחזק באזור רווי סיכונים. אם אכן נהגו בתי</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בסלחנות עד כה בעבירות נשק, ניתן לומר כי לא הרימו תרומה מספקת לעקירת התופעה של החזקה או נשיאה של נשק, שהתפשטה </w:t>
      </w:r>
    </w:p>
    <w:p>
      <w:pPr>
        <w:jc w:val="both"/>
        <w:bidi/>
        <w:spacing w:after="240"/>
      </w:pPr>
      <w:r>
        <w:rPr>
          <w:rFonts w:ascii="Times New Roman" w:hAnsi="Times New Roman" w:cs="Times New Roman"/>
          <w:sz w:val="24"/>
          <w:sz-cs w:val="24"/>
        </w:rPr>
        <w:t xml:space="preserve"/>
        <w:br w:type="page"/>
        <w:t xml:space="preserve">במקומותינו והתדרדרה לשימוש בו בידי גורמים המסכנים את שלומו ואת ביטחונו של הציבור. אשר</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כן החלטנו להחמיר במידת מה בעונשם של המשיבים ולהעמיד את עונש המאסר שהושת עליהם על 24 חודשי מאסר לריצוי בפועל. עונש המאסר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שהושת עליהם יעמוד בעינו. אף שאיננו ממצים כאמור את הדין עם המשיבים, נעיר כי החמרה נוספת ברף הענישה בעבירות מסוג זה שבהן הורשעו המשיבים אם וכאשר יידרשו לכך בתי</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היא בלתי נמנעת. </w:t>
      </w:r>
    </w:p>
    <w:p>
      <w:pPr>
        <w:jc w:val="both"/>
        <w:bidi/>
        <w:spacing w:after="240"/>
      </w:pPr>
      <w:r>
        <w:rPr>
          <w:rFonts w:ascii="Times New Roman" w:hAnsi="Times New Roman" w:cs="Times New Roman"/>
          <w:sz w:val="4"/>
          <w:sz-cs w:val="4"/>
          <w:color w:val="FFFFFF"/>
        </w:rPr>
        <w:t xml:space="preserve"/>
      </w:r>
    </w:p>
    <w:p>
      <w:pPr>
        <w:jc w:val="both"/>
        <w:bidi/>
        <w:spacing w:after="240"/>
      </w:pPr>
      <w:r>
        <w:rPr>
          <w:rFonts w:ascii="Times New Roman" w:hAnsi="Times New Roman" w:cs="Times New Roman"/>
          <w:sz w:val="4"/>
          <w:sz-cs w:val="4"/>
          <w:color w:val="FFFFFF"/>
        </w:rPr>
        <w:t xml:space="preserve">5129371</w:t>
      </w:r>
      <w:r>
        <w:rPr>
          <w:rFonts w:ascii="Times New Roman" w:hAnsi="Times New Roman" w:cs="Times New Roman"/>
          <w:sz w:val="2"/>
          <w:sz-cs w:val="2"/>
          <w:color w:val="FFFFFF"/>
        </w:rPr>
        <w:t xml:space="preserve"/>
      </w:r>
    </w:p>
    <w:p>
      <w:pPr>
        <w:jc w:val="both"/>
        <w:bidi/>
        <w:spacing w:after="240"/>
      </w:pPr>
      <w:r>
        <w:rPr>
          <w:rFonts w:ascii="Times New Roman" w:hAnsi="Times New Roman" w:cs="Times New Roman"/>
          <w:sz w:val="2"/>
          <w:sz-cs w:val="2"/>
          <w:color w:val="FFFFFF"/>
        </w:rPr>
        <w:t xml:space="preserve">54678313</w:t>
      </w:r>
      <w:r>
        <w:rPr>
          <w:rFonts w:ascii="Times New Roman" w:hAnsi="Times New Roman" w:cs="Times New Roman"/>
          <w:sz w:val="24"/>
          <w:sz-cs w:val="24"/>
        </w:rPr>
        <w:t xml:space="preserve">ניתן היום, כ"ח בניסן תשס"ד (19.4.2004).</w:t>
      </w:r>
    </w:p>
    <w:p>
      <w:pPr>
        <w:jc w:val="both"/>
        <w:bidi/>
        <w:spacing w:after="240"/>
      </w:pPr>
      <w:r>
        <w:rPr>
          <w:rFonts w:ascii="Times New Roman" w:hAnsi="Times New Roman" w:cs="Times New Roman"/>
          <w:sz w:val="24"/>
          <w:sz-cs w:val="24"/>
        </w:rPr>
        <w:t xml:space="preserve"/>
      </w:r>
    </w:p>
    <w:p>
      <w:pPr>
        <w:jc w:val="both"/>
        <w:bidi/>
        <w:spacing w:after="240"/>
      </w:pPr>
      <w:r>
        <w:rPr>
          <w:rFonts w:ascii="Arial" w:hAnsi="Arial" w:cs="Arial"/>
          <w:sz w:val="24"/>
          <w:sz-cs w:val="24"/>
        </w:rPr>
        <w:t xml:space="preserve"/>
        <w:br w:type="page"/>
        <w:t xml:space="preserve"/>
      </w:r>
      <w:r>
        <w:rPr>
          <w:rFonts w:ascii="Arial" w:hAnsi="Arial" w:cs="Arial"/>
          <w:sz w:val="24"/>
          <w:sz-cs w:val="24"/>
          <w:b/>
        </w:rPr>
        <w:t xml:space="preserve">מיני-רציו:</w:t>
      </w:r>
    </w:p>
    <w:p>
      <w:pPr>
        <w:jc w:val="both"/>
        <w:bidi/>
        <w:ind w:left="170" w:right="568"/>
        <w:spacing w:before="60" w:after="60"/>
      </w:pPr>
      <w:r>
        <w:rPr>
          <w:rFonts w:ascii="Times New Roman" w:hAnsi="Times New Roman" w:cs="Times New Roman"/>
          <w:sz w:val="22"/>
          <w:sz-cs w:val="22"/>
        </w:rPr>
        <w:t xml:space="preserve">* עונשין</w:t>
      </w:r>
      <w:r>
        <w:rPr>
          <w:rFonts w:ascii="Times New Roman" w:hAnsi="Times New Roman" w:cs="Times New Roman"/>
          <w:sz w:val="34"/>
          <w:sz-cs w:val="34"/>
        </w:rPr>
        <w:t xml:space="preserve"> </w:t>
      </w:r>
      <w:r>
        <w:rPr>
          <w:rFonts w:ascii="Times New Roman" w:hAnsi="Times New Roman" w:cs="Times New Roman"/>
          <w:sz w:val="24"/>
          <w:sz-cs w:val="24"/>
        </w:rPr>
        <w:t xml:space="preserve">– </w:t>
      </w:r>
      <w:r>
        <w:rPr>
          <w:rFonts w:ascii="Times New Roman" w:hAnsi="Times New Roman" w:cs="Times New Roman"/>
          <w:sz w:val="22"/>
          <w:sz-cs w:val="22"/>
        </w:rPr>
        <w:t xml:space="preserve">ענישה</w:t>
      </w:r>
      <w:r>
        <w:rPr>
          <w:rFonts w:ascii="Times New Roman" w:hAnsi="Times New Roman" w:cs="Times New Roman"/>
          <w:sz w:val="28"/>
          <w:sz-cs w:val="28"/>
        </w:rPr>
        <w:t xml:space="preserve"> </w:t>
      </w:r>
      <w:r>
        <w:rPr>
          <w:rFonts w:ascii="Times New Roman" w:hAnsi="Times New Roman" w:cs="Times New Roman"/>
          <w:sz w:val="24"/>
          <w:sz-cs w:val="24"/>
        </w:rPr>
        <w:t xml:space="preserve">– מדיניות ענישה: שיקולים לחומרה</w:t>
      </w:r>
    </w:p>
    <w:p>
      <w:pPr>
        <w:jc w:val="both"/>
        <w:bidi/>
        <w:ind w:left="170" w:right="568"/>
        <w:spacing w:before="60" w:after="60"/>
      </w:pPr>
      <w:r>
        <w:rPr>
          <w:rFonts w:ascii="Times New Roman" w:hAnsi="Times New Roman" w:cs="Times New Roman"/>
          <w:sz w:val="24"/>
          <w:sz-cs w:val="24"/>
        </w:rPr>
        <w:t xml:space="preserve">מדיניות מחמירה בעבירות נשק.</w:t>
      </w:r>
    </w:p>
    <w:p>
      <w:pPr>
        <w:jc w:val="both"/>
        <w:bidi/>
        <w:spacing w:after="240"/>
      </w:pPr>
      <w:r>
        <w:rPr>
          <w:rFonts w:ascii="Arial" w:hAnsi="Arial" w:cs="Arial"/>
          <w:sz w:val="24"/>
          <w:sz-cs w:val="24"/>
          <w:b/>
        </w:rPr>
        <w:t xml:space="preserve"/>
      </w:r>
    </w:p>
    <w:p>
      <w:pPr>
        <w:jc w:val="both"/>
        <w:bidi/>
        <w:spacing w:after="240"/>
      </w:pPr>
      <w:r>
        <w:rPr>
          <w:rFonts w:ascii="Arial" w:hAnsi="Arial" w:cs="Arial"/>
          <w:sz w:val="24"/>
          <w:sz-cs w:val="24"/>
          <w:b/>
        </w:rPr>
        <w:t xml:space="preserve"/>
      </w:r>
    </w:p>
    <w:p>
      <w:pPr>
        <w:jc w:val="center"/>
        <w:bidi/>
        <w:spacing w:after="240"/>
      </w:pPr>
      <w:r>
        <w:rPr>
          <w:rFonts w:ascii="Arial" w:hAnsi="Arial" w:cs="Arial"/>
          <w:sz w:val="24"/>
          <w:sz-cs w:val="24"/>
          <w:b/>
          <w:u w:val="single"/>
          <w:color w:val="0000FF"/>
        </w:rPr>
        <w:t xml:space="preserve"> HYPERLINK "http://www.nevo.co.il/advertisements/nevo-100.doc" </w:t>
      </w:r>
      <w:r>
        <w:rPr>
          <w:rFonts w:ascii="Times New Roman" w:hAnsi="Times New Roman" w:cs="Times New Roman"/>
          <w:sz w:val="24"/>
          <w:sz-cs w:val="24"/>
          <w:u w:val="single"/>
          <w:color w:val="0000FF"/>
        </w:rPr>
        <w:t xml:space="preserve">הודעה למנויים על עריכה ושינויים במסמכי פסיקה, חקיקה ועוד באתר נבו - הקש כאן</w:t>
      </w:r>
      <w:r>
        <w:rPr>
          <w:rFonts w:ascii="Arial" w:hAnsi="Arial" w:cs="Arial"/>
          <w:sz w:val="24"/>
          <w:sz-cs w:val="24"/>
          <w:b/>
          <w:u w:val="single"/>
          <w:color w:val="0000FF"/>
        </w:rPr>
        <w:t xml:space="preserve"/>
      </w:r>
    </w:p>
    <w:p>
      <w:pPr>
        <w:jc w:val="center"/>
        <w:bidi/>
        <w:spacing w:after="240"/>
      </w:pPr>
      <w:r>
        <w:rPr>
          <w:rFonts w:ascii="Arial" w:hAnsi="Arial" w:cs="Arial"/>
          <w:sz w:val="24"/>
          <w:sz-cs w:val="24"/>
          <w:b/>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ע"פ 1332/04</w:t>
        <w:tab/>
        <w:t xml:space="preserve">מדינת ישראל נ' פס</w:t>
      </w:r>
    </w:p>
    <w:p>
      <w:pPr>
        <w:jc w:val="right"/>
        <w:bidi/>
        <w:spacing w:before="40"/>
      </w:pPr>
      <w:r>
        <w:rPr>
          <w:rFonts w:ascii="Times New Roman" w:hAnsi="Times New Roman" w:cs="Times New Roman"/>
          <w:sz w:val="24"/>
          <w:sz-cs w:val="24"/>
        </w:rPr>
        <w:t xml:space="preserve">פ"ד נח(5) </w:t>
      </w:r>
      <w:r>
        <w:rPr>
          <w:rFonts w:ascii="Times New Roman" w:hAnsi="Times New Roman" w:cs="Times New Roman"/>
          <w:sz w:val="22"/>
          <w:sz-cs w:val="22"/>
        </w:rPr>
        <w:t xml:space="preserve">541</w:t>
      </w:r>
      <w:r>
        <w:rPr>
          <w:rFonts w:ascii="Times New Roman" w:hAnsi="Times New Roman" w:cs="Times New Roman"/>
          <w:sz w:val="24"/>
          <w:sz-cs w:val="24"/>
        </w:rPr>
        <w:t xml:space="preserve"/>
        <w:tab/>
        <w:t xml:space="preserve">השופטת ד' ביניש</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ע"פ 1332/04</w:t>
        <w:tab/>
        <w:t xml:space="preserve">מדינת ישראל נ' פס</w:t>
      </w:r>
    </w:p>
    <w:p>
      <w:pPr>
        <w:jc w:val="right"/>
        <w:bidi/>
        <w:spacing w:before="40"/>
      </w:pPr>
      <w:r>
        <w:rPr>
          <w:rFonts w:ascii="Times New Roman" w:hAnsi="Times New Roman" w:cs="Times New Roman"/>
          <w:sz w:val="24"/>
          <w:sz-cs w:val="24"/>
        </w:rPr>
        <w:t xml:space="preserve">פ"ד נח(5) </w:t>
      </w:r>
      <w:r>
        <w:rPr>
          <w:rFonts w:ascii="Times New Roman" w:hAnsi="Times New Roman" w:cs="Times New Roman"/>
          <w:sz w:val="22"/>
          <w:sz-cs w:val="22"/>
        </w:rPr>
        <w:t xml:space="preserve">541</w:t>
      </w:r>
      <w:r>
        <w:rPr>
          <w:rFonts w:ascii="Times New Roman" w:hAnsi="Times New Roman" w:cs="Times New Roman"/>
          <w:sz w:val="24"/>
          <w:sz-cs w:val="24"/>
        </w:rPr>
        <w:t xml:space="preserve"/>
        <w:tab/>
        <w:t xml:space="preserve">השופטת ד' ביניש</w:t>
      </w:r>
    </w:p>
    <w:p>
      <w:pPr>
        <w:jc w:val="right"/>
        <w:bidi/>
      </w:pPr>
      <w:r>
        <w:rPr>
          <w:rFonts w:ascii="Times New Roman" w:hAnsi="Times New Roman" w:cs="Times New Roman"/>
          <w:sz w:val="24"/>
          <w:sz-cs w:val="24"/>
        </w:rPr>
        <w:t xml:space="preserve"/>
      </w:r>
    </w:p>
    <w:p>
      <w:pPr>
        <w:jc w:val="right"/>
        <w:bidi/>
        <w:spacing w:after="60"/>
      </w:pPr>
      <w:r>
        <w:rPr>
          <w:rFonts w:ascii="Times New Roman" w:hAnsi="Times New Roman" w:cs="Times New Roman"/>
          <w:sz w:val="24"/>
          <w:sz-cs w:val="24"/>
        </w:rPr>
        <w:t xml:space="preserve"> PAGE 542</w:t>
        <w:tab/>
        <w:t xml:space="preserve">פסקי</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דין, כרך נח, חלק חמישי, תשס"ד/תשס"ה 2004</w:t>
      </w:r>
    </w:p>
    <w:p>
      <w:pPr/>
      <w:r>
        <w:rPr>
          <w:rFonts w:ascii="Times New Roman" w:hAnsi="Times New Roman" w:cs="Times New Roman"/>
          <w:sz w:val="28"/>
          <w:sz-cs w:val="28"/>
          <w:color w:val="000000"/>
        </w:rPr>
        <w:t xml:space="preserve">נבו הוצאה לאור בע"מ  nevo.co.il   המאגר המשפטי הישראלי</w:t>
      </w:r>
    </w:p>
    <w:p>
      <w:pPr/>
      <w:r>
        <w:rPr>
          <w:rFonts w:ascii="Times New Roman" w:hAnsi="Times New Roman" w:cs="Times New Roman"/>
          <w:sz w:val="14"/>
          <w:sz-cs w:val="14"/>
          <w:color w:val="000000"/>
        </w:rPr>
        <w:t xml:space="preserve"> FILENAME \p  \* MERGEFORMAT </w:t>
      </w:r>
      <w:r>
        <w:rPr>
          <w:rFonts w:ascii="Times New Roman" w:hAnsi="Times New Roman" w:cs="Times New Roman"/>
          <w:sz w:val="24"/>
          <w:sz-cs w:val="24"/>
        </w:rPr>
        <w:t xml:space="preserve">Z:\hakikato</w:t>
      </w:r>
      <w:r>
        <w:rPr>
          <w:rFonts w:ascii="Times New Roman" w:hAnsi="Times New Roman" w:cs="Times New Roman"/>
          <w:sz w:val="14"/>
          <w:sz-cs w:val="14"/>
          <w:color w:val="000000"/>
        </w:rPr>
        <w:t xml:space="preserve"> run\hakika final public\hakika\recieve all\הרצה לקישורים פסיקה וספרות\03\cont\0401332-padi.doc</w:t>
      </w:r>
    </w:p>
    <w:p>
      <w:pPr>
        <w:jc w:val="right"/>
        <w:bidi/>
      </w:pPr>
      <w:r>
        <w:rPr>
          <w:rFonts w:ascii="Times New Roman" w:hAnsi="Times New Roman" w:cs="Times New Roman"/>
          <w:sz w:val="24"/>
          <w:sz-cs w:val="24"/>
        </w:rPr>
        <w:t xml:space="preserve"/>
      </w:r>
    </w:p>
    <w:p>
      <w:pPr/>
      <w:r>
        <w:rPr>
          <w:rFonts w:ascii="Times New Roman" w:hAnsi="Times New Roman" w:cs="Times New Roman"/>
          <w:sz w:val="24"/>
          <w:sz-cs w:val="24"/>
        </w:rPr>
        <w:t xml:space="preserve">פסקי</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דין, כרך נח, חלק חמישי, תשס"ד/תשס"ה 2004</w:t>
        <w:tab/>
        <w:t xml:space="preserve"> PAGE 547</w:t>
      </w:r>
    </w:p>
    <w:p>
      <w:pPr/>
      <w:r>
        <w:rPr>
          <w:rFonts w:ascii="Times New Roman" w:hAnsi="Times New Roman" w:cs="Times New Roman"/>
          <w:sz w:val="28"/>
          <w:sz-cs w:val="28"/>
          <w:color w:val="000000"/>
        </w:rPr>
        <w:t xml:space="preserve">נבו הוצאה לאור בע"מ  nevo.co.il   המאגר המשפטי הישראלי</w:t>
      </w:r>
    </w:p>
    <w:p>
      <w:pPr/>
      <w:r>
        <w:rPr>
          <w:rFonts w:ascii="Times New Roman" w:hAnsi="Times New Roman" w:cs="Times New Roman"/>
          <w:sz w:val="14"/>
          <w:sz-cs w:val="14"/>
          <w:color w:val="000000"/>
        </w:rPr>
        <w:t xml:space="preserve"> FILENAME \p  \* MERGEFORMAT </w:t>
      </w:r>
      <w:r>
        <w:rPr>
          <w:rFonts w:ascii="Times New Roman" w:hAnsi="Times New Roman" w:cs="Times New Roman"/>
          <w:sz w:val="24"/>
          <w:sz-cs w:val="24"/>
        </w:rPr>
        <w:t xml:space="preserve">Z:\hakikato</w:t>
      </w:r>
      <w:r>
        <w:rPr>
          <w:rFonts w:ascii="Times New Roman" w:hAnsi="Times New Roman" w:cs="Times New Roman"/>
          <w:sz w:val="14"/>
          <w:sz-cs w:val="14"/>
          <w:color w:val="000000"/>
        </w:rPr>
        <w:t xml:space="preserve"> run\hakika final public\hakika\recieve all\הרצה לקישורים פסיקה וספרות\03\cont\0401332-padi.doc</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r>
        <w:rPr>
          <w:rFonts w:ascii="Times New Roman" w:hAnsi="Times New Roman" w:cs="Times New Roman"/>
          <w:sz w:val="24"/>
          <w:sz-cs w:val="24"/>
        </w:rPr>
        <w:t xml:space="preserve">פסקי</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דין, כרך נח, חלק חמישי, תשס"ד/תשס"ה 2004</w:t>
        <w:tab/>
        <w:t xml:space="preserve"> PAGE 541</w:t>
      </w:r>
    </w:p>
    <w:p>
      <w:pPr/>
      <w:r>
        <w:rPr>
          <w:rFonts w:ascii="Times New Roman" w:hAnsi="Times New Roman" w:cs="Times New Roman"/>
          <w:sz w:val="28"/>
          <w:sz-cs w:val="28"/>
          <w:color w:val="000000"/>
        </w:rPr>
        <w:t xml:space="preserve">נבו הוצאה לאור בע"מ  nevo.co.il   המאגר המשפטי הישראלי</w:t>
      </w:r>
    </w:p>
    <w:p>
      <w:pPr/>
      <w:r>
        <w:rPr>
          <w:rFonts w:ascii="Times New Roman" w:hAnsi="Times New Roman" w:cs="Times New Roman"/>
          <w:sz w:val="14"/>
          <w:sz-cs w:val="14"/>
          <w:color w:val="000000"/>
        </w:rPr>
        <w:t xml:space="preserve"> FILENAME \p  \* MERGEFORMAT </w:t>
      </w:r>
      <w:r>
        <w:rPr>
          <w:rFonts w:ascii="Times New Roman" w:hAnsi="Times New Roman" w:cs="Times New Roman"/>
          <w:sz w:val="24"/>
          <w:sz-cs w:val="24"/>
        </w:rPr>
        <w:t xml:space="preserve">Z:\hakikato</w:t>
      </w:r>
      <w:r>
        <w:rPr>
          <w:rFonts w:ascii="Times New Roman" w:hAnsi="Times New Roman" w:cs="Times New Roman"/>
          <w:sz w:val="14"/>
          <w:sz-cs w:val="14"/>
          <w:color w:val="000000"/>
        </w:rPr>
        <w:t xml:space="preserve"> run\hakika final public\hakika\recieve all\הרצה לקישורים פסיקה וספרות\03\cont\0401332-padi.doc</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spacing w:after="240"/>
      </w:pPr>
      <w:r>
        <w:rPr>
          <w:rFonts w:ascii="Arial" w:hAnsi="Arial" w:cs="Arial"/>
          <w:sz w:val="24"/>
          <w:sz-cs w:val="24"/>
          <w:b/>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h1</cp:lastModifiedBy>
  <dcterms:created>2024-12-23T14:22:00Z</dcterms:created>
  <dcterms:modified>2024-12-23T14:22:00Z</dcterms:modified>
</cp:coreProperties>
</file>

<file path=docProps/meta.xml><?xml version="1.0" encoding="utf-8"?>
<meta xmlns="http://schemas.apple.com/cocoa/2006/metadata">
  <generator>CocoaOOXMLWriter/2575.7</generator>
</meta>
</file>