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1473/18</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שמואל אוחיון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בקשת רשות ערעור על פסק דינו של בית המשפט המחוזי בתל אביב-יפו, מיום 17.01.2018, ב</w:t>
      </w:r>
      <w:r>
        <w:rPr>
          <w:rFonts w:ascii="Times New Roman" w:hAnsi="Times New Roman" w:cs="Times New Roman"/>
          <w:sz w:val="24"/>
          <w:sz-cs w:val="24"/>
          <w:u w:val="single"/>
          <w:color w:val="0000FF"/>
        </w:rPr>
        <w:t xml:space="preserve"> HYPERLINK "http://www.nevo.co.il/case/22294590" עפ"ג 10481-03-17</w:t>
      </w:r>
      <w:r>
        <w:rPr>
          <w:rFonts w:ascii="Times New Roman" w:hAnsi="Times New Roman" w:cs="Times New Roman"/>
          <w:sz w:val="24"/>
          <w:sz-cs w:val="24"/>
        </w:rPr>
        <w:t xml:space="preserve">, אשר ניתן על ידי כב' הרכב השופטים: ד' ברלינר – שופטת עמיתה; מ' דיסקין; ו-ש' יניב</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בשם המבקש:</w:t>
        <w:tab/>
        <w:t xml:space="preserve">עו"ד אבנר שמש</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אין לקבל את הטענה כי היה על ביהמ"ש המחוזי לחרוג לקולה ממתחם העונש ההולם גם מטעמים שאינם נופלים בגדר חריג השיקום. נסיבותיו של המבקש שונות מהותית מאלו אשר הובילו להחלטה לחרוג לקולה ממתחם העונש ההולם בעניין לופוליאנסקי.</w:t>
      </w:r>
    </w:p>
    <w:p>
      <w:pPr>
        <w:jc w:val="both"/>
        <w:bidi/>
        <w:spacing w:after="120"/>
      </w:pPr>
      <w:r>
        <w:rPr>
          <w:rFonts w:ascii="Times New Roman" w:hAnsi="Times New Roman" w:cs="Times New Roman"/>
          <w:sz w:val="24"/>
          <w:sz-cs w:val="24"/>
        </w:rPr>
        <w:t xml:space="preserve">* דיון פלילי – ערעור – רשות ערעור</w:t>
      </w:r>
    </w:p>
    <w:p>
      <w:pPr>
        <w:jc w:val="both"/>
        <w:bidi/>
        <w:spacing w:after="120"/>
      </w:pPr>
      <w:r>
        <w:rPr>
          <w:rFonts w:ascii="Times New Roman" w:hAnsi="Times New Roman" w:cs="Times New Roman"/>
          <w:sz w:val="24"/>
          <w:sz-cs w:val="24"/>
        </w:rPr>
        <w:t xml:space="preserve">* עונשין – ענישה – שיקולים</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 הורשע, ע"פ הודאתו, בהחזקת סם שלא לצריכה עצמית, ונגזרו עליו מאסר על תנאי, קנס ופסילת רישיון הנהיגה על תנאי. ערעור שהגישה המשיבה על קולת העונש התקבל, כך שהושתו על המבקש חודשיים עבודות שירות. מכאן הבר"ע.</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בקבעו:</w:t>
      </w:r>
    </w:p>
    <w:p>
      <w:pPr>
        <w:jc w:val="both"/>
        <w:bidi/>
        <w:spacing w:after="120"/>
      </w:pPr>
      <w:r>
        <w:rPr>
          <w:rFonts w:ascii="Times New Roman" w:hAnsi="Times New Roman" w:cs="Times New Roman"/>
          <w:sz w:val="24"/>
          <w:sz-cs w:val="24"/>
        </w:rPr>
        <w:t xml:space="preserve">רשות ערעור בגלגול שלישי תינתן במשורה והיא שמורה למקרים חריגים, בהם מתעוררת שאלה משפטית כבדת משקל או סוגיה ציבורית רחבת היקף, החורגת מעניינם הפרטי של הצדדים; או למקרים בהם מתעורר חשש לעיוות דין מהותי או אי-צדק. זאת ועוד, בקשות שעניינן חומרת העונש אינן מצדיקות, ככלל, מתן רשות ערעור בגלגול שלישי, אלא במקרים חריגים בהם חלה סטייה קיצונית ממדיניות הענישה הנהוגה במקרים דומים. הבקשה דנן אינה עומדת באמות המידה האמורות.</w:t>
      </w:r>
    </w:p>
    <w:p>
      <w:pPr>
        <w:jc w:val="both"/>
        <w:bidi/>
        <w:spacing w:after="120"/>
      </w:pPr>
      <w:r>
        <w:rPr>
          <w:rFonts w:ascii="Times New Roman" w:hAnsi="Times New Roman" w:cs="Times New Roman"/>
          <w:sz w:val="24"/>
          <w:sz-cs w:val="24"/>
        </w:rPr>
        <w:t xml:space="preserve">דין הבקשה להידחות אף לגופה. אין לקבל את הטענה כי היה על ביהמ"ש המחוזי לחרוג לקולה ממתחם העונש ההולם גם מטעמים שאינם נופלים בגדר חריג השיקום. ראשית, ההכרעה בעניין לופוליאנסקי נעשתה על רקע נסיבותיו המיוחדות של אותו מקרה, אשר הצביעו על כך שעונש מאסר עלול להביא לקיצור ממשי של תוחלת חייו. נסיבותיו של המבקש שונות מהותית מאלו אשר הובילו להחלטה לחרוג לקולה ממתחם העונש ההולם בעניין לופוליאנסקי. שנית, ביהמ"ש המחוזי כבר נתן ביטוי ממשי לשינוי המהותי שערך המבקש באורחות חייו והתחשב במאמציו להשתית את חייו על בסיס נורמטיבי, וזאת באמצעות חריגה משמעותית לקולה ממתחם העונש ההולם.</w:t>
      </w:r>
    </w:p>
    <w:p>
      <w:pPr>
        <w:jc w:val="both"/>
        <w:bidi/>
        <w:spacing w:after="120"/>
      </w:pPr>
      <w:r>
        <w:rPr>
          <w:rFonts w:ascii="Times New Roman" w:hAnsi="Times New Roman" w:cs="Times New Roman"/>
          <w:sz w:val="24"/>
          <w:sz-cs w:val="24"/>
        </w:rPr>
        <w:t xml:space="preserve">נמצא כי העונש שהושת על המבקש מבטא איזון ראוי בין כלל השיקולים לקולה ולחומרה.</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Times New Roman" w:hAnsi="Times New Roman" w:cs="Times New Roman"/>
          <w:sz w:val="22"/>
          <w:sz-cs w:val="22"/>
          <w:spacing w:val="10"/>
        </w:rPr>
        <w:t xml:space="preserve">לפניי בקשת רשות ערעור על פסק דינו של בית המשפט המחוזי בתל אביב-יפו (כב' הרכב השופטים: </w:t>
      </w:r>
      <w:r>
        <w:rPr>
          <w:rFonts w:ascii="Times New Roman" w:hAnsi="Times New Roman" w:cs="Times New Roman"/>
          <w:sz w:val="28"/>
          <w:sz-cs w:val="28"/>
        </w:rPr>
        <w:t xml:space="preserve">ד' ברלינר</w:t>
      </w:r>
      <w:r>
        <w:rPr>
          <w:rFonts w:ascii="Times New Roman" w:hAnsi="Times New Roman" w:cs="Times New Roman"/>
          <w:sz w:val="22"/>
          <w:sz-cs w:val="22"/>
          <w:spacing w:val="10"/>
        </w:rPr>
        <w:t xml:space="preserve"> – שופטת עמיתה, </w:t>
      </w:r>
      <w:r>
        <w:rPr>
          <w:rFonts w:ascii="Times New Roman" w:hAnsi="Times New Roman" w:cs="Times New Roman"/>
          <w:sz w:val="28"/>
          <w:sz-cs w:val="28"/>
        </w:rPr>
        <w:t xml:space="preserve">מ' דיסקין</w:t>
      </w:r>
      <w:r>
        <w:rPr>
          <w:rFonts w:ascii="Times New Roman" w:hAnsi="Times New Roman" w:cs="Times New Roman"/>
          <w:sz w:val="22"/>
          <w:sz-cs w:val="22"/>
          <w:spacing w:val="10"/>
        </w:rPr>
        <w:t xml:space="preserve">, ו-</w:t>
      </w:r>
      <w:r>
        <w:rPr>
          <w:rFonts w:ascii="Times New Roman" w:hAnsi="Times New Roman" w:cs="Times New Roman"/>
          <w:sz w:val="28"/>
          <w:sz-cs w:val="28"/>
        </w:rPr>
        <w:t xml:space="preserve">ש' יניב</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 HYPERLINK "http://www.nevo.co.il/case/22294590" עפ"ג 10481-03-17</w:t>
      </w:r>
      <w:r>
        <w:rPr>
          <w:rFonts w:ascii="Times New Roman" w:hAnsi="Times New Roman" w:cs="Times New Roman"/>
          <w:sz w:val="22"/>
          <w:sz-cs w:val="22"/>
          <w:spacing w:val="10"/>
        </w:rPr>
        <w:t xml:space="preserve">, מיום 17.01.2018. בגדרו של פסק הדין, התקבל ערעורה של המשיבה על גזר דינו של בית משפט השלום בתל אביב-יפו (כב' השופט </w:t>
      </w:r>
      <w:r>
        <w:rPr>
          <w:rFonts w:ascii="Times New Roman" w:hAnsi="Times New Roman" w:cs="Times New Roman"/>
          <w:sz w:val="28"/>
          <w:sz-cs w:val="28"/>
        </w:rPr>
        <w:t xml:space="preserve">ש' מלמד</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 HYPERLINK "http://www.nevo.co.il/case/20398619" ת"פ 59856-06-15</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מיום 7.2.2017.</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בהחלטתי מיום 20.2.2018, הוריתי על עיכוב ביצוע עונש המאסר שהושת על המבקש בדרך של עבודות שירות, עד להחלטה אחרת.</w:t>
      </w:r>
    </w:p>
    <w:p>
      <w:pPr>
        <w:jc w:val="right"/>
        <w:bidi/>
      </w:pPr>
      <w:r>
        <w:rPr>
          <w:rFonts w:ascii="Times New Roman" w:hAnsi="Times New Roman" w:cs="Times New Roman"/>
          <w:sz w:val="24"/>
          <w:sz-cs w:val="24"/>
          <w:u w:val="single"/>
          <w:spacing w:val="10"/>
        </w:rPr>
        <w:t xml:space="preserve"/>
      </w:r>
    </w:p>
    <w:p>
      <w:pPr>
        <w:jc w:val="both"/>
        <w:bidi/>
      </w:pPr>
      <w:r>
        <w:rPr>
          <w:rFonts w:ascii="Times New Roman" w:hAnsi="Times New Roman" w:cs="Times New Roman"/>
          <w:sz w:val="28"/>
          <w:sz-cs w:val="28"/>
        </w:rPr>
        <w:t xml:space="preserve">רקע והליכים קודמים</w:t>
      </w:r>
    </w:p>
    <w:p>
      <w:pPr>
        <w:jc w:val="right"/>
        <w:bidi/>
      </w:pPr>
      <w:r>
        <w:rPr>
          <w:rFonts w:ascii="Times New Roman" w:hAnsi="Times New Roman" w:cs="Times New Roman"/>
          <w:sz w:val="24"/>
          <w:sz-cs w:val="24"/>
          <w:u w:val="single"/>
          <w:spacing w:val="10"/>
        </w:rPr>
        <w:t xml:space="preserve"/>
      </w:r>
    </w:p>
    <w:p>
      <w:pPr>
        <w:jc w:val="both"/>
        <w:bidi/>
      </w:pPr>
      <w:r>
        <w:rPr>
          <w:rFonts w:ascii="Times New Roman" w:hAnsi="Times New Roman" w:cs="Times New Roman"/>
          <w:sz w:val="22"/>
          <w:sz-cs w:val="22"/>
          <w:spacing w:val="10"/>
        </w:rPr>
        <w:t xml:space="preserve">נגד המבקש הוגש כתב אישום לבית משפט השלום בתל אביב-יפו, המייחס לו ביצוע עבירה של החזקה בסמים שלא לצריכה עצמית, לפי </w:t>
      </w:r>
      <w:r>
        <w:rPr>
          <w:rFonts w:ascii="Times New Roman" w:hAnsi="Times New Roman" w:cs="Times New Roman"/>
          <w:sz w:val="22"/>
          <w:sz-cs w:val="22"/>
          <w:u w:val="single"/>
          <w:spacing w:val="10"/>
          <w:color w:val="0000FF"/>
        </w:rPr>
        <w:t xml:space="preserve"> HYPERLINK "http://www.nevo.co.il/law/4216/7.a" סעיפים 7(א)</w:t>
      </w:r>
      <w:r>
        <w:rPr>
          <w:rFonts w:ascii="Times New Roman" w:hAnsi="Times New Roman" w:cs="Times New Roman"/>
          <w:sz w:val="22"/>
          <w:sz-cs w:val="22"/>
          <w:spacing w:val="10"/>
        </w:rPr>
        <w:t xml:space="preserve"> ו-</w:t>
      </w:r>
      <w:r>
        <w:rPr>
          <w:rFonts w:ascii="Times New Roman" w:hAnsi="Times New Roman" w:cs="Times New Roman"/>
          <w:sz w:val="22"/>
          <w:sz-cs w:val="22"/>
          <w:u w:val="single"/>
          <w:spacing w:val="10"/>
          <w:color w:val="0000FF"/>
        </w:rPr>
        <w:t xml:space="preserve"> HYPERLINK "http://www.nevo.co.il/law/4216/7.c" 7(ג)</w:t>
      </w:r>
      <w:r>
        <w:rPr>
          <w:rFonts w:ascii="Times New Roman" w:hAnsi="Times New Roman" w:cs="Times New Roman"/>
          <w:sz w:val="22"/>
          <w:sz-cs w:val="22"/>
          <w:spacing w:val="10"/>
        </w:rPr>
        <w:t xml:space="preserve"> רישא ל</w:t>
      </w:r>
      <w:r>
        <w:rPr>
          <w:rFonts w:ascii="Times New Roman" w:hAnsi="Times New Roman" w:cs="Times New Roman"/>
          <w:sz w:val="22"/>
          <w:sz-cs w:val="22"/>
          <w:u w:val="single"/>
          <w:spacing w:val="10"/>
          <w:color w:val="0000FF"/>
        </w:rPr>
        <w:t xml:space="preserve"> HYPERLINK "http://www.nevo.co.il/law/4216" פקודת הסמים המסוכנים</w:t>
      </w:r>
      <w:r>
        <w:rPr>
          <w:rFonts w:ascii="Times New Roman" w:hAnsi="Times New Roman" w:cs="Times New Roman"/>
          <w:sz w:val="22"/>
          <w:sz-cs w:val="22"/>
          <w:spacing w:val="10"/>
        </w:rPr>
        <w:t xml:space="preserve"> [נוסח חדש], התשל"ג-1973. מעובדות כתב האישום עולה, כי בתאריך 1.6.2014, נערך חיפוש בביתו של המבקש בהתאם לצו בית משפט, אשר במסגרתו התברר כי המבקש החזיק בביתו, שלא לצריכה עצמית, וללא היתר כדין או רישיון מהמנהל, 4 יחידות סם מסוכן מסוג קוקאין, במשקל נטו של 1.6888 גרם וכן יחידת סם מסוכן מסוג קוקאין במשקל נטו של 0.4185.</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ביום 7.2.2017, הורשע המבקש, על יסוד הודאתו, בעבירה שיוחסה לו בכתב האישום. </w:t>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באותו יום, גזר בית משפט השלום את דינו של המבקש. בבואו לקבוע מתחם ענישה הולם ביחס למעשי המבקש, עמד בית המשפט על השיקולים בהם יש להתחשב בקביעת המתחם בעניינו של המבקש, היינו: יצירת יחס הולם בין חומרת מעשי המבקש ומידת אשמו לבין סוג ומידת העונש המוטל עליו; מידת הפגיעה בערך החברתי המוגן; ומדיניות הענישה הנהוגה בנסיבות ביצוע העבירה. לאחר זאת, קבע בית משפט השלום מתחם עונש הולם אשר נע בין עונש מאסר על תנאי לבין 12 חודשי מאסר.</w:t>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בבואו לגזור את עונשו של המבקש בגדרי המתחם, התייחס בית משפט השלום לנסיבות שאינן קשורות בביצוע העבירה, וביניהן: גילו הצעיר של המבקש; נסיבותיו האישיות; הודאת המבקש "</w:t>
      </w:r>
      <w:r>
        <w:rPr>
          <w:rFonts w:ascii="Times New Roman" w:hAnsi="Times New Roman" w:cs="Times New Roman"/>
          <w:sz w:val="28"/>
          <w:sz-cs w:val="28"/>
        </w:rPr>
        <w:t xml:space="preserve">המצביעה על נטילת אחריות</w:t>
      </w:r>
      <w:r>
        <w:rPr>
          <w:rFonts w:ascii="Times New Roman" w:hAnsi="Times New Roman" w:cs="Times New Roman"/>
          <w:sz w:val="22"/>
          <w:sz-cs w:val="22"/>
          <w:spacing w:val="10"/>
        </w:rPr>
        <w:t xml:space="preserve">"; היות המבקש נעדר עבר פלילי; התרשמות בית המשפט, כי "</w:t>
      </w:r>
      <w:r>
        <w:rPr>
          <w:rFonts w:ascii="Times New Roman" w:hAnsi="Times New Roman" w:cs="Times New Roman"/>
          <w:sz w:val="28"/>
          <w:sz-cs w:val="28"/>
        </w:rPr>
        <w:t xml:space="preserve">להליכים המשפטיים אפקט מצנן והנאשם </w:t>
      </w:r>
      <w:r>
        <w:rPr>
          <w:rFonts w:ascii="Times New Roman" w:hAnsi="Times New Roman" w:cs="Times New Roman"/>
          <w:sz w:val="22"/>
          <w:sz-cs w:val="22"/>
          <w:spacing w:val="10"/>
        </w:rPr>
        <w:t xml:space="preserve">[המבקש]</w:t>
      </w:r>
      <w:r>
        <w:rPr>
          <w:rFonts w:ascii="Times New Roman" w:hAnsi="Times New Roman" w:cs="Times New Roman"/>
          <w:sz w:val="28"/>
          <w:sz-cs w:val="28"/>
        </w:rPr>
        <w:t xml:space="preserve"> הבין את המסר השלילי של מעשיו</w:t>
      </w:r>
      <w:r>
        <w:rPr>
          <w:rFonts w:ascii="Times New Roman" w:hAnsi="Times New Roman" w:cs="Times New Roman"/>
          <w:sz w:val="22"/>
          <w:sz-cs w:val="22"/>
          <w:spacing w:val="10"/>
        </w:rPr>
        <w:t xml:space="preserve">". לאור נסיבות אלו, גזר בית משפט השלום על המבקש שישה חודשי מאסר על תנאי למשך שלוש שנים; קנס בסך 2,000 ₪, או 20 ימי מאסר תחתיו; ופסילת רישיון הנהיגה של המבקש לתקופה של 3 חודשים על תנאי למשך 3 שנים.</w:t>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ביום, 6.3.2017, הגישה המשיבה ערעור לבית המשפט המחוזי בתל אביב-יפו, הנסב על קולת העונש שגזר בית משפט השלום על המבקש. לטענת המשיבה, מתחם הענישה שקבע בית משפט השלום הינו שגוי, ו-"</w:t>
      </w:r>
      <w:r>
        <w:rPr>
          <w:rFonts w:ascii="Times New Roman" w:hAnsi="Times New Roman" w:cs="Times New Roman"/>
          <w:sz w:val="28"/>
          <w:sz-cs w:val="28"/>
        </w:rPr>
        <w:t xml:space="preserve">אינו הולם את מעשה העבירה אותו ביצע המשיב</w:t>
      </w:r>
      <w:r>
        <w:rPr>
          <w:rFonts w:ascii="Times New Roman" w:hAnsi="Times New Roman" w:cs="Times New Roman"/>
          <w:sz w:val="22"/>
          <w:sz-cs w:val="22"/>
          <w:spacing w:val="10"/>
        </w:rPr>
        <w:t xml:space="preserve"> [המבקש]". בנוסף, טענה המשיבה, כי ה-"</w:t>
      </w:r>
      <w:r>
        <w:rPr>
          <w:rFonts w:ascii="Times New Roman" w:hAnsi="Times New Roman" w:cs="Times New Roman"/>
          <w:sz w:val="28"/>
          <w:sz-cs w:val="28"/>
        </w:rPr>
        <w:t xml:space="preserve">אפקט המצנן</w:t>
      </w:r>
      <w:r>
        <w:rPr>
          <w:rFonts w:ascii="Times New Roman" w:hAnsi="Times New Roman" w:cs="Times New Roman"/>
          <w:sz w:val="22"/>
          <w:sz-cs w:val="22"/>
          <w:spacing w:val="10"/>
        </w:rPr>
        <w:t xml:space="preserve">" של ההליכים המשפטיים על המבקש, ממנו התרשם בית משפט השלום, לא גובה בעדי אופי או בתסקיר שירות המבחן. המשיבה עתרה להחמרת עונשו של המבקש באמצעות הטלת רכיב של מאסר בפועל; הטלת עונש מאסר על תנאי  "</w:t>
      </w:r>
      <w:r>
        <w:rPr>
          <w:rFonts w:ascii="Times New Roman" w:hAnsi="Times New Roman" w:cs="Times New Roman"/>
          <w:sz w:val="28"/>
          <w:sz-cs w:val="28"/>
        </w:rPr>
        <w:t xml:space="preserve">שישקף את חומרת העבירה בה הורשע המשיב</w:t>
      </w:r>
      <w:r>
        <w:rPr>
          <w:rFonts w:ascii="Times New Roman" w:hAnsi="Times New Roman" w:cs="Times New Roman"/>
          <w:sz w:val="22"/>
          <w:sz-cs w:val="22"/>
          <w:spacing w:val="10"/>
        </w:rPr>
        <w:t xml:space="preserve">"; וכן פסילה בפועל של רישיון הנהיגה של המבקש.</w:t>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ביום 15.11.2017, הפנה בית המשפט המחוזי, את המבקש לקבלת חוות דעת של הממונה על עבודות שירות, ולתסקיר שרות המבחן.</w:t>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ביום 28.12.2017, הגיש הממונה על עבודות שירות את חוות דעתו בעניינו של המבקש. במסגרת חוות הדעת צוין, כי המבקש עשה "</w:t>
      </w:r>
      <w:r>
        <w:rPr>
          <w:rFonts w:ascii="Times New Roman" w:hAnsi="Times New Roman" w:cs="Times New Roman"/>
          <w:sz w:val="28"/>
          <w:sz-cs w:val="28"/>
        </w:rPr>
        <w:t xml:space="preserve">שימוש בסמים בעברו כמו כן שימוש ספורדי באלכוהול</w:t>
      </w:r>
      <w:r>
        <w:rPr>
          <w:rFonts w:ascii="Times New Roman" w:hAnsi="Times New Roman" w:cs="Times New Roman"/>
          <w:sz w:val="22"/>
          <w:sz-cs w:val="22"/>
          <w:spacing w:val="10"/>
        </w:rPr>
        <w:t xml:space="preserve">". עם זאת, נמסר בחוות הדעת, כי המבקש מתאים לביצוע עבודות שירות, לאור מצבו הבריאותי התקין, ועמידה בהצלחה בבדיקת סמים. עוד נאמר בחוות דעת הממונה, כי מצבו הכלכלי של המבקש אינו צפוי להשפיע על התייצבותו לעבודות השירות. הממונה המליץ, כי המבקש ישולב בעבודות במועצה הדתית כרמיאל.</w:t>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 ביום 4.1.2018, הוגש תסקיר שירות המבחן בעניינו של המבקש, שהוא נשוי, ואב לילד. נמסר בתסקיר, כי למבקש שתי הרשעות קודמות, האחת בגין עבירת החזקה ושימוש בסמים שלא לצריכה עצמית, אשר בוצעה ביום 1.6.2014,  ובמסגרתה נגזרו על המבקש עונשי מאסר ופסילת רישיון מותנים לצד קנס כספי. הרשעתו השנייה של המבקש היא בגין עבירת נהיגה תחת השפעת סמים או אלכוהול, אשר בוצעה ביום 6.2.2015, ובמסגרתה נפסל רישיונו של המבקש לתקופה של ארבעה חודשים, לצד עונשים נלווים. המבקש קיבל אחריות על המיוחס לו בכתב האישום. מתסקיר שירות המבחן עולה, כי בנקודת הזמן בה בוצעה העבירה התגורר המבקש בתל-אביב, לשם עבר בתום שירותו הצבאי, "</w:t>
      </w:r>
      <w:r>
        <w:rPr>
          <w:rFonts w:ascii="Times New Roman" w:hAnsi="Times New Roman" w:cs="Times New Roman"/>
          <w:sz w:val="28"/>
          <w:sz-cs w:val="28"/>
        </w:rPr>
        <w:t xml:space="preserve">וניהל אורח חיים בלתי יציב</w:t>
      </w:r>
      <w:r>
        <w:rPr>
          <w:rFonts w:ascii="Times New Roman" w:hAnsi="Times New Roman" w:cs="Times New Roman"/>
          <w:sz w:val="22"/>
          <w:sz-cs w:val="22"/>
          <w:spacing w:val="10"/>
        </w:rPr>
        <w:t xml:space="preserve">", אשר כלל התחברות לאנשים שהשתמשו בסמים ובאלכוהול. המבקש מסר לשירות המבחן, כי "</w:t>
      </w:r>
      <w:r>
        <w:rPr>
          <w:rFonts w:ascii="Times New Roman" w:hAnsi="Times New Roman" w:cs="Times New Roman"/>
          <w:sz w:val="28"/>
          <w:sz-cs w:val="28"/>
        </w:rPr>
        <w:t xml:space="preserve">השימוש בחומרים פסיכו אקטיביים, אינו מהווה חלק מחייו</w:t>
      </w:r>
      <w:r>
        <w:rPr>
          <w:rFonts w:ascii="Times New Roman" w:hAnsi="Times New Roman" w:cs="Times New Roman"/>
          <w:sz w:val="22"/>
          <w:sz-cs w:val="22"/>
          <w:spacing w:val="10"/>
        </w:rPr>
        <w:t xml:space="preserve">", והוסיף כי לרוב הוא אינו שותה אלכוהול. המבקש לא התייצב לבדיקת סמים מטעם שירות המבחן בשל מחלה, אולם שירות המבחן לא התרשם "</w:t>
      </w:r>
      <w:r>
        <w:rPr>
          <w:rFonts w:ascii="Times New Roman" w:hAnsi="Times New Roman" w:cs="Times New Roman"/>
          <w:sz w:val="28"/>
          <w:sz-cs w:val="28"/>
        </w:rPr>
        <w:t xml:space="preserve">כי השימוש בסמים מהווה חלק מאורחות חייו</w:t>
      </w:r>
      <w:r>
        <w:rPr>
          <w:rFonts w:ascii="Times New Roman" w:hAnsi="Times New Roman" w:cs="Times New Roman"/>
          <w:sz w:val="22"/>
          <w:sz-cs w:val="22"/>
          <w:spacing w:val="10"/>
        </w:rPr>
        <w:t xml:space="preserve">" של המבקש. עוד עולה מתסקיר המבחן, כי המבקש הוא "</w:t>
      </w:r>
      <w:r>
        <w:rPr>
          <w:rFonts w:ascii="Times New Roman" w:hAnsi="Times New Roman" w:cs="Times New Roman"/>
          <w:sz w:val="28"/>
          <w:sz-cs w:val="28"/>
        </w:rPr>
        <w:t xml:space="preserve">בן למשפחה בעלת מערכת ערכים ונורמות נורמטיביים</w:t>
      </w:r>
      <w:r>
        <w:rPr>
          <w:rFonts w:ascii="Times New Roman" w:hAnsi="Times New Roman" w:cs="Times New Roman"/>
          <w:sz w:val="22"/>
          <w:sz-cs w:val="22"/>
          <w:spacing w:val="10"/>
        </w:rPr>
        <w:t xml:space="preserve">", ולא ניכר כי קיימים בהתנהגותו של המבקש "</w:t>
      </w:r>
      <w:r>
        <w:rPr>
          <w:rFonts w:ascii="Times New Roman" w:hAnsi="Times New Roman" w:cs="Times New Roman"/>
          <w:sz w:val="28"/>
          <w:sz-cs w:val="28"/>
        </w:rPr>
        <w:t xml:space="preserve">מאפיינים אנטיסוציאליים מושרשים</w:t>
      </w:r>
      <w:r>
        <w:rPr>
          <w:rFonts w:ascii="Times New Roman" w:hAnsi="Times New Roman" w:cs="Times New Roman"/>
          <w:sz w:val="22"/>
          <w:sz-cs w:val="22"/>
          <w:spacing w:val="10"/>
        </w:rPr>
        <w:t xml:space="preserve">". לצד זאת, גורס שירות המבחן, כי התנהגותו של המבקש באירוע, "</w:t>
      </w:r>
      <w:r>
        <w:rPr>
          <w:rFonts w:ascii="Times New Roman" w:hAnsi="Times New Roman" w:cs="Times New Roman"/>
          <w:sz w:val="28"/>
          <w:sz-cs w:val="28"/>
        </w:rPr>
        <w:t xml:space="preserve">נבעה מתוך צורך בבחינת ובדיקת הגבולות ממקום מאתגר ומרצה את קבוצת השייכות</w:t>
      </w:r>
      <w:r>
        <w:rPr>
          <w:rFonts w:ascii="Times New Roman" w:hAnsi="Times New Roman" w:cs="Times New Roman"/>
          <w:sz w:val="22"/>
          <w:sz-cs w:val="22"/>
          <w:spacing w:val="10"/>
        </w:rPr>
        <w:t xml:space="preserve">", וזאת בשים לב לתא המשפחתי בו גדל המבקש, אשר התאפיין "</w:t>
      </w:r>
      <w:r>
        <w:rPr>
          <w:rFonts w:ascii="Times New Roman" w:hAnsi="Times New Roman" w:cs="Times New Roman"/>
          <w:sz w:val="28"/>
          <w:sz-cs w:val="28"/>
        </w:rPr>
        <w:t xml:space="preserve">בגבולות נוקשים ורתיעה מלעבור על החוק</w:t>
      </w:r>
      <w:r>
        <w:rPr>
          <w:rFonts w:ascii="Times New Roman" w:hAnsi="Times New Roman" w:cs="Times New Roman"/>
          <w:sz w:val="22"/>
          <w:sz-cs w:val="22"/>
          <w:spacing w:val="10"/>
        </w:rPr>
        <w:t xml:space="preserve">". עוד התרשם שירות המבחן, כי המעשים המיוחסים למבקש היוו "</w:t>
      </w:r>
      <w:r>
        <w:rPr>
          <w:rFonts w:ascii="Times New Roman" w:hAnsi="Times New Roman" w:cs="Times New Roman"/>
          <w:sz w:val="28"/>
          <w:sz-cs w:val="28"/>
        </w:rPr>
        <w:t xml:space="preserve">מענה לתחושות הריקנות הרגשית</w:t>
      </w:r>
      <w:r>
        <w:rPr>
          <w:rFonts w:ascii="Times New Roman" w:hAnsi="Times New Roman" w:cs="Times New Roman"/>
          <w:sz w:val="22"/>
          <w:sz-cs w:val="22"/>
          <w:spacing w:val="10"/>
        </w:rPr>
        <w:t xml:space="preserve">" שהותיר במבקש מותו הפתאומי של אביו מספר שנים קודם לכן, בתקופה שבה "</w:t>
      </w:r>
      <w:r>
        <w:rPr>
          <w:rFonts w:ascii="Times New Roman" w:hAnsi="Times New Roman" w:cs="Times New Roman"/>
          <w:sz w:val="28"/>
          <w:sz-cs w:val="28"/>
        </w:rPr>
        <w:t xml:space="preserve">זהותו האישית</w:t>
      </w:r>
      <w:r>
        <w:rPr>
          <w:rFonts w:ascii="Times New Roman" w:hAnsi="Times New Roman" w:cs="Times New Roman"/>
          <w:sz w:val="22"/>
          <w:sz-cs w:val="22"/>
          <w:spacing w:val="10"/>
        </w:rPr>
        <w:t xml:space="preserve"> [של המבקש] </w:t>
      </w:r>
      <w:r>
        <w:rPr>
          <w:rFonts w:ascii="Times New Roman" w:hAnsi="Times New Roman" w:cs="Times New Roman"/>
          <w:sz w:val="28"/>
          <w:sz-cs w:val="28"/>
        </w:rPr>
        <w:t xml:space="preserve">עדיין לא הייתה מגובשת ויציבה</w:t>
      </w:r>
      <w:r>
        <w:rPr>
          <w:rFonts w:ascii="Times New Roman" w:hAnsi="Times New Roman" w:cs="Times New Roman"/>
          <w:sz w:val="22"/>
          <w:sz-cs w:val="22"/>
          <w:spacing w:val="10"/>
        </w:rPr>
        <w:t xml:space="preserve">". שירות המבחן התרשם, כי בשנתיים האחרונות השתדל המבקש "</w:t>
      </w:r>
      <w:r>
        <w:rPr>
          <w:rFonts w:ascii="Times New Roman" w:hAnsi="Times New Roman" w:cs="Times New Roman"/>
          <w:sz w:val="28"/>
          <w:sz-cs w:val="28"/>
        </w:rPr>
        <w:t xml:space="preserve">לערוך שינוי ופעל על מנת לשקם ולבסס את עתידו האישי והמשפחתי</w:t>
      </w:r>
      <w:r>
        <w:rPr>
          <w:rFonts w:ascii="Times New Roman" w:hAnsi="Times New Roman" w:cs="Times New Roman"/>
          <w:sz w:val="22"/>
          <w:sz-cs w:val="22"/>
          <w:spacing w:val="10"/>
        </w:rPr>
        <w:t xml:space="preserve">", שעה שעבר להתגורר עם זוגתו בכרמיאל, נישא לה בספטמבר 2017,  והחל לעבוד בעבודה מאתגרת בחברת סלולר. במקביל, ניתק המבקש קשרים עם חבריו מאזור המרכז, וכן לא נפתחו תיקים פליליים נוספים בעניינו. שירות המבחן ציין כי המבקש הוא אדם מופנם, אשר לעיתים חווה תחושות נחיתות וחוסר הערכה עצמית, אשר "</w:t>
      </w:r>
      <w:r>
        <w:rPr>
          <w:rFonts w:ascii="Times New Roman" w:hAnsi="Times New Roman" w:cs="Times New Roman"/>
          <w:sz w:val="28"/>
          <w:sz-cs w:val="28"/>
        </w:rPr>
        <w:t xml:space="preserve">גוררים בעקבותיהם התנהגות המנעותית, כאשר הוא נמנע מלשתף ולהיעזר במערכת התמיכה סביבו</w:t>
      </w:r>
      <w:r>
        <w:rPr>
          <w:rFonts w:ascii="Times New Roman" w:hAnsi="Times New Roman" w:cs="Times New Roman"/>
          <w:sz w:val="22"/>
          <w:sz-cs w:val="22"/>
          <w:spacing w:val="10"/>
        </w:rPr>
        <w:t xml:space="preserve">". שירות המבחן המליץ לדחות את ערעורה של המשיבה, ושלא להשית על המבקש עבודות שירות. זאת, לאור התרשמות שירות המבחן, כי המבקש נמצא "</w:t>
      </w:r>
      <w:r>
        <w:rPr>
          <w:rFonts w:ascii="Times New Roman" w:hAnsi="Times New Roman" w:cs="Times New Roman"/>
          <w:sz w:val="28"/>
          <w:sz-cs w:val="28"/>
        </w:rPr>
        <w:t xml:space="preserve">בעיצומו של הליך התפתחות אישית, משפחתית ותעסוקתית במטרה לערוך שינוי באורחות חייו</w:t>
      </w:r>
      <w:r>
        <w:rPr>
          <w:rFonts w:ascii="Times New Roman" w:hAnsi="Times New Roman" w:cs="Times New Roman"/>
          <w:sz w:val="22"/>
          <w:sz-cs w:val="22"/>
          <w:spacing w:val="10"/>
        </w:rPr>
        <w:t xml:space="preserve">", וכי יש למבקש יכולת לבחינה ביקורתית של התנהלותו, בצד סיכוי נמוך להישנות עבירות דומות מצידו.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ביום 17.1.2018, קיבל בית המשפט המחוזי את ערעור המשיבה. בית המשפט המחוזי קבע, כי לפי מגמת הפסיקה בסוג העבירה בו עסקינן, על הרף התחתון של מתחם העונש ההולם לעמוד, למצער, על שישה חודשי מאסר שניתן לרצותם בעבודות שירות. בית המשפט המחוזי הדגיש, כי אין הצדקה במקרה דנן להציב רף תחתון נמוך יותר, לנוכח הכמות המשמעותית של הסם המסוכן, אשר חולק למנות, וכן לאור העובדה, כי הסם נקנה עבור מסיבת רווקים. בסופו של דבר, קבע בית המשפט המחוזי כי המתחם העונש ההולם יעמוד במנעד שבין 12-6 חודשי מאסר לריצוי בפועל.</w:t>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2"/>
          <w:sz-cs w:val="22"/>
          <w:spacing w:val="10"/>
        </w:rPr>
        <w:t xml:space="preserve">בבואו לקבוע את עונשו של המבקש, החליט בית המשפט המחוזי לחרוג לקולה ממתחם העונש ההולם מטעמי שיקום. זאת, לאור העתקת מקום מגוריו של המבקש מתל-אביב לאזור הצפון ושינוי אורחות חייו. בית המשפט נתן משקל לתסקיר שירות המבחן, שם נאמר, בין היתר, כי "</w:t>
      </w:r>
      <w:r>
        <w:rPr>
          <w:rFonts w:ascii="Times New Roman" w:hAnsi="Times New Roman" w:cs="Times New Roman"/>
          <w:sz w:val="28"/>
          <w:sz-cs w:val="28"/>
        </w:rPr>
        <w:t xml:space="preserve">המשיב </w:t>
      </w:r>
      <w:r>
        <w:rPr>
          <w:rFonts w:ascii="Times New Roman" w:hAnsi="Times New Roman" w:cs="Times New Roman"/>
          <w:sz w:val="22"/>
          <w:sz-cs w:val="22"/>
          <w:spacing w:val="10"/>
        </w:rPr>
        <w:t xml:space="preserve">[המבקש]</w:t>
      </w:r>
      <w:r>
        <w:rPr>
          <w:rFonts w:ascii="Times New Roman" w:hAnsi="Times New Roman" w:cs="Times New Roman"/>
          <w:sz w:val="28"/>
          <w:sz-cs w:val="28"/>
        </w:rPr>
        <w:t xml:space="preserve"> מנהל היום אורח חיים נורמטיבי, הוא נשוי, אב לילד, עובד במקום מסודר ונראה כי הניח את עולם הסמים מאחוריו</w:t>
      </w:r>
      <w:r>
        <w:rPr>
          <w:rFonts w:ascii="Times New Roman" w:hAnsi="Times New Roman" w:cs="Times New Roman"/>
          <w:sz w:val="22"/>
          <w:sz-cs w:val="22"/>
          <w:spacing w:val="10"/>
        </w:rPr>
        <w:t xml:space="preserve">". לפיכך, השית בית המשפט המחוזי על המבקש עונש מאסר בפועל של חודשיים ימים, אשר ירוצה בדרך של עבודות שירות. יתר רכיבי גזר הדין, הכוללים מאסר על תנאי, שלילת רישיון על תנאי, וקנס כספי נותרו בעינם.</w:t>
      </w:r>
    </w:p>
    <w:p>
      <w:pPr>
        <w:jc w:val="right"/>
        <w:bidi/>
        <w:ind w:right="720"/>
      </w:pPr>
      <w:r>
        <w:rPr>
          <w:rFonts w:ascii="Times New Roman" w:hAnsi="Times New Roman" w:cs="Times New Roman"/>
          <w:sz w:val="24"/>
          <w:sz-cs w:val="24"/>
        </w:rPr>
        <w:t xml:space="preserve"/>
      </w:r>
    </w:p>
    <w:p>
      <w:pPr>
        <w:jc w:val="right"/>
        <w:bidi/>
        <w:ind w:right="720"/>
      </w:pP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הבקשה לרשות הערעור</w:t>
      </w: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בבקשה לרשות הערעור המונחת לפניי, משיג המבקש על חומרת עונשו, בטענה כי יש להקל בעונשו לאור השינוי שערך באורחות חייו, ומאמציו הרבים לשיקום וביסוס עתידו האישי, המשפחתי והתעסוקתי. המבקש מפנה בעיקר לתסקיר המבחן שניתן בעניינו, בו נאמר, כי "</w:t>
      </w:r>
      <w:r>
        <w:rPr>
          <w:rFonts w:ascii="Times New Roman" w:hAnsi="Times New Roman" w:cs="Times New Roman"/>
          <w:sz w:val="28"/>
          <w:sz-cs w:val="28"/>
        </w:rPr>
        <w:t xml:space="preserve">המבקש מצוי בעיצומו של הליך התפתחות אישית במטרה לערוך שינוי אמיתי באורחות חייו</w:t>
      </w:r>
      <w:r>
        <w:rPr>
          <w:rFonts w:ascii="Times New Roman" w:hAnsi="Times New Roman" w:cs="Times New Roman"/>
          <w:sz w:val="22"/>
          <w:sz-cs w:val="22"/>
          <w:spacing w:val="10"/>
        </w:rPr>
        <w:t xml:space="preserve">", וכי הסמים אינם מהווים כיום חלק בשגרת יומו. לטענת המבקש, הוא ביצע המבקש את העבירה בתקופה "</w:t>
      </w:r>
      <w:r>
        <w:rPr>
          <w:rFonts w:ascii="Times New Roman" w:hAnsi="Times New Roman" w:cs="Times New Roman"/>
          <w:sz w:val="28"/>
          <w:sz-cs w:val="28"/>
        </w:rPr>
        <w:t xml:space="preserve">שברירית מאוד בחייו</w:t>
      </w:r>
      <w:r>
        <w:rPr>
          <w:rFonts w:ascii="Times New Roman" w:hAnsi="Times New Roman" w:cs="Times New Roman"/>
          <w:sz w:val="22"/>
          <w:sz-cs w:val="22"/>
          <w:spacing w:val="10"/>
        </w:rPr>
        <w:t xml:space="preserve">", שהתאפיינה בבלבול וחוסר יציבות, לאור פטירת אביו בטרם עת. המבקש הוסיף עוד, כי הוא הודה במעשיו בהזדמנות הראשונה ונטל אחריות מלאה עליהם, וציין כי לא נפתחו בעניינו תיקים פליליים חדשים, מאז ביצוע העבירה. המבקש הפנה להמלצת שירות המבחן, להותיר על כנו את העונש שגזר בית משפט השלום, אשר אינו כולל רכיב של מאסר לריצוי בפועל, ולשיטתו מתחם העונש שקבע בית משפט השלום הולם את חומרת מעשיו. עוד הפנה המבקש לאפשרות של חריגה לקולה ממתחם העונש ההולם, שלא מתוך שיקולי שיקום, אלא כאשר "</w:t>
      </w:r>
      <w:r>
        <w:rPr>
          <w:rFonts w:ascii="Times New Roman" w:hAnsi="Times New Roman" w:cs="Times New Roman"/>
          <w:sz w:val="28"/>
          <w:sz-cs w:val="28"/>
        </w:rPr>
        <w:t xml:space="preserve">לא ניתן להלום מצב שלפיו ייכפה על בית המשפט לגזור עונש בלתי מידתי</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 HYPERLINK "http://www.nevo.co.il/case/17954217" ע"פ 5669/14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לופוליאנסקי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(29.12.2015) (להלן: </w:t>
      </w:r>
      <w:r>
        <w:rPr>
          <w:rFonts w:ascii="Times New Roman" w:hAnsi="Times New Roman" w:cs="Times New Roman"/>
          <w:sz w:val="28"/>
          <w:sz-cs w:val="28"/>
        </w:rPr>
        <w:t xml:space="preserve">עניין לופוליאנסקי</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לאחר עיון בבקשת רשות הערעור על צרופותיה, הגעתי לידי מסקנה, כי דין הבקשה להידחות.</w:t>
      </w:r>
    </w:p>
    <w:p>
      <w:pPr>
        <w:jc w:val="both"/>
        <w:bidi/>
      </w:pPr>
      <w:r>
        <w:rPr>
          <w:rFonts w:ascii="Arial" w:hAnsi="Arial" w:cs="Arial"/>
          <w:sz w:val="10"/>
          <w:sz-cs w:val="10"/>
          <w:spacing w:val="10"/>
        </w:rPr>
        <w:t xml:space="preserve"/>
        <w:tab/>
        <w:t xml:space="preserve"/>
      </w: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הלכה היא, כי רשות ערעור "</w:t>
      </w:r>
      <w:r>
        <w:rPr>
          <w:rFonts w:ascii="Times New Roman" w:hAnsi="Times New Roman" w:cs="Times New Roman"/>
          <w:sz w:val="28"/>
          <w:sz-cs w:val="28"/>
        </w:rPr>
        <w:t xml:space="preserve">בגלגול שלישי</w:t>
      </w:r>
      <w:r>
        <w:rPr>
          <w:rFonts w:ascii="Times New Roman" w:hAnsi="Times New Roman" w:cs="Times New Roman"/>
          <w:sz w:val="22"/>
          <w:sz-cs w:val="22"/>
          <w:spacing w:val="10"/>
        </w:rPr>
        <w:t xml:space="preserve">" תינתן במשורה והיא שמורה למקרים חריגים, בהם מתעוררת שאלה משפטית כבדת משקל או סוגיה ציבורית רחבת היקף, החורגת מעניינם הפרטי של הצדדים להליך; או למקרים בהם מתעורר חשש מפני עיוות דין מהותי או אי-צדק שנגרם למבקש </w:t>
      </w:r>
      <w:r>
        <w:rPr>
          <w:rFonts w:ascii="Times New Roman" w:hAnsi="Times New Roman" w:cs="Times New Roman"/>
          <w:sz w:val="28"/>
          <w:sz-cs w:val="28"/>
        </w:rPr>
        <w:t xml:space="preserve">(</w:t>
      </w:r>
      <w:r>
        <w:rPr>
          <w:rFonts w:ascii="Times New Roman" w:hAnsi="Times New Roman" w:cs="Times New Roman"/>
          <w:sz w:val="28"/>
          <w:sz-cs w:val="28"/>
          <w:u w:val="single"/>
          <w:spacing w:val="10"/>
          <w:color w:val="0000FF"/>
        </w:rPr>
        <w:t xml:space="preserve"> HYPERLINK "http://www.nevo.co.il/case/23777562" רע"פ 2054/18</w:t>
      </w:r>
      <w:r>
        <w:rPr>
          <w:rFonts w:ascii="Times New Roman" w:hAnsi="Times New Roman" w:cs="Times New Roman"/>
          <w:sz w:val="22"/>
          <w:sz-cs w:val="22"/>
          <w:spacing w:val="10"/>
        </w:rPr>
        <w:t xml:space="preserve"> </w:t>
      </w:r>
      <w:r>
        <w:rPr>
          <w:rFonts w:ascii="Times" w:hAnsi="Times" w:cs="Times"/>
          <w:sz w:val="22"/>
          <w:sz-cs w:val="22"/>
          <w:b/>
        </w:rPr>
        <w:t xml:space="preserve">רבאיעה נ' מדינת ישראל</w:t>
      </w:r>
      <w:r>
        <w:rPr>
          <w:rFonts w:ascii="Times New Roman" w:hAnsi="Times New Roman" w:cs="Times New Roman"/>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(12.03.2018)</w:t>
      </w:r>
      <w:r>
        <w:rPr>
          <w:rFonts w:ascii="Times New Roman" w:hAnsi="Times New Roman" w:cs="Times New Roman"/>
          <w:sz w:val="28"/>
          <w:sz-cs w:val="28"/>
        </w:rPr>
        <w:t xml:space="preserve">;</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 HYPERLINK "http://www.nevo.co.il/case/21876154" רע"פ 10059/16</w:t>
      </w:r>
      <w:r>
        <w:rPr>
          <w:rFonts w:ascii="Times New Roman" w:hAnsi="Times New Roman" w:cs="Times New Roman"/>
          <w:sz w:val="28"/>
          <w:sz-cs w:val="28"/>
        </w:rPr>
        <w:t xml:space="preserve"> בדיר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(14.3.2017)).</w:t>
      </w:r>
      <w:r>
        <w:rPr>
          <w:rFonts w:ascii="Arial" w:hAnsi="Arial" w:cs="Arial"/>
          <w:sz w:val="22"/>
          <w:sz-cs w:val="22"/>
          <w:spacing w:val="10"/>
        </w:rPr>
        <w:t xml:space="preserve"> הבקשה שלפניי משיגה על חומרת העונש שהושת על המבקש, וכידוע, בקשות כגון דא אינן מצדיקות, ככלל, מתן רשות ערעור </w:t>
      </w:r>
      <w:r>
        <w:rPr>
          <w:rFonts w:ascii="Times New Roman" w:hAnsi="Times New Roman" w:cs="Times New Roman"/>
          <w:sz w:val="22"/>
          <w:sz-cs w:val="22"/>
          <w:spacing w:val="10"/>
        </w:rPr>
        <w:t xml:space="preserve">"</w:t>
      </w:r>
      <w:r>
        <w:rPr>
          <w:rFonts w:ascii="Times New Roman" w:hAnsi="Times New Roman" w:cs="Times New Roman"/>
          <w:sz w:val="28"/>
          <w:sz-cs w:val="28"/>
        </w:rPr>
        <w:t xml:space="preserve">בגלגול שלישי</w:t>
      </w:r>
      <w:r>
        <w:rPr>
          <w:rFonts w:ascii="Times New Roman" w:hAnsi="Times New Roman" w:cs="Times New Roman"/>
          <w:sz w:val="22"/>
          <w:sz-cs w:val="22"/>
          <w:spacing w:val="10"/>
        </w:rPr>
        <w:t xml:space="preserve">"</w:t>
      </w:r>
      <w:r>
        <w:rPr>
          <w:rFonts w:ascii="Arial" w:hAnsi="Arial" w:cs="Arial"/>
          <w:sz w:val="22"/>
          <w:sz-cs w:val="22"/>
          <w:spacing w:val="10"/>
        </w:rPr>
        <w:t xml:space="preserve">, אלא במקרים חריגים בהם חלה סטייה קיצונית בעניינו של המבקש, ממדיניות הענישה הנהוגה במקרים דומים (</w:t>
      </w:r>
      <w:r>
        <w:rPr>
          <w:rFonts w:ascii="Arial" w:hAnsi="Arial" w:cs="Arial"/>
          <w:sz w:val="22"/>
          <w:sz-cs w:val="22"/>
          <w:u w:val="single"/>
          <w:spacing w:val="10"/>
          <w:color w:val="0000FF"/>
        </w:rPr>
        <w:t xml:space="preserve"> HYPERLINK "http://www.nevo.co.il/case/23748897" רע"פ 1183/18</w:t>
      </w:r>
      <w:r>
        <w:rPr>
          <w:rFonts w:ascii="Arial" w:hAnsi="Arial" w:cs="Arial"/>
          <w:sz w:val="22"/>
          <w:sz-cs w:val="22"/>
          <w:spacing w:val="10"/>
        </w:rPr>
        <w:t xml:space="preserve"> </w:t>
      </w:r>
      <w:r>
        <w:rPr>
          <w:rFonts w:ascii="Times New Roman" w:hAnsi="Times New Roman" w:cs="Times New Roman"/>
          <w:sz w:val="28"/>
          <w:sz-cs w:val="28"/>
        </w:rPr>
        <w:t xml:space="preserve">ששון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(21.3.2018); </w:t>
      </w:r>
      <w:r>
        <w:rPr>
          <w:rFonts w:ascii="Arial" w:hAnsi="Arial" w:cs="Arial"/>
          <w:sz w:val="22"/>
          <w:sz-cs w:val="22"/>
          <w:u w:val="single"/>
          <w:spacing w:val="10"/>
          <w:color w:val="0000FF"/>
        </w:rPr>
        <w:t xml:space="preserve"> HYPERLINK "http://www.nevo.co.il/case/22923928" רע"פ 6481/17</w:t>
      </w:r>
      <w:r>
        <w:rPr>
          <w:rFonts w:ascii="Arial" w:hAnsi="Arial" w:cs="Arial"/>
          <w:sz w:val="22"/>
          <w:sz-cs w:val="22"/>
          <w:spacing w:val="10"/>
        </w:rPr>
        <w:t xml:space="preserve"> </w:t>
      </w:r>
      <w:r>
        <w:rPr>
          <w:rFonts w:ascii="Times New Roman" w:hAnsi="Times New Roman" w:cs="Times New Roman"/>
          <w:sz w:val="28"/>
          <w:sz-cs w:val="28"/>
        </w:rPr>
        <w:t xml:space="preserve">לחאם האלה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(02.11.2017)). </w:t>
      </w:r>
      <w:r>
        <w:rPr>
          <w:rFonts w:ascii="Times New Roman" w:hAnsi="Times New Roman" w:cs="Times New Roman"/>
          <w:sz w:val="28"/>
          <w:sz-cs w:val="28"/>
        </w:rPr>
        <w:t xml:space="preserve">הבקשה שלפניי אינה עומדת באמות המידה האמורות, ודי בכך בכדי לדחותה.</w:t>
      </w:r>
      <w:r>
        <w:rPr>
          <w:rFonts w:ascii="Arial" w:hAnsi="Arial" w:cs="Arial"/>
          <w:sz w:val="22"/>
          <w:sz-cs w:val="22"/>
          <w:spacing w:val="10"/>
        </w:rPr>
        <w:t xml:space="preserve"/>
      </w:r>
    </w:p>
    <w:p>
      <w:pPr>
        <w:jc w:val="right"/>
        <w:bidi/>
        <w:ind w:right="720"/>
      </w:pPr>
      <w:r>
        <w:rPr>
          <w:rFonts w:ascii="Arial" w:hAnsi="Arial" w:cs="Arial"/>
          <w:sz w:val="24"/>
          <w:sz-cs w:val="24"/>
        </w:rPr>
        <w:t xml:space="preserve"/>
      </w:r>
    </w:p>
    <w:p>
      <w:pPr>
        <w:jc w:val="both"/>
        <w:bidi/>
      </w:pPr>
      <w:r>
        <w:rPr>
          <w:rFonts w:ascii="Arial" w:hAnsi="Arial" w:cs="Arial"/>
          <w:sz w:val="22"/>
          <w:sz-cs w:val="22"/>
          <w:spacing w:val="10"/>
        </w:rPr>
        <w:t xml:space="preserve">למעלה מן הצורך, אוסיף כי לאחר שבחנתי את כלל הנסיבות </w:t>
      </w:r>
      <w:r>
        <w:rPr>
          <w:rFonts w:ascii="Times New Roman" w:hAnsi="Times New Roman" w:cs="Times New Roman"/>
          <w:sz w:val="22"/>
          <w:sz-cs w:val="22"/>
          <w:spacing w:val="10"/>
        </w:rPr>
        <w:t xml:space="preserve">הגעתי לידי מסקנה כי דין הבקשה להידחות אף לגופה</w:t>
      </w:r>
      <w:r>
        <w:rPr>
          <w:rFonts w:ascii="Arial" w:hAnsi="Arial" w:cs="Arial"/>
          <w:sz w:val="22"/>
          <w:sz-cs w:val="22"/>
          <w:spacing w:val="10"/>
        </w:rPr>
        <w:t xml:space="preserve">. אין בידיי לקבל את הטענה, כי היה על בית המשפט המחוזי לחרוג לקולה ממתחם העונש ההולם גם מטעמים אשר אינם נופלים בגדר חריג השיקום. ראשית, וכפי שציינתי לא </w:t>
      </w:r>
      <w:r>
        <w:rPr>
          <w:rFonts w:ascii="Times New Roman" w:hAnsi="Times New Roman" w:cs="Times New Roman"/>
          <w:sz w:val="28"/>
          <w:sz-cs w:val="28"/>
          <w:spacing w:val="10"/>
        </w:rPr>
        <w:t xml:space="preserve">מכבר </w:t>
      </w:r>
      <w:r>
        <w:rPr>
          <w:rFonts w:ascii="Arial" w:hAnsi="Arial" w:cs="Arial"/>
          <w:sz w:val="22"/>
          <w:sz-cs w:val="22"/>
          <w:spacing w:val="10"/>
        </w:rPr>
        <w:t xml:space="preserve">"</w:t>
      </w:r>
      <w:r>
        <w:rPr>
          <w:rFonts w:ascii="Times New Roman" w:hAnsi="Times New Roman" w:cs="Times New Roman"/>
          <w:sz w:val="28"/>
          <w:sz-cs w:val="28"/>
        </w:rPr>
        <w:t xml:space="preserve">ההכרעה בעניין לופוליאנסקי נעשתה על רקע נסיבותיו המיוחדות של אותו מקרה, אשר הצביעו על כך שעונש מאסר עלול להביא לקיצור ממשי של תוחלת חייו</w:t>
      </w:r>
      <w:r>
        <w:rPr>
          <w:rFonts w:ascii="Arial" w:hAnsi="Arial" w:cs="Arial"/>
          <w:sz w:val="22"/>
          <w:sz-cs w:val="22"/>
          <w:spacing w:val="10"/>
        </w:rPr>
        <w:t xml:space="preserve">" (ראו: </w:t>
      </w:r>
      <w:r>
        <w:rPr>
          <w:rFonts w:ascii="Arial" w:hAnsi="Arial" w:cs="Arial"/>
          <w:sz w:val="22"/>
          <w:sz-cs w:val="22"/>
          <w:u w:val="single"/>
          <w:spacing w:val="10"/>
          <w:color w:val="0000FF"/>
        </w:rPr>
        <w:t xml:space="preserve"> HYPERLINK "http://www.nevo.co.il/case/21472454" רע"פ 2844/16</w:t>
      </w:r>
      <w:r>
        <w:rPr>
          <w:rFonts w:ascii="Arial" w:hAnsi="Arial" w:cs="Arial"/>
          <w:sz w:val="22"/>
          <w:sz-cs w:val="22"/>
          <w:spacing w:val="10"/>
        </w:rPr>
        <w:t xml:space="preserve"> </w:t>
      </w:r>
      <w:r>
        <w:rPr>
          <w:rFonts w:ascii="Times New Roman" w:hAnsi="Times New Roman" w:cs="Times New Roman"/>
          <w:sz w:val="28"/>
          <w:sz-cs w:val="28"/>
        </w:rPr>
        <w:t xml:space="preserve">ביאלה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(13.4.2016)). נסיבותיו של המבקש שונות מהותית מאלו אשר הובילו להחלטה לחרוג לקולה ממתחם העונש ההולם בעניין </w:t>
      </w:r>
      <w:r>
        <w:rPr>
          <w:rFonts w:ascii="Times New Roman" w:hAnsi="Times New Roman" w:cs="Times New Roman"/>
          <w:sz w:val="28"/>
          <w:sz-cs w:val="28"/>
        </w:rPr>
        <w:t xml:space="preserve">לופוליאנסקי</w:t>
      </w:r>
      <w:r>
        <w:rPr>
          <w:rFonts w:ascii="Arial" w:hAnsi="Arial" w:cs="Arial"/>
          <w:sz w:val="22"/>
          <w:sz-cs w:val="22"/>
          <w:spacing w:val="10"/>
        </w:rPr>
        <w:t xml:space="preserve">. שנית, בית המשפט המחוזי כבר נתן, בגוזרו את עונשו של המבקש, ביטוי ממשי לשינוי המהותי שערך המבקש באורחות חייו והתחשב במאמציו של המבקש להשתית את חייו האישיים והמשפחתיים על בסיס נורמטיבי, וזאת באמצעות חריגה משמעותית לקולה ממתחם העונש ההולם, אשר נקבע על ידו.</w:t>
      </w:r>
    </w:p>
    <w:p>
      <w:pPr>
        <w:jc w:val="right"/>
        <w:bidi/>
        <w:ind w:right="720"/>
      </w:pPr>
      <w:r>
        <w:rPr>
          <w:rFonts w:ascii="Arial" w:hAnsi="Arial" w:cs="Arial"/>
          <w:sz w:val="24"/>
          <w:sz-cs w:val="24"/>
        </w:rPr>
        <w:t xml:space="preserve"/>
      </w:r>
    </w:p>
    <w:p>
      <w:pPr>
        <w:jc w:val="both"/>
        <w:bidi/>
      </w:pPr>
      <w:r>
        <w:rPr>
          <w:rFonts w:ascii="Arial" w:hAnsi="Arial" w:cs="Arial"/>
          <w:sz w:val="22"/>
          <w:sz-cs w:val="22"/>
          <w:spacing w:val="10"/>
        </w:rPr>
        <w:t xml:space="preserve">על יסוד האמור, נחה דעתי כי העונש שהושת על המבקש </w:t>
      </w:r>
      <w:r>
        <w:rPr>
          <w:rFonts w:ascii="Times New Roman" w:hAnsi="Times New Roman" w:cs="Times New Roman"/>
          <w:sz w:val="22"/>
          <w:sz-cs w:val="22"/>
          <w:spacing w:val="10"/>
        </w:rPr>
        <w:t xml:space="preserve">מבטא, בנסיבות העניין, איזון ראוי בין כלל השיקולים לקולה ולחומרה</w:t>
      </w:r>
      <w:r>
        <w:rPr>
          <w:rFonts w:ascii="Arial" w:hAnsi="Arial" w:cs="Arial"/>
          <w:sz w:val="22"/>
          <w:sz-cs w:val="22"/>
          <w:spacing w:val="10"/>
        </w:rPr>
        <w:t xml:space="preserve">, ומשלא מצאתי טעם ראוי לדון בעניינו של המבקש ב"</w:t>
      </w:r>
      <w:r>
        <w:rPr>
          <w:rFonts w:ascii="Times New Roman" w:hAnsi="Times New Roman" w:cs="Times New Roman"/>
          <w:sz w:val="28"/>
          <w:sz-cs w:val="28"/>
          <w:spacing w:val="10"/>
        </w:rPr>
        <w:t xml:space="preserve">גלגול שלישי</w:t>
      </w:r>
      <w:r>
        <w:rPr>
          <w:rFonts w:ascii="Arial" w:hAnsi="Arial" w:cs="Arial"/>
          <w:sz w:val="22"/>
          <w:sz-cs w:val="22"/>
          <w:spacing w:val="10"/>
        </w:rPr>
        <w:t xml:space="preserve">", דין בקשת רשות הערעור להידחות.</w:t>
      </w:r>
    </w:p>
    <w:p>
      <w:pPr>
        <w:jc w:val="right"/>
        <w:bidi/>
        <w:ind w:right="720"/>
      </w:pPr>
      <w:r>
        <w:rPr>
          <w:rFonts w:ascii="Arial" w:hAnsi="Arial" w:cs="Arial"/>
          <w:sz w:val="24"/>
          <w:sz-cs w:val="24"/>
        </w:rPr>
        <w:t xml:space="preserve"/>
      </w:r>
    </w:p>
    <w:p>
      <w:pPr>
        <w:jc w:val="both"/>
        <w:bidi/>
      </w:pPr>
      <w:r>
        <w:rPr>
          <w:rFonts w:ascii="Arial" w:hAnsi="Arial" w:cs="Arial"/>
          <w:sz w:val="22"/>
          <w:sz-cs w:val="22"/>
          <w:spacing w:val="10"/>
        </w:rPr>
        <w:t xml:space="preserve">החלטתי על עיכוב ביצוע העונש מתבטלת בזאת, והמבקש יתייצב לביצוע עבודות השירות במועצה הדתית כרמיאל, בפני הממונה על עבודות שירות, ביום 13.5.2018 שעה 08:00.</w:t>
      </w:r>
    </w:p>
    <w:p>
      <w:pPr>
        <w:jc w:val="right"/>
        <w:bidi/>
        <w:ind w:right="720"/>
      </w:pPr>
      <w:r>
        <w:rPr>
          <w:rFonts w:ascii="Arial" w:hAnsi="Arial" w:cs="Arial"/>
          <w:sz w:val="24"/>
          <w:sz-cs w:val="24"/>
        </w:rPr>
        <w:t xml:space="preserve"/>
      </w:r>
    </w:p>
    <w:p>
      <w:pPr>
        <w:jc w:val="both"/>
        <w:bidi/>
      </w:pPr>
      <w:r>
        <w:rPr>
          <w:rFonts w:ascii="Arial" w:hAnsi="Arial" w:cs="Arial"/>
          <w:sz w:val="22"/>
          <w:sz-cs w:val="22"/>
          <w:spacing w:val="10"/>
        </w:rPr>
        <w:t xml:space="preserve"> ניתן היום, ‏ז' באייר התשע"ח (‏22.4.2018).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18014730_I02.doc   בל</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54678313-1473/18</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1473/18 </w:t>
        <w:tab/>
        <w:t xml:space="preserve"> שמואל אוחיון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1473/18 </w:t>
        <w:tab/>
        <w:t xml:space="preserve"> שמואל אוחיון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2018-05-24T10:29:00Z</dcterms:created>
  <dcterms:modified>2018-05-24T10:29:00Z</dcterms:modified>
</cp:coreProperties>
</file>

<file path=docProps/meta.xml><?xml version="1.0" encoding="utf-8"?>
<meta xmlns="http://schemas.apple.com/cocoa/2006/metadata">
  <generator>CocoaOOXMLWriter/2575.7</generator>
</meta>
</file>