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/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1505/14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ס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'</w:t>
            </w:r>
            <w:r>
              <w:rPr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עמית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סולברג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אחמד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לידאוי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בנצרת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15.1.2014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50476-05-13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[</w:t>
            </w:r>
            <w:r>
              <w:rPr>
                <w:szCs w:val="24"/>
                <w:rtl w:val="true"/>
              </w:rPr>
              <w:t>פורסם</w:t>
            </w:r>
            <w:r>
              <w:rPr>
                <w:rFonts w:cs="Times New Roman"/>
                <w:szCs w:val="24"/>
                <w:rtl w:val="true"/>
              </w:rPr>
              <w:t xml:space="preserve"> </w:t>
            </w:r>
            <w:r>
              <w:rPr>
                <w:szCs w:val="24"/>
                <w:rtl w:val="true"/>
              </w:rPr>
              <w:t>בנבו</w:t>
            </w:r>
            <w:r>
              <w:rPr>
                <w:szCs w:val="24"/>
                <w:rtl w:val="true"/>
              </w:rPr>
              <w:t xml:space="preserve">]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שיטרית</w:t>
            </w:r>
          </w:p>
        </w:tc>
      </w:tr>
    </w:tbl>
    <w:p>
      <w:pPr>
        <w:pStyle w:val="Ruller31"/>
        <w:spacing w:lineRule="auto" w:line="480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כ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בתמוז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bookmarkEnd w:id="5"/>
            <w:r>
              <w:rPr>
                <w:rFonts w:cs="Times New Roman"/>
                <w:rtl w:val="true"/>
              </w:rPr>
              <w:t xml:space="preserve">     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24.7.2014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ראפי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מסאלחה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bookmarkStart w:id="6" w:name="FirstLawyer"/>
            <w:bookmarkEnd w:id="6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אושרה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פטל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רוזנברג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spacing w:lineRule="auto" w:line="360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7" w:name="LawTable"/>
      <w:bookmarkStart w:id="8" w:name="LawTable"/>
      <w:bookmarkEnd w:id="8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275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338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)(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5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413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bookmarkStart w:id="9" w:name="ABSTRACT_START"/>
      <w:bookmarkStart w:id="10" w:name="LawTable_End"/>
      <w:bookmarkEnd w:id="9"/>
      <w:bookmarkEnd w:id="10"/>
      <w:r>
        <w:rPr>
          <w:rFonts w:ascii="Times New Roman" w:hAnsi="Times New Roman" w:cs="Times New Roman"/>
          <w:spacing w:val="0"/>
          <w:szCs w:val="26"/>
          <w:rtl w:val="true"/>
        </w:rPr>
        <w:t>מיני</w:t>
      </w:r>
      <w:r>
        <w:rPr>
          <w:rFonts w:cs="Times New Roman" w:ascii="Times New Roman" w:hAnsi="Times New Roman"/>
          <w:spacing w:val="0"/>
          <w:szCs w:val="26"/>
          <w:rtl w:val="true"/>
        </w:rPr>
        <w:t>-</w:t>
      </w:r>
      <w:r>
        <w:rPr>
          <w:rFonts w:ascii="Times New Roman" w:hAnsi="Times New Roman" w:cs="Times New Roman"/>
          <w:spacing w:val="0"/>
          <w:szCs w:val="26"/>
          <w:rtl w:val="true"/>
        </w:rPr>
        <w:t>רציו</w:t>
      </w:r>
      <w:r>
        <w:rPr>
          <w:rFonts w:cs="Times New Roman" w:ascii="Times New Roman" w:hAnsi="Times New Roman"/>
          <w:spacing w:val="0"/>
          <w:szCs w:val="26"/>
          <w:rtl w:val="true"/>
        </w:rPr>
        <w:t>: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/>
      </w:pPr>
      <w:r>
        <w:rPr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 העליון הקל בעונשו של נאשם בעבירה של החזקת נשק שלא כדין בהתחשב בנסיבותיו האישיות המיוחדות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Cs w:val="26"/>
          <w:rtl w:val="true"/>
        </w:rPr>
        <w:t>במובן זה שעונש המאסר בפועל שגזר עליו ביהמ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 המחוזי הומר לשישה חודשי מאסר שירוצו בעבודות שירות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Cs w:val="26"/>
          <w:rtl w:val="true"/>
        </w:rPr>
        <w:t>עבירות נשק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 w:ascii="Times New Roman" w:hAnsi="Times New Roman"/>
          <w:spacing w:val="0"/>
          <w:szCs w:val="26"/>
          <w:rtl w:val="true"/>
        </w:rPr>
        <w:t xml:space="preserve">* </w:t>
      </w:r>
      <w:r>
        <w:rPr>
          <w:rFonts w:ascii="Times New Roman" w:hAnsi="Times New Roman" w:cs="Times New Roman"/>
          <w:spacing w:val="0"/>
          <w:szCs w:val="26"/>
          <w:rtl w:val="true"/>
        </w:rPr>
        <w:t>עונשין – ענישה – מדיניות ענישה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Cs w:val="26"/>
          <w:rtl w:val="true"/>
        </w:rPr>
        <w:t>שיקולים לקולה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cs="Times New Roman" w:ascii="Times New Roman" w:hAnsi="Times New Roman"/>
          <w:spacing w:val="0"/>
          <w:szCs w:val="26"/>
          <w:rtl w:val="true"/>
        </w:rPr>
        <w:t>.</w:t>
      </w:r>
    </w:p>
    <w:p>
      <w:pPr>
        <w:pStyle w:val="Ruller42"/>
        <w:numPr>
          <w:ilvl w:val="0"/>
          <w:numId w:val="0"/>
        </w:numPr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hanging="0" w:start="0" w:end="0"/>
        <w:jc w:val="both"/>
        <w:rPr>
          <w:rFonts w:ascii="Times New Roman" w:hAnsi="Times New Roman" w:cs="Times New Roman"/>
          <w:spacing w:val="0"/>
          <w:szCs w:val="26"/>
        </w:rPr>
      </w:pPr>
      <w:r>
        <w:rPr>
          <w:rFonts w:ascii="Times New Roman" w:hAnsi="Times New Roman" w:cs="Times New Roman"/>
          <w:spacing w:val="0"/>
          <w:szCs w:val="26"/>
          <w:rtl w:val="true"/>
        </w:rPr>
        <w:t>ערעור על גז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ד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רקע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Cs w:val="26"/>
          <w:rtl w:val="true"/>
        </w:rPr>
        <w:t>המערער החזיק בארון בביתו אקדח החשוד כגנוב כשהוא טעון וזאת כשאין בידו רישיון להחזקת נשק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Cs w:val="26"/>
          <w:rtl w:val="true"/>
        </w:rPr>
        <w:t>ש המחוזי הרשיע את המערער בעבירות של החזקת נשק שלא כדין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Cs w:val="26"/>
          <w:rtl w:val="true"/>
        </w:rPr>
        <w:t>הפרעה לשוטר במילוי תפקידו והחזקת רכוש החשוד כגנוב וגזר עליו שמונה חודשי מאסר בפועל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שני עונשי מאסר על תנאי וקנס בסך </w:t>
      </w:r>
      <w:r>
        <w:rPr>
          <w:rFonts w:cs="Times New Roman" w:ascii="Times New Roman" w:hAnsi="Times New Roman"/>
          <w:spacing w:val="0"/>
          <w:szCs w:val="26"/>
        </w:rPr>
        <w:t>5,000</w:t>
      </w:r>
      <w:r>
        <w:rPr>
          <w:rFonts w:cs="Times New Roman" w:ascii="Times New Roman" w:hAnsi="Times New Roman"/>
          <w:spacing w:val="0"/>
          <w:szCs w:val="26"/>
          <w:rtl w:val="true"/>
        </w:rPr>
        <w:t xml:space="preserve"> ₪.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ש העליון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מפי השופט ס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'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ג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'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ובראן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קיבל את הערעור חלקית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מהטעמים הבאים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מזכיר את עמדת 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העליון לעניין חומרתן של עבירות הנשק בכלל ועבירת החזקת נשק בפרט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מדיניות הענישה היא של הטלת עונשי מאסר לריצוי בפועל גם על מי שזו עבירתו הראשונה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באשר לטענה כי הנשק הוחזק לצורך הגנה עצמית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צוין בין היתר פסיקה הקובעת כי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החזקה של כלי נשק על ידי מי שאינו מורשה בכך יש בה פוטנציאל להוביל להסלמה חמורה ולתוצאות קשות של כל אירוע בו יהיה מעורב אותו נושא נשק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וזאת אף מקום שהנשק מוחזק אך למטרות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'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הגנה עצמית בלבד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'".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על אף האמור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ביהמ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ש מוצא לקבל את הערעור חלקית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במובן זה שעונש המאסר בפועל יומר לשישה חודשי מאסר שירוצו בעבודות שירות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וזאת בהתחשב בנסיבותיו האישיות המיוחדות של המערער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גילו 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cs="Times New Roman" w:ascii="Times New Roman" w:hAnsi="Times New Roman"/>
          <w:spacing w:val="0"/>
          <w:sz w:val="24"/>
          <w:szCs w:val="26"/>
        </w:rPr>
        <w:t>60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);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עברו הפלילי שאינו מכביד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מצבו הבריאותי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הודאתו ולקיחת אחריות על מעשיו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היותו נתון לתקופה ניכרת לתנאים מגבילים מבלי שהפר אותם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>עדות עדי אופי רבים על היותו אדם תורם ונוח לבריות ועל פעילותו הברוכה למען הקהילה והציבור</w:t>
      </w:r>
      <w:r>
        <w:rPr>
          <w:rFonts w:cs="Times New Roman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Normal"/>
        <w:tabs>
          <w:tab w:val="clear" w:pos="720"/>
          <w:tab w:val="left" w:pos="2552" w:leader="none"/>
        </w:tabs>
        <w:spacing w:lineRule="auto" w:line="360"/>
        <w:ind w:end="0"/>
        <w:jc w:val="start"/>
        <w:rPr>
          <w:rFonts w:ascii="Times New Roman" w:hAnsi="Times New Roman" w:cs="Times New Roman"/>
          <w:spacing w:val="0"/>
          <w:sz w:val="24"/>
          <w:szCs w:val="26"/>
        </w:rPr>
      </w:pPr>
      <w:r>
        <w:rPr>
          <w:rFonts w:cs="Times New Roman"/>
          <w:spacing w:val="0"/>
          <w:sz w:val="24"/>
          <w:szCs w:val="26"/>
          <w:rtl w:val="true"/>
        </w:rPr>
      </w:r>
      <w:bookmarkStart w:id="11" w:name="ABSTRACT_END"/>
      <w:bookmarkStart w:id="12" w:name="ABSTRACT_END"/>
      <w:bookmarkEnd w:id="12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3" w:name="PsakDin"/>
            <w:bookmarkStart w:id="14" w:name="secretary"/>
            <w:bookmarkStart w:id="15" w:name="BeginProtocol"/>
            <w:bookmarkEnd w:id="13"/>
            <w:bookmarkEnd w:id="14"/>
            <w:bookmarkEnd w:id="15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6" w:name="Writer_Name"/>
      <w:bookmarkEnd w:id="16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ס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ג</w:t>
      </w:r>
      <w:r>
        <w:rPr>
          <w:rFonts w:cs="Miriam"/>
          <w:sz w:val="24"/>
          <w:szCs w:val="24"/>
          <w:u w:val="single"/>
          <w:rtl w:val="true"/>
        </w:rPr>
        <w:t>'</w:t>
      </w:r>
      <w:r>
        <w:rPr>
          <w:rFonts w:cs="Miriam"/>
          <w:sz w:val="24"/>
          <w:sz w:val="24"/>
          <w:szCs w:val="24"/>
          <w:u w:val="single"/>
          <w:rtl w:val="true"/>
        </w:rPr>
        <w:t>ובראן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1"/>
        <w:spacing w:lineRule="auto" w:line="480"/>
        <w:ind w:end="0"/>
        <w:jc w:val="both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  <w:bookmarkStart w:id="17" w:name="Start_Write"/>
      <w:bookmarkStart w:id="18" w:name="Start_Write"/>
      <w:bookmarkEnd w:id="18"/>
    </w:p>
    <w:p>
      <w:pPr>
        <w:pStyle w:val="Ruller42"/>
        <w:numPr>
          <w:ilvl w:val="0"/>
          <w:numId w:val="1"/>
        </w:numPr>
        <w:ind w:end="0"/>
        <w:jc w:val="both"/>
        <w:rPr/>
      </w:pPr>
      <w:bookmarkStart w:id="19" w:name="_GoBack"/>
      <w:bookmarkEnd w:id="19"/>
      <w:r>
        <w:rPr>
          <w:rtl w:val="true"/>
        </w:rPr>
        <w:t xml:space="preserve">ערעור על גזר דינו של בית המשפט המחוזי בנצרת </w:t>
      </w:r>
      <w:r>
        <w:rPr>
          <w:rtl w:val="true"/>
        </w:rPr>
        <w:t>(</w:t>
      </w:r>
      <w:r>
        <w:rPr>
          <w:rtl w:val="true"/>
        </w:rPr>
        <w:t xml:space="preserve">השופטת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שיטרית</w:t>
      </w:r>
      <w:r>
        <w:rPr>
          <w:rFonts w:cs="Century" w:ascii="Century" w:hAnsi="Century"/>
          <w:sz w:val="22"/>
          <w:rtl w:val="true"/>
        </w:rPr>
        <w:t xml:space="preserve">) </w:t>
      </w:r>
      <w:r>
        <w:rPr>
          <w:rFonts w:ascii="Century" w:hAnsi="Century" w:cs="Century"/>
          <w:sz w:val="22"/>
          <w:sz w:val="22"/>
          <w:rtl w:val="true"/>
        </w:rPr>
        <w:t>ב</w:t>
      </w:r>
      <w:hyperlink r:id="rId9"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ת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  <w:rtl w:val="true"/>
          </w:rPr>
          <w:t>"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>פ</w:t>
        </w:r>
        <w:r>
          <w:rPr>
            <w:rStyle w:val="Hyperlink"/>
            <w:rFonts w:ascii="Century" w:hAnsi="Century" w:cs="Century"/>
            <w:color w:val="0000FF"/>
            <w:sz w:val="22"/>
            <w:sz w:val="22"/>
            <w:u w:val="single"/>
            <w:rtl w:val="true"/>
          </w:rPr>
          <w:t xml:space="preserve"> </w:t>
        </w:r>
        <w:r>
          <w:rPr>
            <w:rStyle w:val="Hyperlink"/>
            <w:rFonts w:cs="Century" w:ascii="Century" w:hAnsi="Century"/>
            <w:color w:val="0000FF"/>
            <w:sz w:val="22"/>
            <w:u w:val="single"/>
          </w:rPr>
          <w:t>50476-05-13</w:t>
        </w:r>
      </w:hyperlink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ascii="Century" w:hAnsi="Century" w:cs="Century"/>
          <w:sz w:val="22"/>
          <w:sz w:val="22"/>
          <w:rtl w:val="true"/>
        </w:rPr>
        <w:t xml:space="preserve">מיום </w:t>
      </w:r>
      <w:r>
        <w:rPr>
          <w:rFonts w:cs="Century" w:ascii="Century" w:hAnsi="Century"/>
          <w:sz w:val="22"/>
        </w:rPr>
        <w:t>15.1.2014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במסגרתו הושת על המערער עונש של שמונה חודשי מאסר בפועל</w:t>
      </w:r>
      <w:r>
        <w:rPr>
          <w:rFonts w:cs="Century" w:ascii="Century" w:hAnsi="Century"/>
          <w:sz w:val="22"/>
          <w:rtl w:val="true"/>
        </w:rPr>
        <w:t xml:space="preserve">; </w:t>
      </w:r>
      <w:r>
        <w:rPr>
          <w:rFonts w:cs="Century" w:ascii="Century" w:hAnsi="Century"/>
          <w:sz w:val="22"/>
        </w:rPr>
        <w:t>12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 xml:space="preserve">חודשי מאסר על תנאי שלא יעבור תוך </w:t>
      </w:r>
      <w:r>
        <w:rPr>
          <w:rFonts w:cs="Century" w:ascii="Century" w:hAnsi="Century"/>
          <w:sz w:val="22"/>
        </w:rPr>
        <w:t>3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שנים עבירה בנשק מסוג פשע</w:t>
      </w:r>
      <w:r>
        <w:rPr>
          <w:rFonts w:cs="Century" w:ascii="Century" w:hAnsi="Century"/>
          <w:sz w:val="22"/>
          <w:rtl w:val="true"/>
        </w:rPr>
        <w:t xml:space="preserve">; </w:t>
      </w:r>
      <w:r>
        <w:rPr>
          <w:rFonts w:ascii="Century" w:hAnsi="Century" w:cs="Century"/>
          <w:sz w:val="22"/>
          <w:sz w:val="22"/>
          <w:rtl w:val="true"/>
        </w:rPr>
        <w:t xml:space="preserve">שישה חודשי מאסר על תנאי שלא יעבור תוך </w:t>
      </w:r>
      <w:r>
        <w:rPr>
          <w:rFonts w:cs="Century" w:ascii="Century" w:hAnsi="Century"/>
          <w:sz w:val="22"/>
        </w:rPr>
        <w:t>3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שנים עבירה בנשק מסוג עוון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עבירה של מעשה פזיזות ורשלנות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עבירה כלפי עובד ציבור</w:t>
      </w:r>
      <w:r>
        <w:rPr>
          <w:rFonts w:cs="Century" w:ascii="Century" w:hAnsi="Century"/>
          <w:sz w:val="22"/>
          <w:rtl w:val="true"/>
        </w:rPr>
        <w:t xml:space="preserve">, </w:t>
      </w:r>
      <w:r>
        <w:rPr>
          <w:rFonts w:ascii="Century" w:hAnsi="Century" w:cs="Century"/>
          <w:sz w:val="22"/>
          <w:sz w:val="22"/>
          <w:rtl w:val="true"/>
        </w:rPr>
        <w:t>או עבירת רכוש</w:t>
      </w:r>
      <w:r>
        <w:rPr>
          <w:rFonts w:cs="Century" w:ascii="Century" w:hAnsi="Century"/>
          <w:sz w:val="22"/>
          <w:rtl w:val="true"/>
        </w:rPr>
        <w:t xml:space="preserve">; </w:t>
      </w:r>
      <w:r>
        <w:rPr>
          <w:rFonts w:ascii="Century" w:hAnsi="Century" w:cs="Century"/>
          <w:sz w:val="22"/>
          <w:sz w:val="22"/>
          <w:rtl w:val="true"/>
        </w:rPr>
        <w:t xml:space="preserve">וקנס בסך </w:t>
      </w:r>
      <w:r>
        <w:rPr>
          <w:rFonts w:cs="Century" w:ascii="Century" w:hAnsi="Century"/>
          <w:sz w:val="22"/>
        </w:rPr>
        <w:t>5,000</w:t>
      </w:r>
      <w:r>
        <w:rPr>
          <w:rFonts w:cs="Century" w:ascii="Century" w:hAnsi="Century"/>
          <w:sz w:val="22"/>
          <w:rtl w:val="true"/>
        </w:rPr>
        <w:t xml:space="preserve"> </w:t>
      </w:r>
      <w:r>
        <w:rPr>
          <w:rFonts w:ascii="Century" w:hAnsi="Century" w:cs="Century"/>
          <w:sz w:val="22"/>
          <w:sz w:val="22"/>
          <w:rtl w:val="true"/>
        </w:rPr>
        <w:t>ש</w:t>
      </w:r>
      <w:r>
        <w:rPr>
          <w:rFonts w:cs="Century" w:ascii="Century" w:hAnsi="Century"/>
          <w:sz w:val="22"/>
          <w:rtl w:val="true"/>
        </w:rPr>
        <w:t>"</w:t>
      </w:r>
      <w:r>
        <w:rPr>
          <w:rFonts w:ascii="Century" w:hAnsi="Century" w:cs="Century"/>
          <w:sz w:val="22"/>
          <w:sz w:val="22"/>
          <w:rtl w:val="true"/>
        </w:rPr>
        <w:t>ח</w:t>
      </w:r>
      <w:r>
        <w:rPr>
          <w:rFonts w:cs="Century" w:ascii="Century" w:hAnsi="Century"/>
          <w:sz w:val="22"/>
          <w:rtl w:val="true"/>
        </w:rPr>
        <w:t xml:space="preserve">. </w:t>
      </w:r>
      <w:r>
        <w:rPr>
          <w:rtl w:val="true"/>
        </w:rPr>
        <w:t xml:space="preserve"> 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1"/>
        <w:spacing w:lineRule="auto" w:line="240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כתב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האישום</w:t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המערער הורשע על יסוד הודאתו בעובדות כתב אישום מתוקן בעבירות בנשק</w:t>
      </w:r>
      <w:r>
        <w:rPr>
          <w:rtl w:val="true"/>
        </w:rPr>
        <w:t xml:space="preserve">, </w:t>
      </w:r>
      <w:r>
        <w:rPr>
          <w:rtl w:val="true"/>
        </w:rPr>
        <w:t xml:space="preserve">לפי </w:t>
      </w:r>
      <w:hyperlink r:id="rId10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hyperlink r:id="rId11"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 וסיפא לחוק העונשין</w:t>
      </w:r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חוק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העונשין</w:t>
      </w:r>
      <w:r>
        <w:rPr>
          <w:rFonts w:cs="Century" w:ascii="Century" w:hAnsi="Century"/>
          <w:sz w:val="22"/>
          <w:rtl w:val="true"/>
        </w:rPr>
        <w:t>)</w:t>
      </w:r>
      <w:r>
        <w:rPr>
          <w:rtl w:val="true"/>
        </w:rPr>
        <w:t xml:space="preserve">; </w:t>
      </w:r>
      <w:r>
        <w:rPr>
          <w:rtl w:val="true"/>
        </w:rPr>
        <w:t>מעשה פזיזות ורשלנות</w:t>
      </w:r>
      <w:r>
        <w:rPr>
          <w:rtl w:val="true"/>
        </w:rPr>
        <w:t xml:space="preserve">, </w:t>
      </w:r>
      <w:r>
        <w:rPr>
          <w:rtl w:val="true"/>
        </w:rPr>
        <w:t xml:space="preserve">לפי </w:t>
      </w:r>
      <w:hyperlink r:id="rId12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338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)(</w:t>
        </w:r>
        <w:r>
          <w:rPr>
            <w:rStyle w:val="Hyperlink"/>
            <w:color w:val="0000FF"/>
            <w:u w:val="single"/>
          </w:rPr>
          <w:t>5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 העונשין</w:t>
      </w:r>
      <w:r>
        <w:rPr>
          <w:rtl w:val="true"/>
        </w:rPr>
        <w:t xml:space="preserve">; </w:t>
      </w:r>
      <w:r>
        <w:rPr>
          <w:rtl w:val="true"/>
        </w:rPr>
        <w:t>הפרעה לשוטר במילוי תפקידו</w:t>
      </w:r>
      <w:r>
        <w:rPr>
          <w:rtl w:val="true"/>
        </w:rPr>
        <w:t xml:space="preserve">, </w:t>
      </w:r>
      <w:r>
        <w:rPr>
          <w:rtl w:val="true"/>
        </w:rPr>
        <w:t xml:space="preserve">לפי </w:t>
      </w:r>
      <w:hyperlink r:id="rId13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275</w:t>
        </w:r>
      </w:hyperlink>
      <w:r>
        <w:rPr>
          <w:rtl w:val="true"/>
        </w:rPr>
        <w:t xml:space="preserve"> </w:t>
      </w:r>
      <w:r>
        <w:rPr>
          <w:rtl w:val="true"/>
        </w:rPr>
        <w:t>לחוק העונשין</w:t>
      </w:r>
      <w:r>
        <w:rPr>
          <w:rtl w:val="true"/>
        </w:rPr>
        <w:t xml:space="preserve">; </w:t>
      </w:r>
      <w:r>
        <w:rPr>
          <w:rtl w:val="true"/>
        </w:rPr>
        <w:t>והחזקת רכוש החשוד כגנוב</w:t>
      </w:r>
      <w:r>
        <w:rPr>
          <w:rtl w:val="true"/>
        </w:rPr>
        <w:t xml:space="preserve">, </w:t>
      </w:r>
      <w:r>
        <w:rPr>
          <w:rtl w:val="true"/>
        </w:rPr>
        <w:t xml:space="preserve">לפי </w:t>
      </w:r>
      <w:hyperlink r:id="rId14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413</w:t>
        </w:r>
      </w:hyperlink>
      <w:r>
        <w:rPr>
          <w:rtl w:val="true"/>
        </w:rPr>
        <w:t xml:space="preserve"> </w:t>
      </w:r>
      <w:r>
        <w:rPr>
          <w:rtl w:val="true"/>
        </w:rPr>
        <w:t>לחוק העונשין</w:t>
      </w:r>
      <w:r>
        <w:rPr>
          <w:rtl w:val="true"/>
        </w:rPr>
        <w:t xml:space="preserve">. </w:t>
      </w:r>
      <w:r>
        <w:rPr>
          <w:rtl w:val="true"/>
        </w:rPr>
        <w:t>על פי עובדות כתב האישום המתוקן</w:t>
      </w:r>
      <w:r>
        <w:rPr>
          <w:rtl w:val="true"/>
        </w:rPr>
        <w:t xml:space="preserve">, </w:t>
      </w:r>
      <w:r>
        <w:rPr>
          <w:rtl w:val="true"/>
        </w:rPr>
        <w:t xml:space="preserve">בשנת </w:t>
      </w:r>
      <w:r>
        <w:rPr/>
        <w:t>2011</w:t>
      </w:r>
      <w:r>
        <w:rPr>
          <w:rtl w:val="true"/>
        </w:rPr>
        <w:t xml:space="preserve">, </w:t>
      </w:r>
      <w:r>
        <w:rPr>
          <w:rtl w:val="true"/>
        </w:rPr>
        <w:t>במועד שאינו ידוע למשיבה</w:t>
      </w:r>
      <w:r>
        <w:rPr>
          <w:rtl w:val="true"/>
        </w:rPr>
        <w:t xml:space="preserve">, </w:t>
      </w:r>
      <w:r>
        <w:rPr>
          <w:rtl w:val="true"/>
        </w:rPr>
        <w:t>קיבל המערער לידיו אקדח החשוד כגנוב ובו מחסנית מלאה בכדורים</w:t>
      </w:r>
      <w:r>
        <w:rPr>
          <w:rtl w:val="true"/>
        </w:rPr>
        <w:t xml:space="preserve">, </w:t>
      </w:r>
      <w:r>
        <w:rPr>
          <w:rtl w:val="true"/>
        </w:rPr>
        <w:t>כשאין בידו רישיון להחזקת נשק</w:t>
      </w:r>
      <w:r>
        <w:rPr>
          <w:rtl w:val="true"/>
        </w:rPr>
        <w:t xml:space="preserve">. </w:t>
      </w:r>
      <w:r>
        <w:rPr>
          <w:rtl w:val="true"/>
        </w:rPr>
        <w:t>במועד אחר</w:t>
      </w:r>
      <w:r>
        <w:rPr>
          <w:rtl w:val="true"/>
        </w:rPr>
        <w:t xml:space="preserve">, </w:t>
      </w:r>
      <w:r>
        <w:rPr>
          <w:rtl w:val="true"/>
        </w:rPr>
        <w:t xml:space="preserve">קיבל הוא </w:t>
      </w:r>
      <w:r>
        <w:rPr/>
        <w:t>22</w:t>
      </w:r>
      <w:r>
        <w:rPr>
          <w:rtl w:val="true"/>
        </w:rPr>
        <w:t xml:space="preserve"> </w:t>
      </w:r>
      <w:r>
        <w:rPr>
          <w:rtl w:val="true"/>
        </w:rPr>
        <w:t>כדורים נוספים</w:t>
      </w:r>
      <w:r>
        <w:rPr>
          <w:rtl w:val="true"/>
        </w:rPr>
        <w:t xml:space="preserve">. </w:t>
      </w:r>
      <w:r>
        <w:rPr>
          <w:rtl w:val="true"/>
        </w:rPr>
        <w:t>עוד צוין כי המערער הטמין את האקדח כשהוא טעון במחסנית וכדור אחד</w:t>
      </w:r>
      <w:r>
        <w:rPr>
          <w:rtl w:val="true"/>
        </w:rPr>
        <w:t xml:space="preserve">, </w:t>
      </w:r>
      <w:r>
        <w:rPr>
          <w:rtl w:val="true"/>
        </w:rPr>
        <w:t>בארון ביתו ואת הכדורים הנוספים בתוך נרתיק על ארון בגדים</w:t>
      </w:r>
      <w:r>
        <w:rPr>
          <w:rtl w:val="true"/>
        </w:rPr>
        <w:t xml:space="preserve">, </w:t>
      </w:r>
      <w:r>
        <w:rPr>
          <w:rtl w:val="true"/>
        </w:rPr>
        <w:t>באופן שבו כל אחד מבני ביתו יכול היה למצוא אותם ולעשות בהם שימוש</w:t>
      </w:r>
      <w:r>
        <w:rPr>
          <w:rtl w:val="true"/>
        </w:rPr>
        <w:t xml:space="preserve">. </w:t>
      </w:r>
      <w:r>
        <w:rPr>
          <w:rtl w:val="true"/>
        </w:rPr>
        <w:t xml:space="preserve">ביום </w:t>
      </w:r>
      <w:r>
        <w:rPr/>
        <w:t>21.5.2013</w:t>
      </w:r>
      <w:r>
        <w:rPr>
          <w:rtl w:val="true"/>
        </w:rPr>
        <w:t xml:space="preserve">, </w:t>
      </w:r>
      <w:r>
        <w:rPr>
          <w:rtl w:val="true"/>
        </w:rPr>
        <w:t>הגיעו שוטרים לביתו של המערער</w:t>
      </w:r>
      <w:r>
        <w:rPr>
          <w:rtl w:val="true"/>
        </w:rPr>
        <w:t xml:space="preserve">. </w:t>
      </w:r>
      <w:r>
        <w:rPr>
          <w:rtl w:val="true"/>
        </w:rPr>
        <w:t>המערער ובתו</w:t>
      </w:r>
      <w:r>
        <w:rPr>
          <w:rtl w:val="true"/>
        </w:rPr>
        <w:t xml:space="preserve">, </w:t>
      </w:r>
      <w:r>
        <w:rPr>
          <w:rtl w:val="true"/>
        </w:rPr>
        <w:t xml:space="preserve">ילידת </w:t>
      </w:r>
      <w:r>
        <w:rPr/>
        <w:t>1999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הילדה</w:t>
      </w:r>
      <w:r>
        <w:rPr>
          <w:rFonts w:cs="Century" w:ascii="Century" w:hAnsi="Century"/>
          <w:sz w:val="22"/>
          <w:rtl w:val="true"/>
        </w:rPr>
        <w:t>),</w:t>
      </w:r>
      <w:r>
        <w:rPr>
          <w:rtl w:val="true"/>
        </w:rPr>
        <w:t xml:space="preserve"> </w:t>
      </w:r>
      <w:r>
        <w:rPr>
          <w:rtl w:val="true"/>
        </w:rPr>
        <w:t>הבחינו בשוטרים</w:t>
      </w:r>
      <w:r>
        <w:rPr>
          <w:rtl w:val="true"/>
        </w:rPr>
        <w:t xml:space="preserve">. </w:t>
      </w:r>
      <w:r>
        <w:rPr>
          <w:rtl w:val="true"/>
        </w:rPr>
        <w:t>המערער ניגש לדלת הכניסה וניסה לעכב את כניסת השוטרים לבית</w:t>
      </w:r>
      <w:r>
        <w:rPr>
          <w:rtl w:val="true"/>
        </w:rPr>
        <w:t xml:space="preserve">, </w:t>
      </w:r>
      <w:r>
        <w:rPr>
          <w:rtl w:val="true"/>
        </w:rPr>
        <w:t>בעוד שהילדה הוציאה את האקדח ממקום המסתור והטמינה אותו מתחת לתחתוניה</w:t>
      </w:r>
      <w:r>
        <w:rPr>
          <w:rtl w:val="true"/>
        </w:rPr>
        <w:t xml:space="preserve">. </w:t>
      </w:r>
      <w:r>
        <w:rPr>
          <w:rtl w:val="true"/>
        </w:rPr>
        <w:t>האקדח התגלה לאחר חיפוש שערכה שוטרת על גופה של הילדה</w:t>
      </w:r>
      <w:r>
        <w:rPr>
          <w:rtl w:val="true"/>
        </w:rPr>
        <w:t xml:space="preserve">.   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tl w:val="true"/>
        </w:rPr>
      </w:r>
    </w:p>
    <w:p>
      <w:pPr>
        <w:pStyle w:val="Ruller41"/>
        <w:spacing w:lineRule="auto" w:line="240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גזר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הדין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בית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המשפט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המחוזי</w:t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טרם שמיעת הראיות הגיעו הצדדים להסדר דיוני לפיו המערער יודה בכתב אישום מתוקן</w:t>
      </w:r>
      <w:r>
        <w:rPr>
          <w:rtl w:val="true"/>
        </w:rPr>
        <w:t xml:space="preserve">, </w:t>
      </w:r>
      <w:r>
        <w:rPr>
          <w:rtl w:val="true"/>
        </w:rPr>
        <w:t xml:space="preserve">המשיבה תטען לעונש של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 מאסר והמערער יטען לעונש באופן חופשי</w:t>
      </w:r>
      <w:r>
        <w:rPr>
          <w:rtl w:val="true"/>
        </w:rPr>
        <w:t xml:space="preserve">. </w:t>
      </w:r>
      <w:r>
        <w:rPr>
          <w:rtl w:val="true"/>
        </w:rPr>
        <w:t>כן סוכם כי ייערך תסקיר שירות מבחן בעניינו של המערער</w:t>
      </w:r>
      <w:r>
        <w:rPr>
          <w:rtl w:val="true"/>
        </w:rPr>
        <w:t xml:space="preserve">. </w:t>
      </w:r>
      <w:r>
        <w:rPr>
          <w:rtl w:val="true"/>
        </w:rPr>
        <w:t xml:space="preserve">מן התסקיר עולה כי המערער הוא בן </w:t>
      </w:r>
      <w:r>
        <w:rPr/>
        <w:t>58</w:t>
      </w:r>
      <w:r>
        <w:rPr>
          <w:rtl w:val="true"/>
        </w:rPr>
        <w:t xml:space="preserve">, </w:t>
      </w:r>
      <w:r>
        <w:rPr>
          <w:rtl w:val="true"/>
        </w:rPr>
        <w:t>נשוי ואב לארבעה ילדים וכי הוא עוסק מורשה לעבודות איטום</w:t>
      </w:r>
      <w:r>
        <w:rPr>
          <w:rtl w:val="true"/>
        </w:rPr>
        <w:t xml:space="preserve">. </w:t>
      </w:r>
      <w:r>
        <w:rPr>
          <w:rtl w:val="true"/>
        </w:rPr>
        <w:t>מן התסקיר עולה גם כי המערער סובל מבעיות בריאותיות וכי הוא עבר אירוע מוחי שפגע בתפקודיו השונים</w:t>
      </w:r>
      <w:r>
        <w:rPr>
          <w:rtl w:val="true"/>
        </w:rPr>
        <w:t xml:space="preserve">. </w:t>
      </w:r>
      <w:r>
        <w:rPr>
          <w:rtl w:val="true"/>
        </w:rPr>
        <w:t>ביחס למעשים</w:t>
      </w:r>
      <w:r>
        <w:rPr>
          <w:rtl w:val="true"/>
        </w:rPr>
        <w:t xml:space="preserve">, </w:t>
      </w:r>
      <w:r>
        <w:rPr>
          <w:rtl w:val="true"/>
        </w:rPr>
        <w:t>שירות המבחן התרשם כי המערער לקח אך אחריות פורמאלית על מעשיו</w:t>
      </w:r>
      <w:r>
        <w:rPr>
          <w:rtl w:val="true"/>
        </w:rPr>
        <w:t xml:space="preserve">. </w:t>
      </w:r>
      <w:r>
        <w:rPr>
          <w:rtl w:val="true"/>
        </w:rPr>
        <w:t>בשיחה עם שירות המבחן</w:t>
      </w:r>
      <w:r>
        <w:rPr>
          <w:rtl w:val="true"/>
        </w:rPr>
        <w:t xml:space="preserve">, </w:t>
      </w:r>
      <w:r>
        <w:rPr>
          <w:rtl w:val="true"/>
        </w:rPr>
        <w:t>שיתף המערער בתחושות חרדה וחוסר אונים שקדמו למעשים נשוא כתב האישום על רקע סכסוך עם אחר וראה בהחזקת האקדח דבר המספק עבורו תחושת ביטחון</w:t>
      </w:r>
      <w:r>
        <w:rPr>
          <w:rtl w:val="true"/>
        </w:rPr>
        <w:t xml:space="preserve">. </w:t>
      </w:r>
      <w:r>
        <w:rPr>
          <w:rtl w:val="true"/>
        </w:rPr>
        <w:t>שירות המבחן העריך כי במצבי לחץ</w:t>
      </w:r>
      <w:r>
        <w:rPr>
          <w:rtl w:val="true"/>
        </w:rPr>
        <w:t xml:space="preserve">, </w:t>
      </w:r>
      <w:r>
        <w:rPr>
          <w:rtl w:val="true"/>
        </w:rPr>
        <w:t>נוטה המערער להגיב בהתנהגות פוגענית וחוצה גבולות</w:t>
      </w:r>
      <w:r>
        <w:rPr>
          <w:rtl w:val="true"/>
        </w:rPr>
        <w:t xml:space="preserve">, </w:t>
      </w:r>
      <w:r>
        <w:rPr>
          <w:rtl w:val="true"/>
        </w:rPr>
        <w:t>והעריך כי קיים סיכון גבוה להישנות התנהגות מפרת חוק בעתיד</w:t>
      </w:r>
      <w:r>
        <w:rPr>
          <w:rtl w:val="true"/>
        </w:rPr>
        <w:t xml:space="preserve">. </w:t>
      </w:r>
      <w:r>
        <w:rPr>
          <w:rtl w:val="true"/>
        </w:rPr>
        <w:t>לנוכח האמור לעיל</w:t>
      </w:r>
      <w:r>
        <w:rPr>
          <w:rtl w:val="true"/>
        </w:rPr>
        <w:t xml:space="preserve">, </w:t>
      </w:r>
      <w:r>
        <w:rPr>
          <w:rtl w:val="true"/>
        </w:rPr>
        <w:t>שירות המבחן לא בא בהמלצה טיפולית בעניינו של המערער אך המליץ כי לא יוטל עליו מאסר ממושך</w:t>
      </w:r>
      <w:r>
        <w:rPr>
          <w:rtl w:val="true"/>
        </w:rPr>
        <w:t xml:space="preserve">, </w:t>
      </w:r>
      <w:r>
        <w:rPr>
          <w:rtl w:val="true"/>
        </w:rPr>
        <w:t>וזאת משום שהדבר עלול לפגוע במצבו הרגשי</w:t>
      </w:r>
      <w:r>
        <w:rPr>
          <w:rtl w:val="true"/>
        </w:rPr>
        <w:t xml:space="preserve">, </w:t>
      </w:r>
      <w:r>
        <w:rPr>
          <w:rtl w:val="true"/>
        </w:rPr>
        <w:t>הנפשי והבריאותי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 xml:space="preserve">ביום </w:t>
      </w:r>
      <w:r>
        <w:rPr/>
        <w:t>15.1.2014</w:t>
      </w:r>
      <w:r>
        <w:rPr>
          <w:rtl w:val="true"/>
        </w:rPr>
        <w:t xml:space="preserve"> </w:t>
      </w:r>
      <w:r>
        <w:rPr>
          <w:rtl w:val="true"/>
        </w:rPr>
        <w:t>גזר בית המשפט המחוזי את דינו של המערער</w:t>
      </w:r>
      <w:r>
        <w:rPr>
          <w:rtl w:val="true"/>
        </w:rPr>
        <w:t xml:space="preserve">. </w:t>
      </w:r>
      <w:r>
        <w:rPr>
          <w:rtl w:val="true"/>
        </w:rPr>
        <w:t>בית המשפט המחוזי עמד על חומרתן של עבירות החזקת נשק שלא כדין ועל הצורך בהחמרה בענישה ובהטלת עונשי מאסר בפועל</w:t>
      </w:r>
      <w:r>
        <w:rPr>
          <w:rtl w:val="true"/>
        </w:rPr>
        <w:t xml:space="preserve">, </w:t>
      </w:r>
      <w:r>
        <w:rPr>
          <w:rtl w:val="true"/>
        </w:rPr>
        <w:t>כפי שנקבע על ידי בית משפט זה</w:t>
      </w:r>
      <w:r>
        <w:rPr>
          <w:rtl w:val="true"/>
        </w:rPr>
        <w:t xml:space="preserve">. </w:t>
      </w:r>
      <w:r>
        <w:rPr>
          <w:rtl w:val="true"/>
        </w:rPr>
        <w:t>בית המשפט המחוזי שקל לחומרה את הסיכון שיצר המערער לבני ביתו מעצם החזקת האקדח בארון בביתו כשהוא טעון במחסנית וכדור</w:t>
      </w:r>
      <w:r>
        <w:rPr>
          <w:rtl w:val="true"/>
        </w:rPr>
        <w:t xml:space="preserve">. </w:t>
      </w:r>
      <w:r>
        <w:rPr>
          <w:rtl w:val="true"/>
        </w:rPr>
        <w:t>מנגד שקל בית המשפט לקולה את העובדה כי המערער החזיק את האקדח לאחר שנורו יריות על ביתו</w:t>
      </w:r>
      <w:r>
        <w:rPr>
          <w:rtl w:val="true"/>
        </w:rPr>
        <w:t xml:space="preserve">. </w:t>
      </w:r>
      <w:r>
        <w:rPr>
          <w:rtl w:val="true"/>
        </w:rPr>
        <w:t>לנוכח האמור</w:t>
      </w:r>
      <w:r>
        <w:rPr>
          <w:rtl w:val="true"/>
        </w:rPr>
        <w:t xml:space="preserve">, </w:t>
      </w:r>
      <w:r>
        <w:rPr>
          <w:rtl w:val="true"/>
        </w:rPr>
        <w:t xml:space="preserve">נקבע מתחם עונש הולם הנע בין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חודשים ל</w:t>
      </w:r>
      <w:r>
        <w:rPr>
          <w:rtl w:val="true"/>
        </w:rPr>
        <w:t>-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חודשי מאסר בפועל</w:t>
      </w:r>
      <w:r>
        <w:rPr>
          <w:rtl w:val="true"/>
        </w:rPr>
        <w:t xml:space="preserve">. </w:t>
      </w:r>
      <w:r>
        <w:rPr>
          <w:rtl w:val="true"/>
        </w:rPr>
        <w:t>בתוך המתחם נתן בית המשפט המחוזי משקל לאמור בתסקיר שירות המבחן</w:t>
      </w:r>
      <w:r>
        <w:rPr>
          <w:rtl w:val="true"/>
        </w:rPr>
        <w:t xml:space="preserve">, </w:t>
      </w:r>
      <w:r>
        <w:rPr>
          <w:rtl w:val="true"/>
        </w:rPr>
        <w:t>ובכלל זה את העובדה כי המערער לוקח אך אחריות פורמאלית על מעשיו ומתקשה להבין את הכשלונות בהתנהגותו</w:t>
      </w:r>
      <w:r>
        <w:rPr>
          <w:rtl w:val="true"/>
        </w:rPr>
        <w:t xml:space="preserve">. </w:t>
      </w:r>
      <w:r>
        <w:rPr>
          <w:rtl w:val="true"/>
        </w:rPr>
        <w:t>לקולה</w:t>
      </w:r>
      <w:r>
        <w:rPr>
          <w:rtl w:val="true"/>
        </w:rPr>
        <w:t xml:space="preserve">, </w:t>
      </w:r>
      <w:r>
        <w:rPr>
          <w:rtl w:val="true"/>
        </w:rPr>
        <w:t>שקל בית המשפט המחוזי את גילו של המערער</w:t>
      </w:r>
      <w:r>
        <w:rPr>
          <w:rtl w:val="true"/>
        </w:rPr>
        <w:t xml:space="preserve">; </w:t>
      </w:r>
      <w:r>
        <w:rPr>
          <w:rtl w:val="true"/>
        </w:rPr>
        <w:t>עברו הלא מכביד</w:t>
      </w:r>
      <w:r>
        <w:rPr>
          <w:rtl w:val="true"/>
        </w:rPr>
        <w:t xml:space="preserve">; </w:t>
      </w:r>
      <w:r>
        <w:rPr>
          <w:rtl w:val="true"/>
        </w:rPr>
        <w:t>הודאתו והחיסכון בזמן השיפוטי</w:t>
      </w:r>
      <w:r>
        <w:rPr>
          <w:rtl w:val="true"/>
        </w:rPr>
        <w:t xml:space="preserve">; </w:t>
      </w:r>
      <w:r>
        <w:rPr>
          <w:rtl w:val="true"/>
        </w:rPr>
        <w:t>העובדה כי המערער בעל עסק המפרנס את משפחתו ומעסיק עובדים אחרים</w:t>
      </w:r>
      <w:r>
        <w:rPr>
          <w:rtl w:val="true"/>
        </w:rPr>
        <w:t xml:space="preserve">; </w:t>
      </w:r>
      <w:r>
        <w:rPr>
          <w:rtl w:val="true"/>
        </w:rPr>
        <w:t>היותו נתון בתנאים מגבילים למשך תקופה ניכרת מבלי שיפר את התנאים</w:t>
      </w:r>
      <w:r>
        <w:rPr>
          <w:rtl w:val="true"/>
        </w:rPr>
        <w:t xml:space="preserve">; </w:t>
      </w:r>
      <w:r>
        <w:rPr>
          <w:rtl w:val="true"/>
        </w:rPr>
        <w:t>מצבו הבריאותי</w:t>
      </w:r>
      <w:r>
        <w:rPr>
          <w:rtl w:val="true"/>
        </w:rPr>
        <w:t xml:space="preserve">; </w:t>
      </w:r>
      <w:r>
        <w:rPr>
          <w:rtl w:val="true"/>
        </w:rPr>
        <w:t>ועדויות האופי החיוביות שניתנו לגביו</w:t>
      </w:r>
      <w:r>
        <w:rPr>
          <w:rtl w:val="true"/>
        </w:rPr>
        <w:t xml:space="preserve">. </w:t>
      </w:r>
      <w:r>
        <w:rPr>
          <w:rtl w:val="true"/>
        </w:rPr>
        <w:t>לנוכח האמור</w:t>
      </w:r>
      <w:r>
        <w:rPr>
          <w:rtl w:val="true"/>
        </w:rPr>
        <w:t xml:space="preserve">, </w:t>
      </w:r>
      <w:r>
        <w:rPr>
          <w:rtl w:val="true"/>
        </w:rPr>
        <w:t xml:space="preserve">גזר בית המשפט המחוזי את עונשו של המערער כאמור בפסקה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0"/>
        </w:numPr>
        <w:spacing w:lineRule="auto" w:line="240"/>
        <w:ind w:hanging="0" w:start="0" w:end="0"/>
        <w:jc w:val="both"/>
        <w:rPr>
          <w:rFonts w:ascii="Century" w:hAnsi="Century"/>
          <w:b/>
          <w:spacing w:val="0"/>
          <w:sz w:val="22"/>
          <w:szCs w:val="24"/>
        </w:rPr>
      </w:pP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נימוקי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הערעור</w:t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 w:val="22"/>
          <w:szCs w:val="24"/>
        </w:rPr>
      </w:pPr>
      <w:r>
        <w:rPr>
          <w:rFonts w:cs="Miriam" w:ascii="Century" w:hAnsi="Century"/>
          <w:b/>
          <w:spacing w:val="0"/>
          <w:sz w:val="22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המערער טוען בערעורו כי שגה בית המשפט המחוזי בכך שלא נתן משקל מספק לנסיבות ביצוע העבירה ובכללן היותו נתון לאיום על חייו לנוכח סכסוך עסקי</w:t>
      </w:r>
      <w:r>
        <w:rPr>
          <w:rtl w:val="true"/>
        </w:rPr>
        <w:t>-</w:t>
      </w:r>
      <w:r>
        <w:rPr>
          <w:rtl w:val="true"/>
        </w:rPr>
        <w:t>כספי וגם כתוצאה מהסיוע שנתן בעבר לשירות הביטחון</w:t>
      </w:r>
      <w:r>
        <w:rPr>
          <w:rtl w:val="true"/>
        </w:rPr>
        <w:t xml:space="preserve">. </w:t>
      </w: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הוא החזיק באקדח כדי לספק לעצמו תחושת ביטחון</w:t>
      </w:r>
      <w:r>
        <w:rPr>
          <w:rtl w:val="true"/>
        </w:rPr>
        <w:t xml:space="preserve">, </w:t>
      </w:r>
      <w:r>
        <w:rPr>
          <w:rtl w:val="true"/>
        </w:rPr>
        <w:t>אחרי שהמשטרה התעלמה מתלונות שהגיש בעבר ואשר עניינן איום על חייו</w:t>
      </w:r>
      <w:r>
        <w:rPr>
          <w:rtl w:val="true"/>
        </w:rPr>
        <w:t xml:space="preserve">. </w:t>
      </w:r>
      <w:r>
        <w:rPr>
          <w:rtl w:val="true"/>
        </w:rPr>
        <w:t>המערער טוען גם כי המעשה שלו מצוי ברף התחתון של מדרג עבירות הנשק וזאת משום שלעבירת החזקת הנשק לא הצטרפה עבירה נוספת ולא הוכחה כוונה לשימוש פסול בנשק</w:t>
      </w:r>
      <w:r>
        <w:rPr>
          <w:rtl w:val="true"/>
        </w:rPr>
        <w:t xml:space="preserve">. </w:t>
      </w:r>
      <w:r>
        <w:rPr>
          <w:rtl w:val="true"/>
        </w:rPr>
        <w:t>המערער טוען גם כי מדיניות הענישה הנהוגה במקרים דומים היא של אי הרשעה או הטלת עונשים לריצוי בעבודות שירות</w:t>
      </w:r>
      <w:r>
        <w:rPr>
          <w:rtl w:val="true"/>
        </w:rPr>
        <w:t xml:space="preserve">. </w:t>
      </w:r>
      <w:r>
        <w:rPr>
          <w:rtl w:val="true"/>
        </w:rPr>
        <w:t>עוד טוען המערער כי שגה בית המשפט בכך שלא נתן משקל מספק לנסיבותיו האישיות ובכללן גילו</w:t>
      </w:r>
      <w:r>
        <w:rPr>
          <w:rtl w:val="true"/>
        </w:rPr>
        <w:t xml:space="preserve">; </w:t>
      </w:r>
      <w:r>
        <w:rPr>
          <w:rtl w:val="true"/>
        </w:rPr>
        <w:t>עבורו הפלילי הלא מכביד</w:t>
      </w:r>
      <w:r>
        <w:rPr>
          <w:rtl w:val="true"/>
        </w:rPr>
        <w:t xml:space="preserve">; </w:t>
      </w:r>
      <w:r>
        <w:rPr>
          <w:rtl w:val="true"/>
        </w:rPr>
        <w:t>מצבו הבריאותי</w:t>
      </w:r>
      <w:r>
        <w:rPr>
          <w:rtl w:val="true"/>
        </w:rPr>
        <w:t xml:space="preserve">; </w:t>
      </w:r>
      <w:r>
        <w:rPr>
          <w:rtl w:val="true"/>
        </w:rPr>
        <w:t>הודאתו</w:t>
      </w:r>
      <w:r>
        <w:rPr>
          <w:rtl w:val="true"/>
        </w:rPr>
        <w:t xml:space="preserve">; </w:t>
      </w:r>
      <w:r>
        <w:rPr>
          <w:rtl w:val="true"/>
        </w:rPr>
        <w:t>ועדויות האופי החיוביות שניתנו בעניינו</w:t>
      </w:r>
      <w:r>
        <w:rPr>
          <w:rtl w:val="true"/>
        </w:rPr>
        <w:t xml:space="preserve">. </w:t>
      </w:r>
      <w:r>
        <w:rPr>
          <w:rtl w:val="true"/>
        </w:rPr>
        <w:t>המערער משיג גם על הקנס שהושת עליו</w:t>
      </w:r>
      <w:r>
        <w:rPr>
          <w:rtl w:val="true"/>
        </w:rPr>
        <w:t xml:space="preserve">. </w:t>
      </w:r>
      <w:r>
        <w:rPr>
          <w:rtl w:val="true"/>
        </w:rPr>
        <w:t>לשיטתו</w:t>
      </w:r>
      <w:r>
        <w:rPr>
          <w:rtl w:val="true"/>
        </w:rPr>
        <w:t xml:space="preserve">, </w:t>
      </w:r>
      <w:r>
        <w:rPr>
          <w:rtl w:val="true"/>
        </w:rPr>
        <w:t>לא היה מקום לפגוע בו כלכלית מקום שתנועתו הוגבלה במסגרת תנאי מעצר הבית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spacing w:lineRule="auto" w:line="240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תשובת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המשיבה</w:t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המשיבה מנגד מבקשת לדחות את הערעור</w:t>
      </w:r>
      <w:r>
        <w:rPr>
          <w:rtl w:val="true"/>
        </w:rPr>
        <w:t xml:space="preserve">. </w:t>
      </w:r>
      <w:r>
        <w:rPr>
          <w:rtl w:val="true"/>
        </w:rPr>
        <w:t>לשיטתה</w:t>
      </w:r>
      <w:r>
        <w:rPr>
          <w:rtl w:val="true"/>
        </w:rPr>
        <w:t xml:space="preserve">, </w:t>
      </w:r>
      <w:r>
        <w:rPr>
          <w:rtl w:val="true"/>
        </w:rPr>
        <w:t>מדיניות הענישה היא של הטלת עונשי מאסר בפועל גם על נאשמים שאין להם עבר פלילי</w:t>
      </w:r>
      <w:r>
        <w:rPr>
          <w:rtl w:val="true"/>
        </w:rPr>
        <w:t xml:space="preserve">. </w:t>
      </w:r>
      <w:r>
        <w:rPr>
          <w:rtl w:val="true"/>
        </w:rPr>
        <w:t>נטען גם כי יש שתי נסיבות לחומרה במקרה הנוכחי</w:t>
      </w:r>
      <w:r>
        <w:rPr>
          <w:rtl w:val="true"/>
        </w:rPr>
        <w:t xml:space="preserve">. </w:t>
      </w:r>
      <w:r>
        <w:rPr>
          <w:rtl w:val="true"/>
        </w:rPr>
        <w:t>האחת</w:t>
      </w:r>
      <w:r>
        <w:rPr>
          <w:rtl w:val="true"/>
        </w:rPr>
        <w:t xml:space="preserve">, </w:t>
      </w:r>
      <w:r>
        <w:rPr>
          <w:rtl w:val="true"/>
        </w:rPr>
        <w:t>היא כי הנשק היה טעון במחסנית עם כדור</w:t>
      </w:r>
      <w:r>
        <w:rPr>
          <w:rtl w:val="true"/>
        </w:rPr>
        <w:t xml:space="preserve">. </w:t>
      </w:r>
      <w:r>
        <w:rPr>
          <w:rtl w:val="true"/>
        </w:rPr>
        <w:t>והשנייה</w:t>
      </w:r>
      <w:r>
        <w:rPr>
          <w:rtl w:val="true"/>
        </w:rPr>
        <w:t xml:space="preserve">, </w:t>
      </w:r>
      <w:r>
        <w:rPr>
          <w:rtl w:val="true"/>
        </w:rPr>
        <w:t>היא כי הנשק היה נגיש לבני ביתו</w:t>
      </w:r>
      <w:r>
        <w:rPr>
          <w:rtl w:val="true"/>
        </w:rPr>
        <w:t xml:space="preserve">. </w:t>
      </w:r>
      <w:r>
        <w:rPr>
          <w:rtl w:val="true"/>
        </w:rPr>
        <w:t>עוד הוסיפה המשיבה כי הטענה לפיה המערער הגיש תלונות למשטרה בעקבות איום על חייו והמשטרה לא התייחסה לתלונות אלה</w:t>
      </w:r>
      <w:r>
        <w:rPr>
          <w:rtl w:val="true"/>
        </w:rPr>
        <w:t xml:space="preserve">, </w:t>
      </w:r>
      <w:r>
        <w:rPr>
          <w:rtl w:val="true"/>
        </w:rPr>
        <w:t>היא טענה חדשה שלא נטענה עד היום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spacing w:lineRule="auto" w:line="240"/>
        <w:ind w:end="0"/>
        <w:jc w:val="both"/>
        <w:rPr>
          <w:rFonts w:ascii="Century" w:hAnsi="Century"/>
          <w:b/>
          <w:spacing w:val="0"/>
          <w:szCs w:val="24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תסקיר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שירות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המבחן</w:t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 xml:space="preserve">ביום </w:t>
      </w:r>
      <w:r>
        <w:rPr/>
        <w:t>14.5.2014</w:t>
      </w:r>
      <w:r>
        <w:rPr>
          <w:rtl w:val="true"/>
        </w:rPr>
        <w:t xml:space="preserve"> </w:t>
      </w:r>
      <w:r>
        <w:rPr>
          <w:rtl w:val="true"/>
        </w:rPr>
        <w:t>הוגש לנו תסקיר שירות מבחן משלים בעניינו של המערער</w:t>
      </w:r>
      <w:r>
        <w:rPr>
          <w:rtl w:val="true"/>
        </w:rPr>
        <w:t xml:space="preserve">. </w:t>
      </w:r>
      <w:r>
        <w:rPr>
          <w:rtl w:val="true"/>
        </w:rPr>
        <w:t>מן התסקיר עולה כי נגד המערער אין תיקים פתוחים</w:t>
      </w:r>
      <w:r>
        <w:rPr>
          <w:rtl w:val="true"/>
        </w:rPr>
        <w:t xml:space="preserve">. </w:t>
      </w:r>
      <w:r>
        <w:rPr>
          <w:rtl w:val="true"/>
        </w:rPr>
        <w:t>עוד עולה כי המערער ביטא מוכנות להיעזר בטיפול פסיכולוגי</w:t>
      </w:r>
      <w:r>
        <w:rPr>
          <w:rtl w:val="true"/>
        </w:rPr>
        <w:t xml:space="preserve">, </w:t>
      </w:r>
      <w:r>
        <w:rPr>
          <w:rtl w:val="true"/>
        </w:rPr>
        <w:t>אם כי שירות המבחן העריך כי מוכנותו זו לא מונעת מתוך מודעות טיפולית</w:t>
      </w:r>
      <w:r>
        <w:rPr>
          <w:rtl w:val="true"/>
        </w:rPr>
        <w:t xml:space="preserve">. </w:t>
      </w:r>
      <w:r>
        <w:rPr>
          <w:rtl w:val="true"/>
        </w:rPr>
        <w:t>צוין עוד כי המערער ממשיך להחזיק בעמדת הקרבן תוך השלכת האחריות על אחרים</w:t>
      </w:r>
      <w:r>
        <w:rPr>
          <w:rtl w:val="true"/>
        </w:rPr>
        <w:t xml:space="preserve">. </w:t>
      </w:r>
      <w:r>
        <w:rPr>
          <w:rtl w:val="true"/>
        </w:rPr>
        <w:t>משכך</w:t>
      </w:r>
      <w:r>
        <w:rPr>
          <w:rtl w:val="true"/>
        </w:rPr>
        <w:t xml:space="preserve">, </w:t>
      </w:r>
      <w:r>
        <w:rPr>
          <w:rtl w:val="true"/>
        </w:rPr>
        <w:t>ציין שירות המבחן כי אינו בא בהמלצה טיפולית אודותיו</w:t>
      </w:r>
      <w:r>
        <w:rPr>
          <w:rtl w:val="true"/>
        </w:rPr>
        <w:t xml:space="preserve">.   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 xml:space="preserve">ביום </w:t>
      </w:r>
      <w:r>
        <w:rPr/>
        <w:t>24.7.2014</w:t>
      </w:r>
      <w:r>
        <w:rPr>
          <w:rtl w:val="true"/>
        </w:rPr>
        <w:t xml:space="preserve"> </w:t>
      </w:r>
      <w:r>
        <w:rPr>
          <w:rtl w:val="true"/>
        </w:rPr>
        <w:t>המערער הופנה לקבלת חוות דעת הממונה על עבודות שירות והוא נמצא מתאים לכך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spacing w:lineRule="auto" w:line="240"/>
        <w:ind w:end="0"/>
        <w:jc w:val="both"/>
        <w:rPr>
          <w:rFonts w:cs="Miriam"/>
        </w:rPr>
      </w:pPr>
      <w:r>
        <w:rPr>
          <w:rFonts w:ascii="Century" w:hAnsi="Century" w:cs="Miriam"/>
          <w:b/>
          <w:b/>
          <w:spacing w:val="0"/>
          <w:szCs w:val="24"/>
          <w:rtl w:val="true"/>
        </w:rPr>
        <w:t>דיון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והכרעה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>
          <w:rFonts w:ascii="Century" w:hAnsi="Century" w:cs="Miriam"/>
          <w:b/>
          <w:spacing w:val="0"/>
          <w:szCs w:val="24"/>
        </w:rPr>
      </w:pPr>
      <w:r>
        <w:rPr>
          <w:rFonts w:cs="Miriam" w:ascii="Century" w:hAnsi="Century"/>
          <w:b/>
          <w:spacing w:val="0"/>
          <w:szCs w:val="24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לאחר עיון בהודעת הערעור ובפסק דינו של בית המשפט המחוזי</w:t>
      </w:r>
      <w:r>
        <w:rPr>
          <w:rtl w:val="true"/>
        </w:rPr>
        <w:t xml:space="preserve">, </w:t>
      </w:r>
      <w:r>
        <w:rPr>
          <w:rtl w:val="true"/>
        </w:rPr>
        <w:t>ולאחר שמיעת הצדדים בדיון לפנינו</w:t>
      </w:r>
      <w:r>
        <w:rPr>
          <w:rtl w:val="true"/>
        </w:rPr>
        <w:t xml:space="preserve">, </w:t>
      </w:r>
      <w:r>
        <w:rPr>
          <w:rtl w:val="true"/>
        </w:rPr>
        <w:t>הגענו למסקנה כי דין הערעור להתקבל באופן חלקי במובן זה שעונש המאסר בפועל יומר לשישה חודשי מאסר לריצוי בעבודות שירות</w:t>
      </w:r>
      <w:r>
        <w:rPr>
          <w:rtl w:val="true"/>
        </w:rPr>
        <w:t xml:space="preserve">. </w:t>
      </w:r>
      <w:r>
        <w:rPr>
          <w:rtl w:val="true"/>
        </w:rPr>
        <w:t>יתר רכיבי העונש יוותרו על כנם</w:t>
      </w:r>
      <w:r>
        <w:rPr>
          <w:rtl w:val="true"/>
        </w:rPr>
        <w:t xml:space="preserve">. </w:t>
      </w:r>
    </w:p>
    <w:p>
      <w:pPr>
        <w:pStyle w:val="Ruller42"/>
        <w:numPr>
          <w:ilvl w:val="0"/>
          <w:numId w:val="1"/>
        </w:numPr>
        <w:spacing w:before="240" w:after="0"/>
        <w:ind w:end="0"/>
        <w:jc w:val="both"/>
        <w:rPr/>
      </w:pPr>
      <w:r>
        <w:rPr>
          <w:rtl w:val="true"/>
        </w:rPr>
        <w:t>בית משפט זה עמד לא פעם על חומרתן של עבירות הנשק בכלל ועל עבירת החזקת נשק בפרט</w:t>
      </w:r>
      <w:r>
        <w:rPr>
          <w:rtl w:val="true"/>
        </w:rPr>
        <w:t xml:space="preserve">. </w:t>
      </w:r>
      <w:r>
        <w:rPr>
          <w:rtl w:val="true"/>
        </w:rPr>
        <w:t>מדיניות הענישה היא של הטלת עונשי מאסר לריצוי בפועל גם על מי שזו עבירתו הראשונה</w:t>
      </w:r>
      <w:r>
        <w:rPr>
          <w:rtl w:val="true"/>
        </w:rPr>
        <w:t xml:space="preserve">. </w:t>
      </w:r>
      <w:r>
        <w:rPr>
          <w:rtl w:val="true"/>
        </w:rPr>
        <w:t>כך נקבע ב</w:t>
      </w:r>
      <w:hyperlink r:id="rId15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2718/04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אבו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דאחל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 w:val="22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 w:val="22"/>
          <w:sz w:val="22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 w:val="22"/>
          <w:sz w:val="22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sz w:val="22"/>
          <w:rtl w:val="true"/>
        </w:rPr>
        <w:t>(</w:t>
      </w:r>
      <w:r>
        <w:rPr>
          <w:rFonts w:cs="Century" w:ascii="Century" w:hAnsi="Century"/>
          <w:sz w:val="22"/>
        </w:rPr>
        <w:t>29.3.2004</w:t>
      </w:r>
      <w:r>
        <w:rPr>
          <w:rFonts w:cs="Century" w:ascii="Century" w:hAnsi="Century"/>
          <w:sz w:val="22"/>
          <w:rtl w:val="true"/>
        </w:rPr>
        <w:t xml:space="preserve">) </w:t>
      </w:r>
      <w:r>
        <w:rPr>
          <w:rFonts w:ascii="Century" w:hAnsi="Century" w:cs="Century"/>
          <w:sz w:val="22"/>
          <w:sz w:val="22"/>
          <w:rtl w:val="true"/>
        </w:rPr>
        <w:t>כי</w:t>
      </w:r>
      <w:r>
        <w:rPr>
          <w:rFonts w:cs="Century" w:ascii="Century" w:hAnsi="Century"/>
          <w:sz w:val="22"/>
          <w:rtl w:val="true"/>
        </w:rPr>
        <w:t>:</w:t>
      </w:r>
    </w:p>
    <w:p>
      <w:pPr>
        <w:pStyle w:val="Ruller5"/>
        <w:spacing w:before="240" w:after="0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הסכנה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הטמונה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החמורה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מצדיקה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הטלת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שזו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הראשונה</w:t>
      </w:r>
      <w:r>
        <w:rPr>
          <w:rtl w:val="true"/>
        </w:rPr>
        <w:t xml:space="preserve">. </w:t>
      </w:r>
      <w:r>
        <w:rPr>
          <w:rtl w:val="true"/>
        </w:rPr>
        <w:t>בבוא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tl w:val="true"/>
        </w:rPr>
        <w:t>-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לשקול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עליו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לתת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נכבד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לאינטרס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הציבורי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ולצורך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להרתיע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עבריינים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מלבצע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דומות</w:t>
      </w:r>
      <w:r>
        <w:rPr>
          <w:rtl w:val="true"/>
        </w:rPr>
        <w:t>".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>
          <w:rFonts w:ascii="Century" w:hAnsi="Century" w:cs="Century"/>
        </w:rPr>
      </w:pPr>
      <w:r>
        <w:rPr>
          <w:rtl w:val="true"/>
        </w:rPr>
        <w:t>באשר לטענתו של המערער לפיה הוא החזיק את הנשק לצורך הגנה עצמית</w:t>
      </w:r>
      <w:r>
        <w:rPr>
          <w:rtl w:val="true"/>
        </w:rPr>
        <w:t xml:space="preserve">, </w:t>
      </w:r>
      <w:r>
        <w:rPr>
          <w:rtl w:val="true"/>
        </w:rPr>
        <w:t>יצוין כי על אף שנקבע בבית המשפט המחוזי כי הוא החזיק את הנשק על רקע סכסוך</w:t>
      </w:r>
      <w:r>
        <w:rPr>
          <w:rtl w:val="true"/>
        </w:rPr>
        <w:t xml:space="preserve">, </w:t>
      </w:r>
      <w:r>
        <w:rPr>
          <w:rtl w:val="true"/>
        </w:rPr>
        <w:t>המערער לא טען בבית המשפט המחוזי כי הוא הגיש תלונות למשטרה והמשטרה התעלמה מהתלונות</w:t>
      </w:r>
      <w:r>
        <w:rPr>
          <w:rtl w:val="true"/>
        </w:rPr>
        <w:t xml:space="preserve">, </w:t>
      </w:r>
      <w:r>
        <w:rPr>
          <w:rtl w:val="true"/>
        </w:rPr>
        <w:t>ומשכך אין בידינו לבחון טענה זו כשהיא מועלית בפעם הראשונה במסגרת הערעור</w:t>
      </w:r>
      <w:r>
        <w:rPr>
          <w:rtl w:val="true"/>
        </w:rPr>
        <w:t xml:space="preserve">. </w:t>
      </w:r>
      <w:r>
        <w:rPr>
          <w:rtl w:val="true"/>
        </w:rPr>
        <w:t>זאת ועוד</w:t>
      </w:r>
      <w:r>
        <w:rPr>
          <w:rtl w:val="true"/>
        </w:rPr>
        <w:t xml:space="preserve">, </w:t>
      </w:r>
      <w:r>
        <w:rPr>
          <w:rtl w:val="true"/>
        </w:rPr>
        <w:t xml:space="preserve">כבר צוין בעבר כי </w:t>
      </w:r>
      <w:r>
        <w:rPr>
          <w:rtl w:val="true"/>
        </w:rPr>
        <w:t>"</w:t>
      </w:r>
      <w:r>
        <w:rPr>
          <w:rtl w:val="true"/>
        </w:rPr>
        <w:t>החזקה של כלי נשק על ידי מי שאינו מורשה בכך יש בה פוטנציאל להוביל להסלמה חמורה ולתוצאות קשות של כל אירוע בו יהיה מעורב אותו נושא נשק</w:t>
      </w:r>
      <w:r>
        <w:rPr>
          <w:rtl w:val="true"/>
        </w:rPr>
        <w:t xml:space="preserve">, </w:t>
      </w:r>
      <w:r>
        <w:rPr>
          <w:rtl w:val="true"/>
        </w:rPr>
        <w:t xml:space="preserve">וזאת אף מקום שהנשק מוחזק אך למטרות </w:t>
      </w:r>
      <w:r>
        <w:rPr>
          <w:rtl w:val="true"/>
        </w:rPr>
        <w:t>'</w:t>
      </w:r>
      <w:r>
        <w:rPr>
          <w:rtl w:val="true"/>
        </w:rPr>
        <w:t>הגנה עצמית בלבד</w:t>
      </w:r>
      <w:r>
        <w:rPr>
          <w:rtl w:val="true"/>
        </w:rPr>
        <w:t>'" (</w:t>
      </w:r>
      <w:hyperlink r:id="rId16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5921/08</w:t>
        </w:r>
      </w:hyperlink>
      <w:r>
        <w:rPr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רג</w:t>
      </w:r>
      <w:r>
        <w:rPr>
          <w:rFonts w:cs="Miriam" w:ascii="Century" w:hAnsi="Century"/>
          <w:b/>
          <w:spacing w:val="0"/>
          <w:szCs w:val="24"/>
          <w:rtl w:val="true"/>
        </w:rPr>
        <w:t>'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בי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נ</w:t>
      </w:r>
      <w:r>
        <w:rPr>
          <w:rFonts w:cs="Miriam" w:ascii="Century" w:hAnsi="Century"/>
          <w:b/>
          <w:spacing w:val="0"/>
          <w:szCs w:val="24"/>
          <w:rtl w:val="true"/>
        </w:rPr>
        <w:t xml:space="preserve">'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מדינת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ascii="Century" w:hAnsi="Century" w:cs="Miriam"/>
          <w:b/>
          <w:b/>
          <w:spacing w:val="0"/>
          <w:szCs w:val="24"/>
          <w:rtl w:val="true"/>
        </w:rPr>
        <w:t>ישראל</w:t>
      </w:r>
      <w:r>
        <w:rPr>
          <w:rFonts w:ascii="Century" w:hAnsi="Century" w:eastAsia="Century" w:cs="Century"/>
          <w:b/>
          <w:b/>
          <w:spacing w:val="0"/>
          <w:szCs w:val="24"/>
          <w:rtl w:val="true"/>
        </w:rPr>
        <w:t xml:space="preserve"> 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>[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szCs w:val="24"/>
          <w:rtl w:val="true"/>
        </w:rPr>
        <w:t xml:space="preserve"> </w:t>
      </w:r>
      <w:r>
        <w:rPr>
          <w:rFonts w:ascii="Times New Roman" w:hAnsi="Times New Roman" w:cs="David"/>
          <w:spacing w:val="0"/>
          <w:sz w:val="22"/>
          <w:sz w:val="22"/>
          <w:szCs w:val="24"/>
          <w:rtl w:val="true"/>
        </w:rPr>
        <w:t>בנבו</w:t>
      </w:r>
      <w:r>
        <w:rPr>
          <w:rFonts w:cs="David" w:ascii="Times New Roman" w:hAnsi="Times New Roman"/>
          <w:spacing w:val="0"/>
          <w:sz w:val="22"/>
          <w:szCs w:val="24"/>
          <w:rtl w:val="true"/>
        </w:rPr>
        <w:t xml:space="preserve">] </w:t>
      </w:r>
      <w:r>
        <w:rPr>
          <w:rFonts w:cs="Century" w:ascii="Century" w:hAnsi="Century"/>
          <w:rtl w:val="true"/>
        </w:rPr>
        <w:t>(</w:t>
      </w:r>
      <w:r>
        <w:rPr>
          <w:rFonts w:cs="Century" w:ascii="Century" w:hAnsi="Century"/>
        </w:rPr>
        <w:t>6.5.2009</w:t>
      </w:r>
      <w:r>
        <w:rPr>
          <w:rFonts w:cs="Century" w:ascii="Century" w:hAnsi="Century"/>
          <w:rtl w:val="true"/>
        </w:rPr>
        <w:t xml:space="preserve">)). </w:t>
      </w:r>
    </w:p>
    <w:p>
      <w:pPr>
        <w:pStyle w:val="Ruller41"/>
        <w:spacing w:lineRule="auto" w:line="240"/>
        <w:ind w:end="0"/>
        <w:jc w:val="both"/>
        <w:rPr>
          <w:rFonts w:ascii="Century" w:hAnsi="Century" w:cs="Century"/>
        </w:rPr>
      </w:pPr>
      <w:r>
        <w:rPr>
          <w:rFonts w:cs="Century" w:ascii="Century" w:hAnsi="Century"/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tl w:val="true"/>
        </w:rPr>
        <w:t>על אף האמור לעיל</w:t>
      </w:r>
      <w:r>
        <w:rPr>
          <w:rtl w:val="true"/>
        </w:rPr>
        <w:t xml:space="preserve">, </w:t>
      </w:r>
      <w:r>
        <w:rPr>
          <w:rtl w:val="true"/>
        </w:rPr>
        <w:t>מצאנו להקל עם המערער וזאת בהתחשב בנסיבותיו האישיות המיוחדות</w:t>
      </w:r>
      <w:r>
        <w:rPr>
          <w:rtl w:val="true"/>
        </w:rPr>
        <w:t xml:space="preserve">. </w:t>
      </w:r>
      <w:r>
        <w:rPr>
          <w:rtl w:val="true"/>
        </w:rPr>
        <w:t xml:space="preserve">המערער הוא כבן </w:t>
      </w:r>
      <w:r>
        <w:rPr/>
        <w:t>60</w:t>
      </w:r>
      <w:r>
        <w:rPr>
          <w:rtl w:val="true"/>
        </w:rPr>
        <w:t xml:space="preserve">, </w:t>
      </w:r>
      <w:r>
        <w:rPr>
          <w:rtl w:val="true"/>
        </w:rPr>
        <w:t>עברו הפלילי אינו מכביד</w:t>
      </w:r>
      <w:r>
        <w:rPr>
          <w:rtl w:val="true"/>
        </w:rPr>
        <w:t xml:space="preserve">, </w:t>
      </w:r>
      <w:r>
        <w:rPr>
          <w:rtl w:val="true"/>
        </w:rPr>
        <w:t>הוא סובל מבעיות רפואיות ושירות המבחן העריך כי מאסר בפועל לתקופה ממושכת תפגע במצבו הבריאותי</w:t>
      </w:r>
      <w:r>
        <w:rPr>
          <w:rtl w:val="true"/>
        </w:rPr>
        <w:t xml:space="preserve">. </w:t>
      </w:r>
      <w:r>
        <w:rPr>
          <w:rtl w:val="true"/>
        </w:rPr>
        <w:t xml:space="preserve">הוא הודה במיוחס לו ולקח אחריות </w:t>
      </w:r>
      <w:r>
        <w:rPr>
          <w:rtl w:val="true"/>
        </w:rPr>
        <w:t>(</w:t>
      </w:r>
      <w:r>
        <w:rPr>
          <w:rtl w:val="true"/>
        </w:rPr>
        <w:t>גם אם פורמאלית כפי שהעריך שירות המבחן</w:t>
      </w:r>
      <w:r>
        <w:rPr>
          <w:rtl w:val="true"/>
        </w:rPr>
        <w:t xml:space="preserve">) </w:t>
      </w:r>
      <w:r>
        <w:rPr>
          <w:rtl w:val="true"/>
        </w:rPr>
        <w:t>על מעשיו</w:t>
      </w:r>
      <w:r>
        <w:rPr>
          <w:rtl w:val="true"/>
        </w:rPr>
        <w:t xml:space="preserve">. </w:t>
      </w:r>
      <w:r>
        <w:rPr>
          <w:rtl w:val="true"/>
        </w:rPr>
        <w:t>המערער היה נתון גם לתקופה ניכרת לתנאים מגבילים מבלי שהפר אותם</w:t>
      </w:r>
      <w:r>
        <w:rPr>
          <w:rtl w:val="true"/>
        </w:rPr>
        <w:t xml:space="preserve">. </w:t>
      </w:r>
      <w:r>
        <w:rPr>
          <w:rtl w:val="true"/>
        </w:rPr>
        <w:t>בנוסף</w:t>
      </w:r>
      <w:r>
        <w:rPr>
          <w:rtl w:val="true"/>
        </w:rPr>
        <w:t xml:space="preserve">, </w:t>
      </w:r>
      <w:r>
        <w:rPr>
          <w:rtl w:val="true"/>
        </w:rPr>
        <w:t>העידו מטעמו עדי אופי רבים אשר סיפרו על היותו אדם תורם ונוח לבריות ועל פעילותו הברוכה למען הקהילה והציבור</w:t>
      </w:r>
      <w:r>
        <w:rPr>
          <w:rtl w:val="true"/>
        </w:rPr>
        <w:t xml:space="preserve">. </w:t>
      </w:r>
    </w:p>
    <w:p>
      <w:pPr>
        <w:pStyle w:val="Ruller42"/>
        <w:numPr>
          <w:ilvl w:val="0"/>
          <w:numId w:val="0"/>
        </w:numPr>
        <w:ind w:hanging="0" w:start="0" w:end="0"/>
        <w:jc w:val="both"/>
        <w:rPr/>
      </w:pPr>
      <w:r>
        <w:rPr>
          <w:rtl w:val="true"/>
        </w:rPr>
      </w:r>
    </w:p>
    <w:p>
      <w:pPr>
        <w:pStyle w:val="Ruller42"/>
        <w:numPr>
          <w:ilvl w:val="0"/>
          <w:numId w:val="1"/>
        </w:numPr>
        <w:ind w:end="0"/>
        <w:jc w:val="both"/>
        <w:rPr/>
      </w:pPr>
      <w:r>
        <w:rPr>
          <w:rFonts w:eastAsia="Garamond"/>
          <w:rtl w:val="true"/>
        </w:rPr>
        <w:t xml:space="preserve"> </w:t>
      </w:r>
      <w:r>
        <w:rPr>
          <w:rtl w:val="true"/>
        </w:rPr>
        <w:t>סוף דבר</w:t>
      </w:r>
      <w:r>
        <w:rPr>
          <w:rtl w:val="true"/>
        </w:rPr>
        <w:t xml:space="preserve">, </w:t>
      </w:r>
      <w:r>
        <w:rPr>
          <w:rtl w:val="true"/>
        </w:rPr>
        <w:t>הערעור מתקבל באופן חלקי במובן זה שעונש המאסר בפועל יומר לשישה חודשי מאסר שירוצו בעבודות שירות</w:t>
      </w:r>
      <w:r>
        <w:rPr>
          <w:rtl w:val="true"/>
        </w:rPr>
        <w:t xml:space="preserve">. </w:t>
      </w:r>
      <w:r>
        <w:rPr>
          <w:rtl w:val="true"/>
        </w:rPr>
        <w:t>יתר רכיבי העונש יוותרו על כנם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להתייצב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הממונה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ביום</w:t>
      </w:r>
      <w:r>
        <w:rPr>
          <w:rFonts w:eastAsia="Arial TUR;Arial" w:cs="Arial TUR;Arial"/>
          <w:rtl w:val="true"/>
        </w:rPr>
        <w:t xml:space="preserve"> </w:t>
      </w:r>
      <w:r>
        <w:rPr/>
        <w:t>7.12.2014</w:t>
      </w:r>
      <w:r>
        <w:rPr>
          <w:rtl w:val="true"/>
        </w:rPr>
        <w:t xml:space="preserve"> </w:t>
      </w:r>
      <w:r>
        <w:rPr>
          <w:rtl w:val="true"/>
        </w:rPr>
        <w:t>בשעה</w:t>
      </w:r>
      <w:r>
        <w:rPr>
          <w:rFonts w:eastAsia="Arial TUR;Arial" w:cs="Arial TUR;Arial"/>
          <w:rtl w:val="true"/>
        </w:rPr>
        <w:t xml:space="preserve"> </w:t>
      </w:r>
      <w:r>
        <w:rPr/>
        <w:t>8:00</w:t>
      </w:r>
      <w:r>
        <w:rPr>
          <w:rtl w:val="true"/>
        </w:rPr>
        <w:t xml:space="preserve">, </w:t>
      </w:r>
      <w:r>
        <w:rPr>
          <w:rtl w:val="true"/>
        </w:rPr>
        <w:t>כשבידו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תעודת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זהות</w:t>
      </w:r>
      <w:r>
        <w:rPr>
          <w:rtl w:val="true"/>
        </w:rPr>
        <w:t xml:space="preserve">, </w:t>
      </w:r>
      <w:r>
        <w:rPr>
          <w:rtl w:val="true"/>
        </w:rPr>
        <w:t>לשם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תחילת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ריצוי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עונשו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סב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סנטר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יונה</w:t>
      </w:r>
      <w:r>
        <w:rPr>
          <w:rtl w:val="true"/>
        </w:rPr>
        <w:t xml:space="preserve">", </w:t>
      </w:r>
      <w:r>
        <w:rPr>
          <w:rtl w:val="true"/>
        </w:rPr>
        <w:t>ברחוב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לבנה</w:t>
      </w:r>
      <w:r>
        <w:rPr>
          <w:rFonts w:eastAsia="Arial TUR;Arial" w:cs="Arial TUR;Arial"/>
          <w:rtl w:val="true"/>
        </w:rPr>
        <w:t xml:space="preserve">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בנצרת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עלית</w:t>
      </w:r>
      <w:r>
        <w:rPr>
          <w:rtl w:val="true"/>
        </w:rPr>
        <w:t xml:space="preserve">, </w:t>
      </w:r>
      <w:r>
        <w:rPr>
          <w:rtl w:val="true"/>
        </w:rPr>
        <w:t>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החלטת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הממונה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השירות</w:t>
      </w:r>
      <w:r>
        <w:rPr>
          <w:rtl w:val="true"/>
        </w:rPr>
        <w:t>.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עותק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מפסק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יומצא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לממונה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עבודות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. </w:t>
      </w:r>
    </w:p>
    <w:p>
      <w:pPr>
        <w:pStyle w:val="Ruller41"/>
        <w:spacing w:lineRule="auto" w:line="480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בחשון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/>
        <w:t>4.11.2014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color w:val="FFFFFF"/>
                <w:sz w:val="2"/>
                <w:szCs w:val="2"/>
              </w:rPr>
              <w:t>54678313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;Arial" w:cs="Arial TUR;Arial"/>
                <w:rtl w:val="true"/>
              </w:rPr>
              <w:t xml:space="preserve">      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eastAsia="Arial TUR;Arial" w:cs="Arial TUR;Arial"/>
                <w:rtl w:val="true"/>
              </w:rPr>
              <w:t xml:space="preserve">             </w:t>
            </w: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20" w:name="FileName"/>
      <w:r>
        <w:rPr>
          <w:sz w:val="16"/>
        </w:rPr>
        <w:t>14015050</w:t>
      </w:r>
      <w:r>
        <w:rPr>
          <w:sz w:val="16"/>
          <w:rtl w:val="true"/>
        </w:rPr>
        <w:t>_</w:t>
      </w:r>
      <w:r>
        <w:rPr>
          <w:sz w:val="16"/>
        </w:rPr>
        <w:t>H07.doc</w:t>
      </w:r>
      <w:r>
        <w:rPr>
          <w:sz w:val="16"/>
          <w:rtl w:val="true"/>
        </w:rPr>
        <w:t xml:space="preserve">   </w:t>
      </w:r>
      <w:bookmarkEnd w:id="20"/>
      <w:r>
        <w:rPr>
          <w:sz w:val="16"/>
          <w:sz w:val="16"/>
          <w:rtl w:val="true"/>
        </w:rPr>
        <w:t>שצ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17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ס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>ג</w:t>
      </w:r>
      <w:r>
        <w:rPr>
          <w:rFonts w:cs="David" w:ascii="David" w:hAnsi="David"/>
          <w:color w:val="000000"/>
          <w:szCs w:val="22"/>
          <w:rtl w:val="true"/>
        </w:rPr>
        <w:t>'</w:t>
      </w:r>
      <w:r>
        <w:rPr>
          <w:rFonts w:ascii="David" w:hAnsi="David"/>
          <w:color w:val="000000"/>
          <w:szCs w:val="22"/>
          <w:rtl w:val="true"/>
        </w:rPr>
        <w:t xml:space="preserve">ובראן </w:t>
      </w:r>
      <w:r>
        <w:rPr>
          <w:rFonts w:cs="David" w:ascii="David" w:hAnsi="David"/>
          <w:color w:val="000000"/>
          <w:szCs w:val="22"/>
        </w:rPr>
        <w:t>54678313-1505/14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18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19"/>
      <w:footerReference w:type="default" r:id="rId20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Century">
    <w:charset w:val="00" w:characterSet="windows-1252"/>
    <w:family w:val="roman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7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1505/14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אחמד לידאוי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907"/>
        </w:tabs>
        <w:ind w:start="0" w:hanging="0"/>
      </w:pPr>
      <w:rPr>
        <w:lang w:val="en-US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WW8Num1z0">
    <w:name w:val="WW8Num1z0"/>
    <w:qFormat/>
    <w:rPr>
      <w:lang w:val="en-US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Style14">
    <w:name w:val="טקסט בלונים תו"/>
    <w:qFormat/>
    <w:rPr>
      <w:rFonts w:ascii="Tahoma" w:hAnsi="Tahoma" w:cs="Tahoma"/>
      <w:sz w:val="16"/>
      <w:szCs w:val="16"/>
    </w:rPr>
  </w:style>
  <w:style w:type="character" w:styleId="Ruller4">
    <w:name w:val="Ruller4 תו"/>
    <w:qFormat/>
    <w:rPr>
      <w:rFonts w:ascii="Arial TUR;Arial" w:hAnsi="Arial TUR;Arial" w:cs="FrankRuehl"/>
      <w:spacing w:val="10"/>
      <w:sz w:val="22"/>
      <w:szCs w:val="28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Ruller42">
    <w:name w:val="Ruller 4 ממוספר"/>
    <w:basedOn w:val="Ruller41"/>
    <w:next w:val="Ruller41"/>
    <w:qFormat/>
    <w:pPr>
      <w:numPr>
        <w:ilvl w:val="0"/>
        <w:numId w:val="1"/>
      </w:numPr>
      <w:ind w:hanging="0" w:start="0" w:end="0"/>
      <w:jc w:val="both"/>
    </w:pPr>
    <w:rPr>
      <w:rFonts w:ascii="Garamond" w:hAnsi="Garamond" w:cs="Garamond"/>
      <w:sz w:val="24"/>
    </w:rPr>
  </w:style>
  <w:style w:type="paragraph" w:styleId="Style15">
    <w:name w:val="טקסט בלונים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7017825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144.a." TargetMode="External"/><Relationship Id="rId5" Type="http://schemas.openxmlformats.org/officeDocument/2006/relationships/hyperlink" Target="http://www.nevo.co.il/law/70301/144.b." TargetMode="External"/><Relationship Id="rId6" Type="http://schemas.openxmlformats.org/officeDocument/2006/relationships/hyperlink" Target="http://www.nevo.co.il/law/70301/275" TargetMode="External"/><Relationship Id="rId7" Type="http://schemas.openxmlformats.org/officeDocument/2006/relationships/hyperlink" Target="http://www.nevo.co.il/law/70301/338.a.5." TargetMode="External"/><Relationship Id="rId8" Type="http://schemas.openxmlformats.org/officeDocument/2006/relationships/hyperlink" Target="http://www.nevo.co.il/law/70301/413" TargetMode="External"/><Relationship Id="rId9" Type="http://schemas.openxmlformats.org/officeDocument/2006/relationships/hyperlink" Target="http://www.nevo.co.il/case/7017825" TargetMode="External"/><Relationship Id="rId10" Type="http://schemas.openxmlformats.org/officeDocument/2006/relationships/hyperlink" Target="http://www.nevo.co.il/law/70301/144.a." TargetMode="External"/><Relationship Id="rId11" Type="http://schemas.openxmlformats.org/officeDocument/2006/relationships/hyperlink" Target="http://www.nevo.co.il/law/70301/144.b." TargetMode="External"/><Relationship Id="rId12" Type="http://schemas.openxmlformats.org/officeDocument/2006/relationships/hyperlink" Target="http://www.nevo.co.il/law/70301/338.a.5." TargetMode="External"/><Relationship Id="rId13" Type="http://schemas.openxmlformats.org/officeDocument/2006/relationships/hyperlink" Target="http://www.nevo.co.il/law/70301/275" TargetMode="External"/><Relationship Id="rId14" Type="http://schemas.openxmlformats.org/officeDocument/2006/relationships/hyperlink" Target="http://www.nevo.co.il/law/70301/413" TargetMode="External"/><Relationship Id="rId15" Type="http://schemas.openxmlformats.org/officeDocument/2006/relationships/hyperlink" Target="http://www.nevo.co.il/case/5852404" TargetMode="External"/><Relationship Id="rId16" Type="http://schemas.openxmlformats.org/officeDocument/2006/relationships/hyperlink" Target="http://www.nevo.co.il/case/6040482" TargetMode="External"/><Relationship Id="rId17" Type="http://schemas.openxmlformats.org/officeDocument/2006/relationships/hyperlink" Target="http://www.court.gov.il/" TargetMode="External"/><Relationship Id="rId18" Type="http://schemas.openxmlformats.org/officeDocument/2006/relationships/hyperlink" Target="http://www.nevo.co.il/advertisements/nevo-100.doc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14015050.H07.doc</Template>
  <TotalTime>2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2014-11-06T13:08:00Z</dcterms:created>
  <dc:creator> </dc:creator>
  <dc:description/>
  <cp:keywords/>
  <dc:language>en-IL</dc:language>
  <cp:lastModifiedBy>orly</cp:lastModifiedBy>
  <cp:lastPrinted>2014-11-04T16:35:00Z</cp:lastPrinted>
  <dcterms:modified xsi:type="dcterms:W3CDTF">2014-11-06T13:12:00Z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אחמד לידאוי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7017825:2;5852404;6040482</vt:lpwstr>
  </property>
  <property fmtid="{D5CDD505-2E9C-101B-9397-08002B2CF9AE}" pid="9" name="CITY">
    <vt:lpwstr/>
  </property>
  <property fmtid="{D5CDD505-2E9C-101B-9397-08002B2CF9AE}" pid="10" name="DATE">
    <vt:lpwstr>20141104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ס' ג'ובראן;י' עמית;נ' סולברג</vt:lpwstr>
  </property>
  <property fmtid="{D5CDD505-2E9C-101B-9397-08002B2CF9AE}" pid="14" name="LAWLISTTMP1">
    <vt:lpwstr>70301/144.a.;144.b.;338.a.5.;275;413</vt:lpwstr>
  </property>
  <property fmtid="{D5CDD505-2E9C-101B-9397-08002B2CF9AE}" pid="15" name="LAWYER">
    <vt:lpwstr>אושרה פטל רוזנברג;ראפי מסאלחה;ברכה וייס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נעה</vt:lpwstr>
  </property>
  <property fmtid="{D5CDD505-2E9C-101B-9397-08002B2CF9AE}" pid="22" name="NEWPARTA">
    <vt:lpwstr/>
  </property>
  <property fmtid="{D5CDD505-2E9C-101B-9397-08002B2CF9AE}" pid="23" name="NEWPARTB">
    <vt:lpwstr/>
  </property>
  <property fmtid="{D5CDD505-2E9C-101B-9397-08002B2CF9AE}" pid="24" name="NEWPARTC">
    <vt:lpwstr/>
  </property>
  <property fmtid="{D5CDD505-2E9C-101B-9397-08002B2CF9AE}" pid="25" name="NEWPROC">
    <vt:lpwstr/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>עונשין</vt:lpwstr>
  </property>
  <property fmtid="{D5CDD505-2E9C-101B-9397-08002B2CF9AE}" pid="29" name="NOSE13">
    <vt:lpwstr/>
  </property>
  <property fmtid="{D5CDD505-2E9C-101B-9397-08002B2CF9AE}" pid="30" name="NOSE14">
    <vt:lpwstr/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77;77</vt:lpwstr>
  </property>
  <property fmtid="{D5CDD505-2E9C-101B-9397-08002B2CF9AE}" pid="37" name="NOSE21">
    <vt:lpwstr>ענישה</vt:lpwstr>
  </property>
  <property fmtid="{D5CDD505-2E9C-101B-9397-08002B2CF9AE}" pid="38" name="NOSE210">
    <vt:lpwstr/>
  </property>
  <property fmtid="{D5CDD505-2E9C-101B-9397-08002B2CF9AE}" pid="39" name="NOSE22">
    <vt:lpwstr>ענישה</vt:lpwstr>
  </property>
  <property fmtid="{D5CDD505-2E9C-101B-9397-08002B2CF9AE}" pid="40" name="NOSE23">
    <vt:lpwstr/>
  </property>
  <property fmtid="{D5CDD505-2E9C-101B-9397-08002B2CF9AE}" pid="41" name="NOSE24">
    <vt:lpwstr/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1446;1446</vt:lpwstr>
  </property>
  <property fmtid="{D5CDD505-2E9C-101B-9397-08002B2CF9AE}" pid="48" name="NOSE31">
    <vt:lpwstr>מדיניות ענישה: עבירות נשק</vt:lpwstr>
  </property>
  <property fmtid="{D5CDD505-2E9C-101B-9397-08002B2CF9AE}" pid="49" name="NOSE310">
    <vt:lpwstr/>
  </property>
  <property fmtid="{D5CDD505-2E9C-101B-9397-08002B2CF9AE}" pid="50" name="NOSE32">
    <vt:lpwstr>מדיניות ענישה: שיקולים לקולה</vt:lpwstr>
  </property>
  <property fmtid="{D5CDD505-2E9C-101B-9397-08002B2CF9AE}" pid="51" name="NOSE33">
    <vt:lpwstr/>
  </property>
  <property fmtid="{D5CDD505-2E9C-101B-9397-08002B2CF9AE}" pid="52" name="NOSE34">
    <vt:lpwstr/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13800;8996</vt:lpwstr>
  </property>
  <property fmtid="{D5CDD505-2E9C-101B-9397-08002B2CF9AE}" pid="59" name="PADIDATE">
    <vt:lpwstr>20141106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</vt:lpwstr>
  </property>
  <property fmtid="{D5CDD505-2E9C-101B-9397-08002B2CF9AE}" pid="64" name="PROCNUM">
    <vt:lpwstr>1505</vt:lpwstr>
  </property>
  <property fmtid="{D5CDD505-2E9C-101B-9397-08002B2CF9AE}" pid="65" name="PROCYEAR">
    <vt:lpwstr>14</vt:lpwstr>
  </property>
  <property fmtid="{D5CDD505-2E9C-101B-9397-08002B2CF9AE}" pid="66" name="PSAKDIN">
    <vt:lpwstr>פסק-דין</vt:lpwstr>
  </property>
  <property fmtid="{D5CDD505-2E9C-101B-9397-08002B2CF9AE}" pid="67" name="TYPE">
    <vt:lpwstr>1</vt:lpwstr>
  </property>
  <property fmtid="{D5CDD505-2E9C-101B-9397-08002B2CF9AE}" pid="68" name="TYPE_ABS_DATE">
    <vt:lpwstr>410120141104</vt:lpwstr>
  </property>
  <property fmtid="{D5CDD505-2E9C-101B-9397-08002B2CF9AE}" pid="69" name="TYPE_N_DATE">
    <vt:lpwstr>41020141104</vt:lpwstr>
  </property>
  <property fmtid="{D5CDD505-2E9C-101B-9397-08002B2CF9AE}" pid="70" name="VOLUME">
    <vt:lpwstr/>
  </property>
  <property fmtid="{D5CDD505-2E9C-101B-9397-08002B2CF9AE}" pid="71" name="WORDNUMPAGES">
    <vt:lpwstr>6</vt:lpwstr>
  </property>
</Properties>
</file>