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bookmarkStart w:id="0" w:name="Text1"/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  <w:bookmarkEnd w:id="0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95"/>
      </w:tblGrid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bookmarkStart w:id="1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1764/14</w:t>
            </w:r>
            <w:r>
              <w:rPr>
                <w:sz w:val="28"/>
                <w:szCs w:val="28"/>
                <w:rtl w:val="true"/>
              </w:rPr>
              <w:t xml:space="preserve"> </w:t>
            </w:r>
            <w:bookmarkEnd w:id="1"/>
          </w:p>
        </w:tc>
      </w:tr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2199/14</w:t>
            </w:r>
            <w:r>
              <w:rPr>
                <w:sz w:val="28"/>
                <w:szCs w:val="28"/>
                <w:rtl w:val="true"/>
              </w:rPr>
              <w:t xml:space="preserve"> - </w:t>
            </w:r>
            <w:r>
              <w:rPr>
                <w:sz w:val="28"/>
                <w:sz w:val="28"/>
                <w:szCs w:val="28"/>
                <w:rtl w:val="true"/>
              </w:rPr>
              <w:t>ג</w:t>
            </w:r>
            <w:r>
              <w:rPr>
                <w:sz w:val="28"/>
                <w:szCs w:val="28"/>
                <w:rtl w:val="true"/>
              </w:rPr>
              <w:t>'</w:t>
            </w:r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לפני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דנציגר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נ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הנדל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  <w:bookmarkStart w:id="2" w:name="LastJudge"/>
            <w:bookmarkStart w:id="3" w:name="LastJudge"/>
            <w:bookmarkEnd w:id="3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נ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סולברג</w:t>
            </w:r>
          </w:p>
        </w:tc>
      </w:tr>
    </w:tbl>
    <w:p>
      <w:pPr>
        <w:pStyle w:val="Ruller31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4" w:name="FirstAppellant"/>
            <w:bookmarkEnd w:id="4"/>
            <w:r>
              <w:rPr>
                <w:rtl w:val="true"/>
              </w:rPr>
              <w:t>המערערת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hyperlink r:id="rId2">
              <w:r>
                <w:rPr>
                  <w:rStyle w:val="Hyperlink"/>
                  <w:rtl w:val="true"/>
                </w:rPr>
                <w:t>ע</w:t>
              </w:r>
              <w:r>
                <w:rPr>
                  <w:rStyle w:val="Hyperlink"/>
                  <w:rtl w:val="true"/>
                </w:rPr>
                <w:t>"</w:t>
              </w:r>
              <w:r>
                <w:rPr>
                  <w:rStyle w:val="Hyperlink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rtl w:val="true"/>
                </w:rPr>
                <w:t xml:space="preserve"> </w:t>
              </w:r>
              <w:r>
                <w:rPr>
                  <w:rStyle w:val="Hyperlink"/>
                </w:rPr>
                <w:t>1764/14</w:t>
              </w:r>
            </w:hyperlink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והמשיבה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hyperlink r:id="rId3">
              <w:r>
                <w:rPr>
                  <w:rStyle w:val="Hyperlink"/>
                  <w:rtl w:val="true"/>
                </w:rPr>
                <w:t>ע</w:t>
              </w:r>
              <w:r>
                <w:rPr>
                  <w:rStyle w:val="Hyperlink"/>
                  <w:rtl w:val="true"/>
                </w:rPr>
                <w:t>"</w:t>
              </w:r>
              <w:r>
                <w:rPr>
                  <w:rStyle w:val="Hyperlink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rtl w:val="true"/>
                </w:rPr>
                <w:t xml:space="preserve"> </w:t>
              </w:r>
              <w:r>
                <w:rPr>
                  <w:rStyle w:val="Hyperlink"/>
                </w:rPr>
                <w:t>2199/14</w:t>
              </w:r>
            </w:hyperlink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  <w:tab/>
        <w:tab/>
        <w:t xml:space="preserve">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hyperlink r:id="rId4">
              <w:r>
                <w:rPr>
                  <w:rStyle w:val="Hyperlink"/>
                  <w:rtl w:val="true"/>
                </w:rPr>
                <w:t>ע</w:t>
              </w:r>
              <w:r>
                <w:rPr>
                  <w:rStyle w:val="Hyperlink"/>
                  <w:rtl w:val="true"/>
                </w:rPr>
                <w:t>"</w:t>
              </w:r>
              <w:r>
                <w:rPr>
                  <w:rStyle w:val="Hyperlink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rtl w:val="true"/>
                </w:rPr>
                <w:t xml:space="preserve"> </w:t>
              </w:r>
              <w:r>
                <w:rPr>
                  <w:rStyle w:val="Hyperlink"/>
                </w:rPr>
                <w:t>1764/12</w:t>
              </w:r>
            </w:hyperlink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והמערער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hyperlink r:id="rId5">
              <w:r>
                <w:rPr>
                  <w:rStyle w:val="Hyperlink"/>
                  <w:rtl w:val="true"/>
                </w:rPr>
                <w:t>ע</w:t>
              </w:r>
              <w:r>
                <w:rPr>
                  <w:rStyle w:val="Hyperlink"/>
                  <w:rtl w:val="true"/>
                </w:rPr>
                <w:t>"</w:t>
              </w:r>
              <w:r>
                <w:rPr>
                  <w:rStyle w:val="Hyperlink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rtl w:val="true"/>
                </w:rPr>
                <w:t xml:space="preserve"> </w:t>
              </w:r>
              <w:r>
                <w:rPr>
                  <w:rStyle w:val="Hyperlink"/>
                </w:rPr>
                <w:t>2199/4</w:t>
              </w:r>
            </w:hyperlink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אברהם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דהן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פסק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בבאר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שבע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20.01.2014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hyperlink r:id="rId6">
              <w:r>
                <w:rPr>
                  <w:rStyle w:val="Hyperlink"/>
                  <w:sz w:val="24"/>
                  <w:sz w:val="24"/>
                  <w:szCs w:val="24"/>
                  <w:rtl w:val="true"/>
                </w:rPr>
                <w:t>ת</w:t>
              </w:r>
              <w:r>
                <w:rPr>
                  <w:rStyle w:val="Hyperlink"/>
                  <w:sz w:val="24"/>
                  <w:szCs w:val="24"/>
                  <w:rtl w:val="true"/>
                </w:rPr>
                <w:t>"</w:t>
              </w:r>
              <w:r>
                <w:rPr>
                  <w:rStyle w:val="Hyperlink"/>
                  <w:sz w:val="24"/>
                  <w:sz w:val="24"/>
                  <w:szCs w:val="24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sz w:val="24"/>
                  <w:sz w:val="24"/>
                  <w:szCs w:val="24"/>
                  <w:rtl w:val="true"/>
                </w:rPr>
                <w:t xml:space="preserve"> </w:t>
              </w:r>
              <w:r>
                <w:rPr>
                  <w:rStyle w:val="Hyperlink"/>
                  <w:sz w:val="24"/>
                  <w:szCs w:val="24"/>
                </w:rPr>
                <w:t>35436-01-13</w:t>
              </w:r>
            </w:hyperlink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כבוד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א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ביתן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35" w:type="dxa"/>
        <w:jc w:val="start"/>
        <w:tblInd w:w="-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sz w:val="24"/>
                <w:sz w:val="24"/>
                <w:szCs w:val="24"/>
                <w:rtl w:val="true"/>
              </w:rPr>
              <w:t>כ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ח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בסיון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תשע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     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true"/>
              </w:rPr>
              <w:t>(</w:t>
            </w:r>
            <w:r>
              <w:rPr>
                <w:sz w:val="24"/>
                <w:szCs w:val="24"/>
              </w:rPr>
              <w:t>26.6.14</w:t>
            </w:r>
            <w:r>
              <w:rPr>
                <w:sz w:val="24"/>
                <w:szCs w:val="24"/>
                <w:rtl w:val="true"/>
              </w:rPr>
              <w:t>)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בע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פ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/>
              <w:t>1764/14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והמשיבה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hyperlink r:id="rId7">
              <w:r>
                <w:rPr>
                  <w:rStyle w:val="Hyperlink"/>
                  <w:rtl w:val="true"/>
                </w:rPr>
                <w:t>ע</w:t>
              </w:r>
              <w:r>
                <w:rPr>
                  <w:rStyle w:val="Hyperlink"/>
                  <w:rtl w:val="true"/>
                </w:rPr>
                <w:t>"</w:t>
              </w:r>
              <w:r>
                <w:rPr>
                  <w:rStyle w:val="Hyperlink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rtl w:val="true"/>
                </w:rPr>
                <w:t xml:space="preserve"> </w:t>
              </w:r>
              <w:r>
                <w:rPr>
                  <w:rStyle w:val="Hyperlink"/>
                </w:rPr>
                <w:t>2199/14</w:t>
              </w:r>
            </w:hyperlink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דפנה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שמול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5" w:name="FirstLawyer"/>
            <w:bookmarkEnd w:id="5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בע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פ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/>
              <w:t>1764/12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והמערער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בע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פ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/>
              <w:t>2199/14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ברהום</w:t>
            </w:r>
          </w:p>
        </w:tc>
      </w:tr>
      <w:tr>
        <w:trPr/>
        <w:tc>
          <w:tcPr>
            <w:tcW w:w="3257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</w:tr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בשירות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שירות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המבחן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למבוגרים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גב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ברכה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וייס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  <w:bookmarkStart w:id="6" w:name="LawTable"/>
      <w:bookmarkStart w:id="7" w:name="LawTable"/>
      <w:bookmarkEnd w:id="7"/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ascii="FrankRuehl" w:hAnsi="FrankRuehl" w:cs="FrankRuehl"/>
          <w:sz w:val="24"/>
          <w:sz w:val="24"/>
          <w:rtl w:val="true"/>
        </w:rPr>
        <w:t>חקיקה שאוזכרה</w:t>
      </w:r>
      <w:r>
        <w:rPr>
          <w:rFonts w:cs="FrankRuehl" w:ascii="FrankRuehl" w:hAnsi="FrankRuehl"/>
          <w:sz w:val="24"/>
          <w:rtl w:val="true"/>
        </w:rPr>
        <w:t xml:space="preserve">: </w:t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8"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1977</w:t>
        </w:r>
      </w:hyperlink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  <w:bookmarkStart w:id="8" w:name="LawTable_End"/>
      <w:bookmarkStart w:id="9" w:name="LawTable_End"/>
      <w:bookmarkEnd w:id="9"/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10" w:name="PsakDin"/>
            <w:bookmarkStart w:id="11" w:name="secretary"/>
            <w:bookmarkStart w:id="12" w:name="BeginProtocol"/>
            <w:bookmarkEnd w:id="10"/>
            <w:bookmarkEnd w:id="11"/>
            <w:bookmarkEnd w:id="12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bookmarkStart w:id="13" w:name="Start_Write"/>
      <w:bookmarkStart w:id="14" w:name="Writer_Name"/>
      <w:bookmarkEnd w:id="13"/>
      <w:bookmarkEnd w:id="14"/>
      <w:r>
        <w:rPr>
          <w:rtl w:val="true"/>
        </w:rPr>
        <w:tab/>
      </w:r>
      <w:r>
        <w:rPr>
          <w:rtl w:val="true"/>
        </w:rPr>
        <w:t>לפנינו</w:t>
      </w:r>
      <w:r>
        <w:rPr>
          <w:rFonts w:eastAsia="Arial TUR" w:cs="Arial TUR"/>
          <w:rtl w:val="true"/>
        </w:rPr>
        <w:t xml:space="preserve"> </w:t>
      </w:r>
      <w:bookmarkStart w:id="15" w:name="ABSTRACT_START"/>
      <w:bookmarkEnd w:id="15"/>
      <w:r>
        <w:rPr>
          <w:rtl w:val="true"/>
        </w:rPr>
        <w:t>שני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ערעורים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בבאר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כבוד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השופט</w:t>
      </w:r>
      <w:r>
        <w:rPr>
          <w:rFonts w:eastAsia="Arial TUR" w:cs="Arial TUR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ביתן</w:t>
      </w:r>
      <w:r>
        <w:rPr>
          <w:rFonts w:cs="Times New Roman" w:ascii="Times New Roman" w:hAnsi="Times New Roman"/>
          <w:rtl w:val="true"/>
        </w:rPr>
        <w:t xml:space="preserve">), </w:t>
      </w:r>
      <w:r>
        <w:rPr>
          <w:rFonts w:ascii="Times New Roman" w:hAnsi="Times New Roman" w:cs="Times New Roman"/>
          <w:rtl w:val="true"/>
        </w:rPr>
        <w:t xml:space="preserve">במסגרתו הושתו על המשיב – לאחר שהודה בעובדות כתב אישום מתוקן במסגרת הסדר טיעון – </w:t>
      </w:r>
      <w:r>
        <w:rPr>
          <w:rFonts w:cs="Times New Roman" w:ascii="Times New Roman" w:hAnsi="Times New Roman"/>
        </w:rPr>
        <w:t>30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חודשי מאסר לריצוי בפועל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המדינה טוענת בערעורה כי יש מקום להחמיר בעונשו של המשיב נוכח חומרתם היתרה של מעשיו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המשיב מצידו הגיש ערעור בו ביקש להקל בעונשו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בתמצית יצויין כי המשיב היה חייל צה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ל בעת ביצוע העבירות</w:t>
      </w:r>
      <w:bookmarkStart w:id="16" w:name="ABSTRACT_END"/>
      <w:bookmarkEnd w:id="16"/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לפי האישום הראשון – קשר המשיב קשר עם מחמוד אבו קוידר ואלמוג קאסוטו לגנוב מבסיס צה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ל בו הוא משרת נשק ותחמושת ולמכור אותם תמורת רווח כספי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בו ביום נפגשו השלושה בבסיס הנ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ל כשהמשיב מנחה את השניים כיצד להגיע לפירצה בגדר הבסיס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אלמוג נכנס לבסיס וחיפש נשק שניתן לגנבו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אך הדבר לא עלה בידו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לבסוף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ויתרו המשיב ואלמוג על התוכנית והשלושה עזבו את המקום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"/>
        <w:ind w:end="0"/>
        <w:jc w:val="both"/>
        <w:rPr/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לפי האישום השני – מסר המשיב למחמוד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בשתי הזדמנויות שונות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cs="Times New Roman" w:ascii="Times New Roman" w:hAnsi="Times New Roman"/>
        </w:rPr>
        <w:t>100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 xml:space="preserve">ולאחר מכן </w:t>
      </w:r>
      <w:r>
        <w:rPr>
          <w:rFonts w:cs="Times New Roman" w:ascii="Times New Roman" w:hAnsi="Times New Roman"/>
        </w:rPr>
        <w:t>1000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 xml:space="preserve">כדורים של </w:t>
      </w:r>
      <w:r>
        <w:rPr>
          <w:rFonts w:cs="Times New Roman" w:ascii="Times New Roman" w:hAnsi="Times New Roman"/>
        </w:rPr>
        <w:t>16</w:t>
      </w:r>
      <w:r>
        <w:rPr>
          <w:rFonts w:cs="Times New Roman" w:ascii="Times New Roman" w:hAnsi="Times New Roman"/>
        </w:rPr>
        <w:t>M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אותם הוציא ללא היתר מבסיסו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לאחר מכן פנה מחמוד אל המשיב והציע לקשור עמו קשר לגנוב רובה לשם מכירתו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כשהוא מודיע למשיב שמחיר הרובה יהיה עשרות אלפי שקלים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המשיב הסכים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וסוכם כי ינסה לגנוב רובה מבסיסו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אך בפועל לא נגנב רובה כאמור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"/>
        <w:ind w:end="0"/>
        <w:jc w:val="both"/>
        <w:rPr/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 xml:space="preserve">בזמן ביצוע העבירות היה המשיב צעיר מגיל </w:t>
      </w:r>
      <w:r>
        <w:rPr>
          <w:rFonts w:cs="Times New Roman" w:ascii="Times New Roman" w:hAnsi="Times New Roman"/>
        </w:rPr>
        <w:t>21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ולכן חובה היה לשלחו לקבלת תסקיר של שירות המבחן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בתסקיר צויין כי המשיב התקשה לתפקד בשירותו הצבאי וזה לווה בבעיות משמעת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עוד צויין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כי הוא סובל מהפרעת קשב וריכוז ואף טופל על ידי נוירולוג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שירות המבחן הטעים כי המשיב נטל אחריות חלקית בלבד לביצוע המיוחס לו ונטה להשליך נסיבות התנהלותו על שותפיו לעבירה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למרות שהודה במיוחס לו במסגרת הסדר הטיעון שלל לפני קצין המבחן כוונה לגנוב נשק ולמכרו על מנת שיעשה בו שימוש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שירות המבחן המליץ להטיל על המשיב ענישה מוחשית הולמת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לאחר ששקל בכובד ראש את טיעוני הצדדים לעונש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וקבע כי מתחם העונש ההולם הוא בין שנתיים לחמש שנות מאסר בפועל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השית בית המשפט המחוזי על המשיב את העונש דנן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יצויין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כי על אלמוג נגזרו בגין חלקו בפרשה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שהינו מצומצם משמעותית מזה של המשיב</w:t>
      </w:r>
      <w:r>
        <w:rPr>
          <w:rFonts w:cs="Times New Roman" w:ascii="Times New Roman" w:hAnsi="Times New Roman"/>
          <w:rtl w:val="true"/>
        </w:rPr>
        <w:t xml:space="preserve">) </w:t>
      </w:r>
      <w:r>
        <w:rPr>
          <w:rFonts w:cs="Times New Roman" w:ascii="Times New Roman" w:hAnsi="Times New Roman"/>
        </w:rPr>
        <w:t>12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חודשי מאסר לריצוי בפועל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בערעורה עומדת המדינה על חומרתן היתרה של העבירות שבביצוען הודה המשיב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תוך שניצל את היותו חייל לשם ביצוען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העמיד חיילים בבסיסו בסיכון עת הכניס את אלמוג לשטח בסיס למטרה עבריינית הקשורה לנשק ומסר תחמושת בהיקף משמעותי למי שאותו לא הכיר שהסתבר שפעל ממניעים אידיאולוגיים טרוריסטיים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הגם מבלי שידע על כך בזמן אמת</w:t>
      </w:r>
      <w:r>
        <w:rPr>
          <w:rFonts w:cs="Times New Roman" w:ascii="Times New Roman" w:hAnsi="Times New Roman"/>
          <w:rtl w:val="true"/>
        </w:rPr>
        <w:t xml:space="preserve">). </w:t>
      </w:r>
      <w:r>
        <w:rPr>
          <w:rFonts w:ascii="Times New Roman" w:hAnsi="Times New Roman" w:cs="Times New Roman"/>
          <w:rtl w:val="true"/>
        </w:rPr>
        <w:t>המערערת סבורה כי שגה בית המשפט המחוזי עת קבע מתחם ענישה אחד ומקל יתר על המידה לכלל המעשים ולא נתן משקל ראוי לכך שהמשיב חזר על מעשיו מספר פעמים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המדינה סבורה כי יש להחמיר החמרה משמעותית בעונש המאסר שהושת על המשיב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"/>
        <w:ind w:end="0"/>
        <w:jc w:val="both"/>
        <w:rPr/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המשיב טוען כי צדק בית המשפט המחוזי עת ראה במסכת העובדות אירוע אחד ולא מספר אירועים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וגם אם טעה ביישום תיקון </w:t>
      </w:r>
      <w:r>
        <w:rPr>
          <w:rFonts w:cs="Times New Roman" w:ascii="Times New Roman" w:hAnsi="Times New Roman"/>
        </w:rPr>
        <w:t>113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ל</w:t>
      </w:r>
      <w:hyperlink r:id="rId9">
        <w:r>
          <w:rPr>
            <w:rStyle w:val="Hyperlink"/>
            <w:rFonts w:ascii="Times New Roman" w:hAnsi="Times New Roman" w:cs="Times New Roman"/>
            <w:rtl w:val="true"/>
          </w:rPr>
          <w:t>חוק העונשין</w:t>
        </w:r>
      </w:hyperlink>
      <w:r>
        <w:rPr>
          <w:rFonts w:ascii="Times New Roman" w:hAnsi="Times New Roman" w:cs="Times New Roman"/>
          <w:rtl w:val="true"/>
        </w:rPr>
        <w:t xml:space="preserve"> בקובעו את מתחם הענישה אין הדבר מצדיק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בנסיבות העניין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החמרה בעונשו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 xml:space="preserve">המשיב מדגיש את עובדת היותו 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בגיר צעיר</w:t>
      </w:r>
      <w:r>
        <w:rPr>
          <w:rFonts w:cs="Times New Roman" w:ascii="Times New Roman" w:hAnsi="Times New Roman"/>
          <w:rtl w:val="true"/>
        </w:rPr>
        <w:t xml:space="preserve">" </w:t>
      </w:r>
      <w:r>
        <w:rPr>
          <w:rFonts w:ascii="Times New Roman" w:hAnsi="Times New Roman" w:cs="Times New Roman"/>
          <w:rtl w:val="true"/>
        </w:rPr>
        <w:t>שמאז האירוע עשה שינוי מהותי באורחות חייו והשתלב במסגרת ריצוי עונשו בעבודה ובלימודים במדרשה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עוד מדגיש המשיב כי אין לזקוף לחובתו את עברו הפלילי מתקופת נעוריו שאינו מכביד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ושיש לקחת בחשבון את העובדה שעל שותפו אלמוג הושת עונש מאסר קצר באופן משמעותי – </w:t>
      </w:r>
      <w:r>
        <w:rPr>
          <w:rFonts w:cs="Times New Roman" w:ascii="Times New Roman" w:hAnsi="Times New Roman"/>
        </w:rPr>
        <w:t>12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חודשים בלבד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על רקע כל אלה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טוען הסניגור כי יש להקל בעונש המשיב ולקבל ערעורו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לאחר ששמענו את טיעוני הצדדים בדיון שהתקיים לפנינו החלטנו כי יש לקבל את ערעור המדינה ולדחות את ערעור המשיב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אכן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המעשים שבביצועם הורשע המשיב על פי הודאתו הינם חמורים ביותר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ויש מקום לשקול לחומרה את עובדת היותו חייל בעת ביצוען של העבירות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יתכן כי אילו היינו יושבים לדין בערכאה המבררת היינו גוזרים על המשיב עונש חמור בהרבה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ואולם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אין זו דרכה של ערכאת הערעור למצות את הדין עם הנאשם ולכן אנו מוצאים לנכון להוסיף לעונש המאסר בפועל שנגזר עליו </w:t>
      </w:r>
      <w:r>
        <w:rPr>
          <w:rFonts w:cs="Times New Roman" w:ascii="Times New Roman" w:hAnsi="Times New Roman"/>
        </w:rPr>
        <w:t>15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חודשים נוספים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שאר רכיבי העונש שהושתו על המשיב על ידי בית המשפט המחוזי יעמדו בעינם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"/>
        <w:ind w:end="0"/>
        <w:jc w:val="both"/>
        <w:rPr/>
      </w:pPr>
      <w:r>
        <w:rPr>
          <w:color w:val="FFFFFF"/>
          <w:sz w:val="2"/>
          <w:szCs w:val="2"/>
        </w:rPr>
        <w:t>5129371</w:t>
      </w:r>
      <w:r>
        <w:rPr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 xml:space="preserve">, 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בסיון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תשע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/>
        <w:t>26.6.2014</w:t>
      </w:r>
      <w:r>
        <w:rPr>
          <w:rtl w:val="true"/>
        </w:rPr>
        <w:t xml:space="preserve">).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"/>
              <w:ind w:end="0"/>
              <w:jc w:val="both"/>
              <w:rPr/>
            </w:pPr>
            <w:r>
              <w:rPr>
                <w:color w:val="FFFFFF"/>
                <w:sz w:val="2"/>
                <w:szCs w:val="2"/>
              </w:rPr>
              <w:t>54678313</w:t>
            </w: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r>
        <w:rPr>
          <w:sz w:val="16"/>
          <w:rtl w:val="true"/>
        </w:rPr>
        <w:t xml:space="preserve">  </w:t>
      </w:r>
      <w:bookmarkStart w:id="17" w:name="FileName"/>
      <w:r>
        <w:rPr>
          <w:sz w:val="16"/>
        </w:rPr>
        <w:t>14017640</w:t>
      </w:r>
      <w:r>
        <w:rPr>
          <w:sz w:val="16"/>
          <w:rtl w:val="true"/>
        </w:rPr>
        <w:t>_</w:t>
      </w:r>
      <w:r>
        <w:rPr>
          <w:sz w:val="16"/>
        </w:rPr>
        <w:t>W03.doc</w:t>
      </w:r>
      <w:r>
        <w:rPr>
          <w:sz w:val="16"/>
          <w:rtl w:val="true"/>
        </w:rPr>
        <w:t xml:space="preserve">   </w:t>
      </w:r>
      <w:bookmarkEnd w:id="17"/>
      <w:r>
        <w:rPr>
          <w:sz w:val="16"/>
          <w:sz w:val="16"/>
          <w:rtl w:val="true"/>
        </w:rPr>
        <w:t>חכ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077-2703333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  </w:t>
      </w:r>
      <w:r>
        <w:rPr>
          <w:color w:val="000000"/>
          <w:sz w:val="16"/>
        </w:rPr>
        <w:t>www.court.gov.il</w:t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/>
          <w:color w:val="000000"/>
          <w:szCs w:val="22"/>
          <w:rtl w:val="true"/>
        </w:rPr>
        <w:t>י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/>
          <w:color w:val="000000"/>
          <w:szCs w:val="22"/>
          <w:rtl w:val="true"/>
        </w:rPr>
        <w:t xml:space="preserve">דנציגר </w:t>
      </w:r>
      <w:r>
        <w:rPr>
          <w:rFonts w:cs="David" w:ascii="David" w:hAnsi="David"/>
          <w:color w:val="000000"/>
          <w:szCs w:val="22"/>
        </w:rPr>
        <w:t>54678313-1764/14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r>
        <w:rPr>
          <w:color w:val="000000"/>
          <w:szCs w:val="24"/>
          <w:rtl w:val="true"/>
        </w:rPr>
        <w:t>בעניין</w:t>
      </w:r>
      <w:r>
        <w:rPr>
          <w:rFonts w:cs="Times New Roman"/>
          <w:color w:val="000000"/>
          <w:szCs w:val="24"/>
          <w:rtl w:val="true"/>
        </w:rPr>
        <w:t xml:space="preserve"> </w:t>
      </w:r>
      <w:r>
        <w:rPr>
          <w:color w:val="000000"/>
          <w:szCs w:val="24"/>
          <w:rtl w:val="true"/>
        </w:rPr>
        <w:t>עריכה</w:t>
      </w:r>
      <w:r>
        <w:rPr>
          <w:rFonts w:cs="Times New Roman"/>
          <w:color w:val="000000"/>
          <w:szCs w:val="24"/>
          <w:rtl w:val="true"/>
        </w:rPr>
        <w:t xml:space="preserve"> </w:t>
      </w:r>
      <w:r>
        <w:rPr>
          <w:color w:val="000000"/>
          <w:szCs w:val="24"/>
          <w:rtl w:val="true"/>
        </w:rPr>
        <w:t>ושינויים</w:t>
      </w:r>
      <w:r>
        <w:rPr>
          <w:rFonts w:cs="Times New Roman"/>
          <w:color w:val="000000"/>
          <w:szCs w:val="24"/>
          <w:rtl w:val="true"/>
        </w:rPr>
        <w:t xml:space="preserve"> </w:t>
      </w:r>
      <w:r>
        <w:rPr>
          <w:color w:val="000000"/>
          <w:szCs w:val="24"/>
          <w:rtl w:val="true"/>
        </w:rPr>
        <w:t>במסמכי</w:t>
      </w:r>
      <w:r>
        <w:rPr>
          <w:rFonts w:cs="Times New Roman"/>
          <w:color w:val="000000"/>
          <w:szCs w:val="24"/>
          <w:rtl w:val="true"/>
        </w:rPr>
        <w:t xml:space="preserve"> </w:t>
      </w:r>
      <w:r>
        <w:rPr>
          <w:color w:val="000000"/>
          <w:szCs w:val="24"/>
          <w:rtl w:val="true"/>
        </w:rPr>
        <w:t>פסיקה</w:t>
      </w:r>
      <w:r>
        <w:rPr>
          <w:color w:val="000000"/>
          <w:szCs w:val="24"/>
          <w:rtl w:val="true"/>
        </w:rPr>
        <w:t xml:space="preserve">, </w:t>
      </w:r>
      <w:r>
        <w:rPr>
          <w:color w:val="000000"/>
          <w:szCs w:val="24"/>
          <w:rtl w:val="true"/>
        </w:rPr>
        <w:t>חקיקה</w:t>
      </w:r>
      <w:r>
        <w:rPr>
          <w:rFonts w:cs="Times New Roman"/>
          <w:color w:val="000000"/>
          <w:szCs w:val="24"/>
          <w:rtl w:val="true"/>
        </w:rPr>
        <w:t xml:space="preserve"> </w:t>
      </w:r>
      <w:r>
        <w:rPr>
          <w:color w:val="000000"/>
          <w:szCs w:val="24"/>
          <w:rtl w:val="true"/>
        </w:rPr>
        <w:t>ועוד</w:t>
      </w:r>
      <w:r>
        <w:rPr>
          <w:rFonts w:cs="Times New Roman"/>
          <w:color w:val="000000"/>
          <w:szCs w:val="24"/>
          <w:rtl w:val="true"/>
        </w:rPr>
        <w:t xml:space="preserve"> </w:t>
      </w:r>
      <w:r>
        <w:rPr>
          <w:color w:val="000000"/>
          <w:szCs w:val="24"/>
          <w:rtl w:val="true"/>
        </w:rPr>
        <w:t>באתר</w:t>
      </w:r>
      <w:r>
        <w:rPr>
          <w:rFonts w:cs="Times New Roman"/>
          <w:color w:val="000000"/>
          <w:szCs w:val="24"/>
          <w:rtl w:val="true"/>
        </w:rPr>
        <w:t xml:space="preserve"> </w:t>
      </w:r>
      <w:r>
        <w:rPr>
          <w:color w:val="000000"/>
          <w:szCs w:val="24"/>
          <w:rtl w:val="true"/>
        </w:rPr>
        <w:t>נבו</w:t>
      </w:r>
      <w:r>
        <w:rPr>
          <w:rFonts w:cs="Times New Roman"/>
          <w:color w:val="000000"/>
          <w:szCs w:val="24"/>
          <w:rtl w:val="true"/>
        </w:rPr>
        <w:t xml:space="preserve"> </w:t>
      </w:r>
      <w:r>
        <w:rPr>
          <w:color w:val="000000"/>
          <w:szCs w:val="24"/>
          <w:rtl w:val="true"/>
        </w:rPr>
        <w:t>–</w:t>
      </w:r>
      <w:r>
        <w:rPr>
          <w:rFonts w:cs="Times New Roman"/>
          <w:color w:val="000000"/>
          <w:szCs w:val="24"/>
          <w:rtl w:val="true"/>
        </w:rPr>
        <w:t xml:space="preserve"> </w:t>
      </w:r>
      <w:r>
        <w:rPr>
          <w:color w:val="000000"/>
          <w:szCs w:val="24"/>
          <w:rtl w:val="true"/>
        </w:rPr>
        <w:t>הקש</w:t>
      </w:r>
      <w:r>
        <w:rPr>
          <w:rFonts w:cs="Times New Roman"/>
          <w:color w:val="000000"/>
          <w:szCs w:val="24"/>
          <w:rtl w:val="true"/>
        </w:rPr>
        <w:t xml:space="preserve"> </w:t>
      </w:r>
      <w:r>
        <w:rPr>
          <w:color w:val="000000"/>
          <w:szCs w:val="24"/>
          <w:rtl w:val="true"/>
        </w:rPr>
        <w:t>כאן</w:t>
      </w:r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r>
        <w:rPr>
          <w:color w:val="0000FF"/>
          <w:szCs w:val="24"/>
          <w:u w:val="single"/>
          <w:rtl w:val="true"/>
        </w:rPr>
      </w:r>
    </w:p>
    <w:sectPr>
      <w:headerReference w:type="default" r:id="rId10"/>
      <w:footerReference w:type="default" r:id="rId11"/>
      <w:type w:val="nextPage"/>
      <w:pgSz w:w="11906" w:h="16838"/>
      <w:pgMar w:left="1800" w:right="1800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TUR">
    <w:charset w:val="00" w:characterSet="windows-1252"/>
    <w:family w:val="swiss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4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1764/14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אברהם דהן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Ruller3">
    <w:name w:val="Ruller 3 תו"/>
    <w:basedOn w:val="DefaultParagraphFont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basedOn w:val="Ruller3"/>
    <w:qFormat/>
    <w:rPr>
      <w:rFonts w:cs="David"/>
    </w:rPr>
  </w:style>
  <w:style w:type="character" w:styleId="Ruller38">
    <w:name w:val="סגנון Ruller 3 + (מורכב) ‏8 נק תו"/>
    <w:basedOn w:val="BodyRuller"/>
    <w:qFormat/>
    <w:rPr>
      <w:szCs w:val="16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" w:hAnsi="Arial TUR" w:cs="DavidFix;Times New Roman"/>
      <w:spacing w:val="10"/>
      <w:sz w:val="22"/>
      <w:szCs w:val="20"/>
    </w:rPr>
  </w:style>
  <w:style w:type="paragraph" w:styleId="WriterName">
    <w:name w:val="Writer Name"/>
    <w:basedOn w:val="Ruller4"/>
    <w:next w:val="Ruller4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13038716" TargetMode="External"/><Relationship Id="rId3" Type="http://schemas.openxmlformats.org/officeDocument/2006/relationships/hyperlink" Target="http://www.nevo.co.il/case/13070722" TargetMode="External"/><Relationship Id="rId4" Type="http://schemas.openxmlformats.org/officeDocument/2006/relationships/hyperlink" Target="http://www.nevo.co.il/case/13038716" TargetMode="External"/><Relationship Id="rId5" Type="http://schemas.openxmlformats.org/officeDocument/2006/relationships/hyperlink" Target="http://www.nevo.co.il/case/13070722" TargetMode="External"/><Relationship Id="rId6" Type="http://schemas.openxmlformats.org/officeDocument/2006/relationships/hyperlink" Target="http://www.nevo.co.il/case/4586531" TargetMode="External"/><Relationship Id="rId7" Type="http://schemas.openxmlformats.org/officeDocument/2006/relationships/hyperlink" Target="http://www.nevo.co.il/case/13070722" TargetMode="External"/><Relationship Id="rId8" Type="http://schemas.openxmlformats.org/officeDocument/2006/relationships/hyperlink" Target="http://www.nevo.co.il/law/70301" TargetMode="External"/><Relationship Id="rId9" Type="http://schemas.openxmlformats.org/officeDocument/2006/relationships/hyperlink" Target="http://www.nevo.co.il/law/70301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14017640.W03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2018-06-04T08:57:00Z</dcterms:created>
  <dc:creator>User8</dc:creator>
  <dc:description/>
  <cp:keywords/>
  <dc:language>en-IL</dc:language>
  <cp:lastModifiedBy>run</cp:lastModifiedBy>
  <cp:lastPrinted>2009-02-15T10:12:00Z</cp:lastPrinted>
  <dcterms:modified xsi:type="dcterms:W3CDTF">2018-06-04T08:57:00Z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אברהם דהן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13038716:2;13070722:3;4586531</vt:lpwstr>
  </property>
  <property fmtid="{D5CDD505-2E9C-101B-9397-08002B2CF9AE}" pid="9" name="CITY">
    <vt:lpwstr/>
  </property>
  <property fmtid="{D5CDD505-2E9C-101B-9397-08002B2CF9AE}" pid="10" name="DATE">
    <vt:lpwstr>20140626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י' דנציגר;נ' הנדל;נ' סולברג</vt:lpwstr>
  </property>
  <property fmtid="{D5CDD505-2E9C-101B-9397-08002B2CF9AE}" pid="14" name="LAWLISTTMP1">
    <vt:lpwstr>70301</vt:lpwstr>
  </property>
  <property fmtid="{D5CDD505-2E9C-101B-9397-08002B2CF9AE}" pid="15" name="LAWYER">
    <vt:lpwstr>דוד ברהום;דפנה שמול</vt:lpwstr>
  </property>
  <property fmtid="{D5CDD505-2E9C-101B-9397-08002B2CF9AE}" pid="16" name="LINKK1">
    <vt:lpwstr/>
  </property>
  <property fmtid="{D5CDD505-2E9C-101B-9397-08002B2CF9AE}" pid="17" name="LINKK2">
    <vt:lpwstr/>
  </property>
  <property fmtid="{D5CDD505-2E9C-101B-9397-08002B2CF9AE}" pid="18" name="LINKK3">
    <vt:lpwstr/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NEWPARTA">
    <vt:lpwstr/>
  </property>
  <property fmtid="{D5CDD505-2E9C-101B-9397-08002B2CF9AE}" pid="22" name="NEWPARTB">
    <vt:lpwstr/>
  </property>
  <property fmtid="{D5CDD505-2E9C-101B-9397-08002B2CF9AE}" pid="23" name="NEWPARTC">
    <vt:lpwstr/>
  </property>
  <property fmtid="{D5CDD505-2E9C-101B-9397-08002B2CF9AE}" pid="24" name="NEWPROC">
    <vt:lpwstr/>
  </property>
  <property fmtid="{D5CDD505-2E9C-101B-9397-08002B2CF9AE}" pid="25" name="PADIMAIL">
    <vt:lpwstr/>
  </property>
  <property fmtid="{D5CDD505-2E9C-101B-9397-08002B2CF9AE}" pid="26" name="PAGE">
    <vt:lpwstr/>
  </property>
  <property fmtid="{D5CDD505-2E9C-101B-9397-08002B2CF9AE}" pid="27" name="PART">
    <vt:lpwstr/>
  </property>
  <property fmtid="{D5CDD505-2E9C-101B-9397-08002B2CF9AE}" pid="28" name="PROCESS">
    <vt:lpwstr>עפ;עפ</vt:lpwstr>
  </property>
  <property fmtid="{D5CDD505-2E9C-101B-9397-08002B2CF9AE}" pid="29" name="PROCNUM">
    <vt:lpwstr>1764;2199</vt:lpwstr>
  </property>
  <property fmtid="{D5CDD505-2E9C-101B-9397-08002B2CF9AE}" pid="30" name="PROCYEAR">
    <vt:lpwstr>14;14</vt:lpwstr>
  </property>
  <property fmtid="{D5CDD505-2E9C-101B-9397-08002B2CF9AE}" pid="31" name="PSAKDIN">
    <vt:lpwstr>פסק-דין</vt:lpwstr>
  </property>
  <property fmtid="{D5CDD505-2E9C-101B-9397-08002B2CF9AE}" pid="32" name="TYPE">
    <vt:lpwstr>1</vt:lpwstr>
  </property>
  <property fmtid="{D5CDD505-2E9C-101B-9397-08002B2CF9AE}" pid="33" name="TYPE_ABS_DATE">
    <vt:lpwstr>410020140626</vt:lpwstr>
  </property>
  <property fmtid="{D5CDD505-2E9C-101B-9397-08002B2CF9AE}" pid="34" name="TYPE_N_DATE">
    <vt:lpwstr>41020140626</vt:lpwstr>
  </property>
  <property fmtid="{D5CDD505-2E9C-101B-9397-08002B2CF9AE}" pid="35" name="VOLUME">
    <vt:lpwstr/>
  </property>
  <property fmtid="{D5CDD505-2E9C-101B-9397-08002B2CF9AE}" pid="36" name="WORDNUMPAGES">
    <vt:lpwstr>4</vt:lpwstr>
  </property>
</Properties>
</file>