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2186/13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ח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מלצר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פוגלמן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שהם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סאלח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עקול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פסק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בחיפה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  <w:rtl w:val="true"/>
              </w:rPr>
              <w:t>(</w:t>
            </w:r>
            <w:r>
              <w:rPr>
                <w:sz w:val="24"/>
                <w:sz w:val="24"/>
                <w:szCs w:val="24"/>
                <w:rtl w:val="true"/>
              </w:rPr>
              <w:t>כב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גלעד</w:t>
            </w:r>
            <w:r>
              <w:rPr>
                <w:sz w:val="24"/>
                <w:szCs w:val="24"/>
                <w:rtl w:val="true"/>
              </w:rPr>
              <w:t xml:space="preserve">)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24154-01-12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[</w:t>
            </w:r>
            <w:r>
              <w:rPr>
                <w:szCs w:val="24"/>
                <w:rtl w:val="true"/>
              </w:rPr>
              <w:t>פורסם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בנבו</w:t>
            </w:r>
            <w:r>
              <w:rPr>
                <w:szCs w:val="24"/>
                <w:rtl w:val="true"/>
              </w:rPr>
              <w:t xml:space="preserve">]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05.02.2013</w:t>
            </w:r>
            <w:r>
              <w:rPr>
                <w:sz w:val="24"/>
                <w:szCs w:val="24"/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5" w:name="xDate"/>
            <w:r>
              <w:rPr>
                <w:sz w:val="24"/>
                <w:sz w:val="24"/>
                <w:szCs w:val="24"/>
                <w:rtl w:val="true"/>
                <w:lang w:val="en-IL" w:eastAsia="en-IL"/>
              </w:rPr>
              <w:t>י</w:t>
            </w:r>
            <w:r>
              <w:rPr>
                <w:sz w:val="24"/>
                <w:szCs w:val="24"/>
                <w:rtl w:val="true"/>
                <w:lang w:val="en-IL" w:eastAsia="en-IL"/>
              </w:rPr>
              <w:t>"</w:t>
            </w:r>
            <w:r>
              <w:rPr>
                <w:sz w:val="24"/>
                <w:sz w:val="24"/>
                <w:szCs w:val="24"/>
                <w:rtl w:val="true"/>
                <w:lang w:val="en-IL" w:eastAsia="en-IL"/>
              </w:rPr>
              <w:t>ג</w:t>
            </w:r>
            <w:r>
              <w:rPr>
                <w:rFonts w:cs="Times New Roman"/>
                <w:sz w:val="24"/>
                <w:sz w:val="24"/>
                <w:szCs w:val="24"/>
                <w:rtl w:val="true"/>
                <w:lang w:val="en-IL" w:eastAsia="en-IL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  <w:lang w:val="en-IL" w:eastAsia="en-IL"/>
              </w:rPr>
              <w:t>באדר</w:t>
            </w:r>
            <w:r>
              <w:rPr>
                <w:rFonts w:cs="Times New Roman"/>
                <w:sz w:val="24"/>
                <w:sz w:val="24"/>
                <w:szCs w:val="24"/>
                <w:rtl w:val="true"/>
                <w:lang w:val="en-IL" w:eastAsia="en-IL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  <w:lang w:val="en-IL" w:eastAsia="en-IL"/>
              </w:rPr>
              <w:t>התשע</w:t>
            </w:r>
            <w:r>
              <w:rPr>
                <w:sz w:val="24"/>
                <w:szCs w:val="24"/>
                <w:rtl w:val="true"/>
                <w:lang w:val="en-IL" w:eastAsia="en-IL"/>
              </w:rPr>
              <w:t>"</w:t>
            </w:r>
            <w:bookmarkEnd w:id="5"/>
            <w:r>
              <w:rPr>
                <w:sz w:val="24"/>
                <w:sz w:val="24"/>
                <w:szCs w:val="24"/>
                <w:rtl w:val="true"/>
                <w:lang w:val="en-IL" w:eastAsia="en-IL"/>
              </w:rPr>
              <w:t>ד</w:t>
            </w:r>
            <w:r>
              <w:rPr>
                <w:rFonts w:cs="Times New Roman"/>
                <w:rtl w:val="true"/>
              </w:rPr>
              <w:t xml:space="preserve">      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bookmarkStart w:id="6" w:name="xGDate"/>
            <w:r>
              <w:rPr>
                <w:rtl w:val="true"/>
                <w:lang w:val="en-IL" w:eastAsia="en-IL"/>
              </w:rPr>
              <w:t>(</w:t>
            </w:r>
            <w:r>
              <w:rPr>
                <w:lang w:val="en-IL" w:eastAsia="en-IL"/>
              </w:rPr>
              <w:t>5.2.2013</w:t>
            </w:r>
            <w:r>
              <w:rPr>
                <w:rtl w:val="true"/>
                <w:lang w:val="en-IL" w:eastAsia="en-IL"/>
              </w:rPr>
              <w:t>)</w:t>
            </w:r>
            <w:bookmarkEnd w:id="6"/>
            <w:r>
              <w:rPr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אבי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אמר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7" w:name="FirstLawyer"/>
            <w:bookmarkEnd w:id="7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סיוון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רוסו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  <w:bookmarkStart w:id="8" w:name="LawTable"/>
      <w:bookmarkStart w:id="9" w:name="LawTable"/>
      <w:bookmarkEnd w:id="9"/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1973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7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13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8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9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29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0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1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2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2"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3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499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bookmarkStart w:id="10" w:name="LawTable"/>
      <w:bookmarkStart w:id="11" w:name="ABSTRACT_START"/>
      <w:bookmarkEnd w:id="10"/>
      <w:bookmarkEnd w:id="11"/>
      <w:r>
        <w:rPr>
          <w:rFonts w:cs="FrankRuehl"/>
          <w:sz w:val="24"/>
          <w:sz w:val="24"/>
          <w:szCs w:val="26"/>
          <w:rtl w:val="true"/>
        </w:rPr>
        <w:t>מיני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רציו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/>
      </w:pPr>
      <w:r>
        <w:rPr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מצא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תוצאת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האיזון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שערך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קמא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שיקולי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מגלה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עילה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להתערבותו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בעונש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המאסר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שנגזר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בעבירות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נשק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וסמים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עם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זאת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הפחית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גובה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הקנס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שהושת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במחצית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נוכח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תקופת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המאסר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הארוכה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שנגזרה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הספק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בדבר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גובה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הרווח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בפועל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הפיק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מביצוע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העבירות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ומצבו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הכלכלי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והמשפחתי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 </w:t>
      </w:r>
      <w:r>
        <w:rPr>
          <w:rFonts w:cs="FrankRuehl"/>
          <w:sz w:val="24"/>
          <w:sz w:val="24"/>
          <w:szCs w:val="26"/>
          <w:rtl w:val="true"/>
        </w:rPr>
        <w:t>דרכי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קנס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 </w:t>
      </w:r>
      <w:r>
        <w:rPr>
          <w:rFonts w:cs="FrankRuehl"/>
          <w:sz w:val="24"/>
          <w:sz w:val="24"/>
          <w:szCs w:val="26"/>
          <w:rtl w:val="true"/>
        </w:rPr>
        <w:t>התערבות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ערכאת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שיקולים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לקולה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סמים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עסקינן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בערעור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גזר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הדין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המחוזי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שהרשיע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לפי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הודאתו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בעבירות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החזקת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סם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מסוכן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שלא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כדין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ושלא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לצריכה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עצמית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סחר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בסם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מסוכן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נשיאת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נשק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שלא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כדין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סחר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בנשק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שלא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כדין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וקשר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לפשע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וגזר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עליו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cs="Times New Roman" w:ascii="Times New Roman" w:hAnsi="Times New Roman"/>
          <w:spacing w:val="0"/>
          <w:sz w:val="24"/>
          <w:szCs w:val="26"/>
        </w:rPr>
        <w:t>8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שנות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בפועל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cs="Times New Roman" w:ascii="Times New Roman" w:hAnsi="Times New Roman"/>
          <w:spacing w:val="0"/>
          <w:sz w:val="24"/>
          <w:szCs w:val="26"/>
        </w:rPr>
        <w:t>3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שנות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תנאי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קנס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בסך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cs="Times New Roman" w:ascii="Times New Roman" w:hAnsi="Times New Roman"/>
          <w:spacing w:val="0"/>
          <w:sz w:val="24"/>
          <w:szCs w:val="26"/>
        </w:rPr>
        <w:t>50,000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ח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ופסילה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מלקבל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מלהחזיק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רישיון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נהיגה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למשך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cs="Times New Roman" w:ascii="Times New Roman" w:hAnsi="Times New Roman"/>
          <w:spacing w:val="0"/>
          <w:sz w:val="24"/>
          <w:szCs w:val="26"/>
        </w:rPr>
        <w:t>4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שנים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מיום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שחרורו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ממאסר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/>
      </w:pPr>
      <w:r>
        <w:rPr>
          <w:rFonts w:ascii="Times New Roman" w:hAnsi="Times New Roman" w:cs="Times New Roman"/>
          <w:spacing w:val="0"/>
          <w:szCs w:val="26"/>
          <w:rtl w:val="true"/>
        </w:rPr>
        <w:t>בית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המשפט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העליון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cs="Times New Roman" w:ascii="Times New Roman" w:hAnsi="Times New Roman"/>
          <w:spacing w:val="0"/>
          <w:szCs w:val="26"/>
          <w:rtl w:val="true"/>
        </w:rPr>
        <w:t>(</w:t>
      </w:r>
      <w:r>
        <w:rPr>
          <w:rFonts w:ascii="Times New Roman" w:hAnsi="Times New Roman" w:cs="Times New Roman"/>
          <w:spacing w:val="0"/>
          <w:szCs w:val="26"/>
          <w:rtl w:val="true"/>
        </w:rPr>
        <w:t>מפי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השופט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פוגלמן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ובהסכמת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השופטים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מלצר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ושהם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) </w:t>
      </w:r>
      <w:r>
        <w:rPr>
          <w:rFonts w:ascii="Times New Roman" w:hAnsi="Times New Roman" w:cs="Times New Roman"/>
          <w:spacing w:val="0"/>
          <w:szCs w:val="26"/>
          <w:rtl w:val="true"/>
        </w:rPr>
        <w:t>דחה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הערעור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בכפוף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להפחתת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רכיב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הקנס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ופסק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כי</w:t>
      </w:r>
      <w:r>
        <w:rPr>
          <w:rFonts w:cs="Times New Roman" w:ascii="Times New Roman" w:hAnsi="Times New Roman"/>
          <w:spacing w:val="0"/>
          <w:szCs w:val="26"/>
          <w:rtl w:val="true"/>
        </w:rPr>
        <w:t>: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/>
      </w:pP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ציין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ערכאת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הערעור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תתערב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בעונש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שהטילה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הערכאה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הדיונית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במקרים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חריגים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טעות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מהותית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סטייה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ברורה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ממדיניות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המקובלת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בנסיבות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דומות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הוסיף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צורך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להכביר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מילים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בדבר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חומרתן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הרבה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עבירות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הסחר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בסמים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ובנשק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שפגיעתם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במשתמשים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ובסובבים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אותם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קשה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היא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בענייננו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קמא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נתן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דעתו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לחומרת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העבירות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ולנסיבות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ביצוע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העבירה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בעת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קביעת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מתחם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הענישה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במסגרת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קביעת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העונש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בתוך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המתחם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נשקלו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נסיבותיו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האישיות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לחומרה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ולקולה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לאחר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שקילת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מכלול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השיקולים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רקע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אמות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המידה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להתערבות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ערכאת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הערעור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בחומרת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העונש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מצא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תוצאת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האיזון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שערך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קמא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שיקולי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מגלה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עילה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להתערבות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בעונש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המאסר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שנגזר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ידו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/>
      </w:pPr>
      <w:r>
        <w:rPr>
          <w:rFonts w:ascii="Times New Roman" w:hAnsi="Times New Roman" w:cs="Times New Roman"/>
          <w:spacing w:val="0"/>
          <w:szCs w:val="26"/>
          <w:rtl w:val="true"/>
        </w:rPr>
        <w:t>עם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זאת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קבע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שונים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הדברים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באשר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לקנס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שהוטל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ציין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ככלל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בעבירות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שהמניע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העיקרי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לביצוען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הוא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הרווח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הכלכלי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הצפוי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יש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להטיל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שתהפוך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העבירה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לבלתי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משתלמת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ותרתיע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עבריינים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מסטייה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מדרך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הישר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בימ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ציין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במקרה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זה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יש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מקום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להפחית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גובה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הקנס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נוכח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תקופת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המאסר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הארוכה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שנגזרה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הספק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בדבר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גובהו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הרווח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בפועל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שהוא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הפיק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מביצוע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העבירות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ומצבו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הכלכלי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והמשפחתי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לפיכך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הקנס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הועמד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סך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cs="Times New Roman" w:ascii="Times New Roman" w:hAnsi="Times New Roman"/>
          <w:spacing w:val="0"/>
          <w:szCs w:val="26"/>
        </w:rPr>
        <w:t>25,000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ש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ח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או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cs="Times New Roman" w:ascii="Times New Roman" w:hAnsi="Times New Roman"/>
          <w:spacing w:val="0"/>
          <w:szCs w:val="26"/>
        </w:rPr>
        <w:t>6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חודשי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תמורתו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Times New Roman" w:hAnsi="Times New Roman" w:cs="Times New Roman"/>
          <w:spacing w:val="0"/>
          <w:szCs w:val="26"/>
        </w:rPr>
      </w:pPr>
      <w:r>
        <w:rPr>
          <w:rFonts w:cs="Times New Roman"/>
          <w:spacing w:val="0"/>
          <w:szCs w:val="26"/>
          <w:rtl w:val="true"/>
        </w:rPr>
      </w:r>
      <w:bookmarkStart w:id="12" w:name="ABSTRACT_END"/>
      <w:bookmarkStart w:id="13" w:name="ABSTRACT_END"/>
      <w:bookmarkEnd w:id="13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4" w:name="PsakDin"/>
            <w:bookmarkStart w:id="15" w:name="secretary"/>
            <w:bookmarkStart w:id="16" w:name="BeginProtocol"/>
            <w:bookmarkEnd w:id="14"/>
            <w:bookmarkEnd w:id="15"/>
            <w:bookmarkEnd w:id="16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bookmarkStart w:id="17" w:name="Writer_Name"/>
      <w:bookmarkEnd w:id="17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ע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פוגלמן</w:t>
      </w:r>
      <w:r>
        <w:rPr>
          <w:rFonts w:cs="Miriam"/>
          <w:sz w:val="24"/>
          <w:szCs w:val="24"/>
          <w:rtl w:val="true"/>
        </w:rPr>
        <w:t>:</w:t>
      </w:r>
    </w:p>
    <w:p>
      <w:pPr>
        <w:pStyle w:val="Ruller41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18" w:name="Start_Write"/>
      <w:bookmarkStart w:id="19" w:name="Start_Write"/>
      <w:bookmarkEnd w:id="19"/>
    </w:p>
    <w:p>
      <w:pPr>
        <w:pStyle w:val="Ruller41"/>
        <w:ind w:end="0"/>
        <w:jc w:val="both"/>
        <w:rPr/>
      </w:pPr>
      <w:r>
        <w:rPr>
          <w:rFonts w:cs="Century" w:ascii="Century" w:hAnsi="Century"/>
          <w:rtl w:val="true"/>
        </w:rPr>
        <w:tab/>
      </w:r>
      <w:r>
        <w:rPr>
          <w:rFonts w:ascii="Century" w:hAnsi="Century" w:cs="Century"/>
          <w:rtl w:val="true"/>
        </w:rPr>
        <w:t xml:space="preserve">ערעור על גזר הדין של בית המשפט המחוזי בחיפה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Fonts w:ascii="Century" w:hAnsi="Century" w:cs="Century"/>
          <w:rtl w:val="true"/>
        </w:rPr>
        <w:t xml:space="preserve">השופט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גלעד</w:t>
      </w:r>
      <w:r>
        <w:rPr>
          <w:rFonts w:cs="Century" w:ascii="Century" w:hAnsi="Century"/>
          <w:rtl w:val="true"/>
        </w:rPr>
        <w:t xml:space="preserve">) </w:t>
      </w:r>
      <w:r>
        <w:rPr>
          <w:rFonts w:ascii="Century" w:hAnsi="Century" w:cs="Century"/>
          <w:rtl w:val="true"/>
        </w:rPr>
        <w:t xml:space="preserve">שהרשיע את המערער לפי הודאתו בעבירות החזקת סם מסוכן שלא כדין ושלא לצריכה עצמית לפי </w:t>
      </w:r>
      <w:hyperlink r:id="rId14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סעיפים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7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(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א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)</w:t>
        </w:r>
      </w:hyperlink>
      <w:r>
        <w:rPr>
          <w:rFonts w:cs="Century" w:ascii="Century" w:hAnsi="Century"/>
          <w:rtl w:val="true"/>
        </w:rPr>
        <w:t>,</w:t>
      </w:r>
      <w:hyperlink r:id="rId15"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(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ג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)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ל</w:t>
      </w:r>
      <w:hyperlink r:id="rId16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פקודת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הסמים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המסוכנים</w:t>
        </w:r>
      </w:hyperlink>
      <w:r>
        <w:rPr>
          <w:rFonts w:ascii="Century" w:hAnsi="Century" w:cs="Century"/>
          <w:rtl w:val="true"/>
        </w:rPr>
        <w:t xml:space="preserve"> </w:t>
      </w:r>
      <w:r>
        <w:rPr>
          <w:rFonts w:cs="Century" w:ascii="Century" w:hAnsi="Century"/>
          <w:rtl w:val="true"/>
        </w:rPr>
        <w:t>[</w:t>
      </w:r>
      <w:r>
        <w:rPr>
          <w:rFonts w:ascii="Century" w:hAnsi="Century" w:cs="Century"/>
          <w:rtl w:val="true"/>
        </w:rPr>
        <w:t>נוסח חדש</w:t>
      </w:r>
      <w:r>
        <w:rPr>
          <w:rFonts w:cs="Century" w:ascii="Century" w:hAnsi="Century"/>
          <w:rtl w:val="true"/>
        </w:rPr>
        <w:t xml:space="preserve">], </w:t>
      </w:r>
      <w:r>
        <w:rPr>
          <w:rFonts w:ascii="Century" w:hAnsi="Century" w:cs="Century"/>
          <w:rtl w:val="true"/>
        </w:rPr>
        <w:t>התשל</w:t>
      </w:r>
      <w:r>
        <w:rPr>
          <w:rFonts w:cs="Century" w:ascii="Century" w:hAnsi="Century"/>
          <w:rtl w:val="true"/>
        </w:rPr>
        <w:t>"</w:t>
      </w:r>
      <w:r>
        <w:rPr>
          <w:rFonts w:ascii="Century" w:hAnsi="Century" w:cs="Century"/>
          <w:rtl w:val="true"/>
        </w:rPr>
        <w:t>ג</w:t>
      </w:r>
      <w:r>
        <w:rPr>
          <w:rFonts w:cs="Century" w:ascii="Century" w:hAnsi="Century"/>
          <w:rtl w:val="true"/>
        </w:rPr>
        <w:t>-</w:t>
      </w:r>
      <w:r>
        <w:rPr>
          <w:rFonts w:cs="Century" w:ascii="Century" w:hAnsi="Century"/>
        </w:rPr>
        <w:t>1973</w:t>
      </w:r>
      <w:r>
        <w:rPr>
          <w:rFonts w:cs="Century" w:ascii="Century" w:hAnsi="Century"/>
          <w:rtl w:val="true"/>
        </w:rPr>
        <w:t xml:space="preserve"> (</w:t>
      </w:r>
      <w:r>
        <w:rPr>
          <w:rFonts w:ascii="Century" w:hAnsi="Century" w:cs="Century"/>
          <w:rtl w:val="true"/>
        </w:rPr>
        <w:t>להלן</w:t>
      </w:r>
      <w:r>
        <w:rPr>
          <w:rFonts w:cs="Century" w:ascii="Century" w:hAnsi="Century"/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פקודת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הסמים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המסוכנים</w:t>
      </w:r>
      <w:r>
        <w:rPr>
          <w:rFonts w:cs="Century" w:ascii="Century" w:hAnsi="Century"/>
          <w:rtl w:val="true"/>
        </w:rPr>
        <w:t xml:space="preserve">) </w:t>
      </w:r>
      <w:r>
        <w:rPr>
          <w:rFonts w:ascii="Century" w:hAnsi="Century" w:cs="Century"/>
          <w:rtl w:val="true"/>
        </w:rPr>
        <w:t>ו</w:t>
      </w:r>
      <w:r>
        <w:rPr>
          <w:rFonts w:cs="Century" w:ascii="Century" w:hAnsi="Century"/>
          <w:rtl w:val="true"/>
        </w:rPr>
        <w:t>-</w:t>
      </w:r>
      <w:hyperlink r:id="rId17">
        <w:r>
          <w:rPr>
            <w:rStyle w:val="Hyperlink"/>
            <w:rFonts w:cs="Century" w:ascii="Century" w:hAnsi="Century"/>
          </w:rPr>
          <w:t>29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ל</w:t>
      </w:r>
      <w:hyperlink r:id="rId18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חוק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העונשין</w:t>
        </w:r>
      </w:hyperlink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התשל</w:t>
      </w:r>
      <w:r>
        <w:rPr>
          <w:rFonts w:cs="Century" w:ascii="Century" w:hAnsi="Century"/>
          <w:rtl w:val="true"/>
        </w:rPr>
        <w:t>"</w:t>
      </w:r>
      <w:r>
        <w:rPr>
          <w:rFonts w:ascii="Century" w:hAnsi="Century" w:cs="Century"/>
          <w:rtl w:val="true"/>
        </w:rPr>
        <w:t>ז</w:t>
      </w:r>
      <w:r>
        <w:rPr>
          <w:rFonts w:cs="Century" w:ascii="Century" w:hAnsi="Century"/>
          <w:rtl w:val="true"/>
        </w:rPr>
        <w:t>-</w:t>
      </w:r>
      <w:r>
        <w:rPr>
          <w:rFonts w:cs="Century" w:ascii="Century" w:hAnsi="Century"/>
        </w:rPr>
        <w:t>1977</w:t>
      </w:r>
      <w:r>
        <w:rPr>
          <w:rFonts w:cs="Century" w:ascii="Century" w:hAnsi="Century"/>
          <w:rtl w:val="true"/>
        </w:rPr>
        <w:t xml:space="preserve"> (</w:t>
      </w:r>
      <w:r>
        <w:rPr>
          <w:rFonts w:ascii="Century" w:hAnsi="Century" w:cs="Century"/>
          <w:rtl w:val="true"/>
        </w:rPr>
        <w:t>להלן</w:t>
      </w:r>
      <w:r>
        <w:rPr>
          <w:rFonts w:cs="Century" w:ascii="Century" w:hAnsi="Century"/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חוק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העונשין</w:t>
      </w:r>
      <w:r>
        <w:rPr>
          <w:rFonts w:cs="Century" w:ascii="Century" w:hAnsi="Century"/>
          <w:rtl w:val="true"/>
        </w:rPr>
        <w:t xml:space="preserve">), </w:t>
      </w:r>
      <w:r>
        <w:rPr>
          <w:rFonts w:ascii="Century" w:hAnsi="Century" w:cs="Century"/>
          <w:rtl w:val="true"/>
        </w:rPr>
        <w:t xml:space="preserve">סחר בסם מסוכן לפי </w:t>
      </w:r>
      <w:hyperlink r:id="rId19">
        <w:r>
          <w:rPr>
            <w:rStyle w:val="Hyperlink"/>
            <w:rFonts w:ascii="Century" w:hAnsi="Century" w:cs="Century"/>
            <w:rtl w:val="true"/>
          </w:rPr>
          <w:t>סעיפים</w:t>
        </w:r>
        <w:r>
          <w:rPr>
            <w:rStyle w:val="Hyperlink"/>
            <w:rFonts w:ascii="Century" w:hAnsi="Century" w:cs="Century"/>
            <w:rtl w:val="true"/>
          </w:rPr>
          <w:t xml:space="preserve"> </w:t>
        </w:r>
        <w:r>
          <w:rPr>
            <w:rStyle w:val="Hyperlink"/>
            <w:rFonts w:cs="Century" w:ascii="Century" w:hAnsi="Century"/>
          </w:rPr>
          <w:t>13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ו</w:t>
      </w:r>
      <w:r>
        <w:rPr>
          <w:rFonts w:cs="Century" w:ascii="Century" w:hAnsi="Century"/>
          <w:rtl w:val="true"/>
        </w:rPr>
        <w:t>-</w:t>
      </w:r>
      <w:hyperlink r:id="rId20">
        <w:r>
          <w:rPr>
            <w:rStyle w:val="Hyperlink"/>
            <w:rFonts w:cs="Century" w:ascii="Century" w:hAnsi="Century"/>
          </w:rPr>
          <w:t>19</w:t>
        </w:r>
        <w:r>
          <w:rPr>
            <w:rStyle w:val="Hyperlink"/>
            <w:rFonts w:ascii="Century" w:hAnsi="Century" w:cs="Century"/>
            <w:rtl w:val="true"/>
          </w:rPr>
          <w:t>א</w:t>
        </w:r>
      </w:hyperlink>
      <w:r>
        <w:rPr>
          <w:rFonts w:ascii="Century" w:hAnsi="Century" w:cs="Century"/>
          <w:rtl w:val="true"/>
        </w:rPr>
        <w:t xml:space="preserve"> לפקודת הסמים המסוכנים </w:t>
      </w:r>
      <w:hyperlink r:id="rId21">
        <w:r>
          <w:rPr>
            <w:rStyle w:val="Hyperlink"/>
            <w:rFonts w:ascii="Century" w:hAnsi="Century" w:cs="Century"/>
            <w:rtl w:val="true"/>
          </w:rPr>
          <w:t>וסעיף</w:t>
        </w:r>
        <w:r>
          <w:rPr>
            <w:rStyle w:val="Hyperlink"/>
            <w:rFonts w:ascii="Century" w:hAnsi="Century" w:cs="Century"/>
            <w:rtl w:val="true"/>
          </w:rPr>
          <w:t xml:space="preserve"> </w:t>
        </w:r>
        <w:r>
          <w:rPr>
            <w:rStyle w:val="Hyperlink"/>
            <w:rFonts w:cs="Century" w:ascii="Century" w:hAnsi="Century"/>
          </w:rPr>
          <w:t>29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לחוק העונשין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נשיאת נשק שלא כדין לפי </w:t>
      </w:r>
      <w:hyperlink r:id="rId22">
        <w:r>
          <w:rPr>
            <w:rStyle w:val="Hyperlink"/>
            <w:rFonts w:ascii="Century" w:hAnsi="Century" w:cs="Century"/>
            <w:rtl w:val="true"/>
          </w:rPr>
          <w:t>סעיפים</w:t>
        </w:r>
        <w:r>
          <w:rPr>
            <w:rStyle w:val="Hyperlink"/>
            <w:rFonts w:ascii="Century" w:hAnsi="Century" w:cs="Century"/>
            <w:rtl w:val="true"/>
          </w:rPr>
          <w:t xml:space="preserve"> </w:t>
        </w:r>
        <w:r>
          <w:rPr>
            <w:rStyle w:val="Hyperlink"/>
            <w:rFonts w:cs="Century" w:ascii="Century" w:hAnsi="Century"/>
          </w:rPr>
          <w:t>144</w:t>
        </w:r>
        <w:r>
          <w:rPr>
            <w:rStyle w:val="Hyperlink"/>
            <w:rFonts w:cs="Century" w:ascii="Century" w:hAnsi="Century"/>
            <w:rtl w:val="true"/>
          </w:rPr>
          <w:t>(</w:t>
        </w:r>
        <w:r>
          <w:rPr>
            <w:rStyle w:val="Hyperlink"/>
            <w:rFonts w:ascii="Century" w:hAnsi="Century" w:cs="Century"/>
            <w:rtl w:val="true"/>
          </w:rPr>
          <w:t>ב</w:t>
        </w:r>
        <w:r>
          <w:rPr>
            <w:rStyle w:val="Hyperlink"/>
            <w:rFonts w:cs="Century" w:ascii="Century" w:hAnsi="Century"/>
            <w:rtl w:val="true"/>
          </w:rPr>
          <w:t>)</w:t>
        </w:r>
      </w:hyperlink>
      <w:r>
        <w:rPr>
          <w:rFonts w:cs="Century" w:ascii="Century" w:hAnsi="Century"/>
          <w:rtl w:val="true"/>
        </w:rPr>
        <w:t>,</w:t>
      </w:r>
      <w:hyperlink r:id="rId23"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(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ג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)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ו</w:t>
      </w:r>
      <w:r>
        <w:rPr>
          <w:rFonts w:cs="Century" w:ascii="Century" w:hAnsi="Century"/>
          <w:rtl w:val="true"/>
        </w:rPr>
        <w:t>-</w:t>
      </w:r>
      <w:hyperlink r:id="rId24">
        <w:r>
          <w:rPr>
            <w:rStyle w:val="Hyperlink"/>
            <w:rFonts w:cs="Century" w:ascii="Century" w:hAnsi="Century"/>
            <w:color w:val="0000FF"/>
            <w:u w:val="single"/>
          </w:rPr>
          <w:t>29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לחוק העונשין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סחר בנשק שלא כדין לפי </w:t>
      </w:r>
      <w:hyperlink r:id="rId25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סעיפים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144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(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ב</w:t>
        </w:r>
        <w:r>
          <w:rPr>
            <w:rStyle w:val="Hyperlink"/>
            <w:rFonts w:cs="Century" w:ascii="Century" w:hAnsi="Century"/>
            <w:color w:val="0000FF"/>
            <w:u w:val="single"/>
          </w:rPr>
          <w:t>2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)</w:t>
        </w:r>
      </w:hyperlink>
      <w:r>
        <w:rPr>
          <w:rFonts w:cs="Century" w:ascii="Century" w:hAnsi="Century"/>
          <w:rtl w:val="true"/>
        </w:rPr>
        <w:t>,</w:t>
      </w:r>
      <w:hyperlink r:id="rId26"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(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ג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)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ו</w:t>
      </w:r>
      <w:r>
        <w:rPr>
          <w:rFonts w:cs="Century" w:ascii="Century" w:hAnsi="Century"/>
          <w:rtl w:val="true"/>
        </w:rPr>
        <w:t>-</w:t>
      </w:r>
      <w:hyperlink r:id="rId27">
        <w:r>
          <w:rPr>
            <w:rStyle w:val="Hyperlink"/>
            <w:rFonts w:cs="Century" w:ascii="Century" w:hAnsi="Century"/>
            <w:color w:val="0000FF"/>
            <w:u w:val="single"/>
          </w:rPr>
          <w:t>29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 xml:space="preserve">לחוק העונשין וקשר לפשע לפי </w:t>
      </w:r>
      <w:hyperlink r:id="rId28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סעיף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499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(</w:t>
        </w:r>
        <w:r>
          <w:rPr>
            <w:rStyle w:val="Hyperlink"/>
            <w:rFonts w:cs="Century" w:ascii="Century" w:hAnsi="Century"/>
            <w:color w:val="0000FF"/>
            <w:u w:val="single"/>
          </w:rPr>
          <w:t>1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)(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א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)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לחוק העונשין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וגזר עליו </w:t>
      </w:r>
      <w:r>
        <w:rPr>
          <w:rFonts w:cs="Century" w:ascii="Century" w:hAnsi="Century"/>
        </w:rPr>
        <w:t>8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שנות מאסר בפועל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מאסר על תנאי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קנס בסך </w:t>
      </w:r>
      <w:r>
        <w:rPr>
          <w:rFonts w:cs="Century" w:ascii="Century" w:hAnsi="Century"/>
        </w:rPr>
        <w:t>50,000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ש</w:t>
      </w:r>
      <w:r>
        <w:rPr>
          <w:rFonts w:cs="Century" w:ascii="Century" w:hAnsi="Century"/>
          <w:rtl w:val="true"/>
        </w:rPr>
        <w:t>"</w:t>
      </w:r>
      <w:r>
        <w:rPr>
          <w:rFonts w:ascii="Century" w:hAnsi="Century" w:cs="Century"/>
          <w:rtl w:val="true"/>
        </w:rPr>
        <w:t>ח ופסילת רישיון נהיגה</w:t>
      </w:r>
      <w:r>
        <w:rPr>
          <w:rFonts w:cs="Century" w:ascii="Century" w:hAnsi="Century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בכתב אישום מתוקן שעליו הוסכם בגדר הסדר טיעון</w:t>
      </w:r>
      <w:r>
        <w:rPr>
          <w:rtl w:val="true"/>
        </w:rPr>
        <w:t xml:space="preserve">, </w:t>
      </w:r>
      <w:r>
        <w:rPr>
          <w:rtl w:val="true"/>
        </w:rPr>
        <w:t>יוחסו למערער ארבעה אישומים של ביצוע עבירות סחר בסמים והחזקה בהם שלא לצריכה עצמית</w:t>
      </w:r>
      <w:r>
        <w:rPr>
          <w:rtl w:val="true"/>
        </w:rPr>
        <w:t xml:space="preserve">, </w:t>
      </w:r>
      <w:r>
        <w:rPr>
          <w:rtl w:val="true"/>
        </w:rPr>
        <w:t>עבירות סחר והחזקה בנשק</w:t>
      </w:r>
      <w:r>
        <w:rPr>
          <w:rtl w:val="true"/>
        </w:rPr>
        <w:t xml:space="preserve">, </w:t>
      </w:r>
      <w:r>
        <w:rPr>
          <w:rtl w:val="true"/>
        </w:rPr>
        <w:t>ועבירות קשירת קשר לפשע</w:t>
      </w:r>
      <w:r>
        <w:rPr>
          <w:rtl w:val="true"/>
        </w:rPr>
        <w:t xml:space="preserve">. </w:t>
      </w:r>
      <w:r>
        <w:rPr>
          <w:rtl w:val="true"/>
        </w:rPr>
        <w:t>לפי האישום הראשון</w:t>
      </w:r>
      <w:r>
        <w:rPr>
          <w:rtl w:val="true"/>
        </w:rPr>
        <w:t xml:space="preserve">, </w:t>
      </w:r>
      <w:r>
        <w:rPr>
          <w:rtl w:val="true"/>
        </w:rPr>
        <w:t xml:space="preserve">המערער החזיק בסם מסוכן מסוג הרואין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הרואין</w:t>
      </w:r>
      <w:r>
        <w:rPr>
          <w:rtl w:val="true"/>
        </w:rPr>
        <w:t xml:space="preserve">) </w:t>
      </w:r>
      <w:r>
        <w:rPr>
          <w:rtl w:val="true"/>
        </w:rPr>
        <w:t xml:space="preserve">שלא לצורך שימוש עצמי במשקל </w:t>
      </w:r>
      <w:r>
        <w:rPr/>
        <w:t>49.4</w:t>
      </w:r>
      <w:r>
        <w:rPr>
          <w:rtl w:val="true"/>
        </w:rPr>
        <w:t xml:space="preserve"> </w:t>
      </w:r>
      <w:r>
        <w:rPr>
          <w:rtl w:val="true"/>
        </w:rPr>
        <w:t xml:space="preserve">גרם ומכר אותו לשוטר סמוי תמורת </w:t>
      </w:r>
      <w:r>
        <w:rPr/>
        <w:t>5,000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לפי האישום השני</w:t>
      </w:r>
      <w:r>
        <w:rPr>
          <w:rtl w:val="true"/>
        </w:rPr>
        <w:t xml:space="preserve">, </w:t>
      </w:r>
      <w:r>
        <w:rPr>
          <w:rtl w:val="true"/>
        </w:rPr>
        <w:t xml:space="preserve">נשא המערער אקדח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מחסנית ו</w:t>
      </w:r>
      <w:r>
        <w:rPr>
          <w:rtl w:val="true"/>
        </w:rPr>
        <w:t>-</w:t>
      </w:r>
      <w:r>
        <w:rPr/>
        <w:t>43</w:t>
      </w:r>
      <w:r>
        <w:rPr>
          <w:rtl w:val="true"/>
        </w:rPr>
        <w:t xml:space="preserve"> </w:t>
      </w:r>
      <w:r>
        <w:rPr>
          <w:rtl w:val="true"/>
        </w:rPr>
        <w:t>כדורים ומכר אותם</w:t>
      </w:r>
      <w:r>
        <w:rPr>
          <w:rtl w:val="true"/>
        </w:rPr>
        <w:t xml:space="preserve">, </w:t>
      </w:r>
      <w:r>
        <w:rPr>
          <w:rtl w:val="true"/>
        </w:rPr>
        <w:t>בצוותא עם אדם בשם ואסים פלאח</w:t>
      </w:r>
      <w:r>
        <w:rPr>
          <w:rtl w:val="true"/>
        </w:rPr>
        <w:t xml:space="preserve">, </w:t>
      </w:r>
      <w:r>
        <w:rPr>
          <w:rtl w:val="true"/>
        </w:rPr>
        <w:t xml:space="preserve">לסוכן סמוי תמורת </w:t>
      </w:r>
      <w:r>
        <w:rPr/>
        <w:t>13,000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לפי האישום השלישי</w:t>
      </w:r>
      <w:r>
        <w:rPr>
          <w:rtl w:val="true"/>
        </w:rPr>
        <w:t xml:space="preserve">, </w:t>
      </w:r>
      <w:r>
        <w:rPr>
          <w:rtl w:val="true"/>
        </w:rPr>
        <w:t xml:space="preserve">קשר המערער קשר עם אדם אחר למכור </w:t>
      </w:r>
      <w:r>
        <w:rPr/>
        <w:t>100</w:t>
      </w:r>
      <w:r>
        <w:rPr>
          <w:rtl w:val="true"/>
        </w:rPr>
        <w:t xml:space="preserve"> </w:t>
      </w:r>
      <w:r>
        <w:rPr>
          <w:rtl w:val="true"/>
        </w:rPr>
        <w:t>גרם ו</w:t>
      </w:r>
      <w:r>
        <w:rPr>
          <w:rtl w:val="true"/>
        </w:rPr>
        <w:t>-</w:t>
      </w:r>
      <w:r>
        <w:rPr/>
        <w:t>500</w:t>
      </w:r>
      <w:r>
        <w:rPr>
          <w:rtl w:val="true"/>
        </w:rPr>
        <w:t xml:space="preserve"> </w:t>
      </w:r>
      <w:r>
        <w:rPr>
          <w:rtl w:val="true"/>
        </w:rPr>
        <w:t>גרם הרואין</w:t>
      </w:r>
      <w:r>
        <w:rPr>
          <w:rtl w:val="true"/>
        </w:rPr>
        <w:t xml:space="preserve">; </w:t>
      </w:r>
      <w:r>
        <w:rPr>
          <w:rtl w:val="true"/>
        </w:rPr>
        <w:t>ניסה להחזיק חומר שהוא סבר שהוא הרואין בכמות שאינה ידועה אך אינה לצריכה עצמית</w:t>
      </w:r>
      <w:r>
        <w:rPr>
          <w:rtl w:val="true"/>
        </w:rPr>
        <w:t xml:space="preserve">; </w:t>
      </w:r>
      <w:r>
        <w:rPr>
          <w:rtl w:val="true"/>
        </w:rPr>
        <w:t>וכן</w:t>
      </w:r>
      <w:r>
        <w:rPr>
          <w:rtl w:val="true"/>
        </w:rPr>
        <w:t xml:space="preserve">, </w:t>
      </w:r>
      <w:r>
        <w:rPr>
          <w:rtl w:val="true"/>
        </w:rPr>
        <w:t>בצוותא עם אותו אדם</w:t>
      </w:r>
      <w:r>
        <w:rPr>
          <w:rtl w:val="true"/>
        </w:rPr>
        <w:t xml:space="preserve">, </w:t>
      </w:r>
      <w:r>
        <w:rPr>
          <w:rtl w:val="true"/>
        </w:rPr>
        <w:t xml:space="preserve">החזיק שלא לצורך צריכה עצמית בכמות של </w:t>
      </w:r>
      <w:r>
        <w:rPr/>
        <w:t>94.885</w:t>
      </w:r>
      <w:r>
        <w:rPr>
          <w:rtl w:val="true"/>
        </w:rPr>
        <w:t xml:space="preserve"> </w:t>
      </w:r>
      <w:r>
        <w:rPr>
          <w:rtl w:val="true"/>
        </w:rPr>
        <w:t xml:space="preserve">גרם ומכר לסוכן סמוי הרואין תמורת </w:t>
      </w:r>
      <w:r>
        <w:rPr/>
        <w:t>14,000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לפי האישום הרביעי</w:t>
      </w:r>
      <w:r>
        <w:rPr>
          <w:rtl w:val="true"/>
        </w:rPr>
        <w:t xml:space="preserve">, </w:t>
      </w:r>
      <w:r>
        <w:rPr>
          <w:rtl w:val="true"/>
        </w:rPr>
        <w:t xml:space="preserve">קשר המערער קשר למכור לסוכן סמוי הרואין בכמות של </w:t>
      </w:r>
      <w:r>
        <w:rPr/>
        <w:t>500</w:t>
      </w:r>
      <w:r>
        <w:rPr>
          <w:rtl w:val="true"/>
        </w:rPr>
        <w:t xml:space="preserve"> </w:t>
      </w:r>
      <w:r>
        <w:rPr>
          <w:rtl w:val="true"/>
        </w:rPr>
        <w:t xml:space="preserve">גרם תמורת </w:t>
      </w:r>
      <w:r>
        <w:rPr/>
        <w:t>58,000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tl w:val="true"/>
        </w:rPr>
        <w:t xml:space="preserve">, </w:t>
      </w:r>
      <w:r>
        <w:rPr>
          <w:rtl w:val="true"/>
        </w:rPr>
        <w:t>בצוותא עם אדם אחר</w:t>
      </w:r>
      <w:r>
        <w:rPr>
          <w:rtl w:val="true"/>
        </w:rPr>
        <w:t xml:space="preserve">, </w:t>
      </w:r>
      <w:r>
        <w:rPr>
          <w:rtl w:val="true"/>
        </w:rPr>
        <w:t xml:space="preserve">החזיק שלא לצורך צריכה עצמית ומכר </w:t>
      </w:r>
      <w:r>
        <w:rPr/>
        <w:t>183.07</w:t>
      </w:r>
      <w:r>
        <w:rPr>
          <w:rtl w:val="true"/>
        </w:rPr>
        <w:t xml:space="preserve"> </w:t>
      </w:r>
      <w:r>
        <w:rPr>
          <w:rtl w:val="true"/>
        </w:rPr>
        <w:t xml:space="preserve">גרם הרואין לסוכנים סמויים תמורת </w:t>
      </w:r>
      <w:r>
        <w:rPr/>
        <w:t>18,000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 xml:space="preserve">בית המשפט המחוזי בחיפה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Fonts w:ascii="Century" w:hAnsi="Century" w:cs="Century"/>
          <w:rtl w:val="true"/>
        </w:rPr>
        <w:t xml:space="preserve">השופט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גלעד</w:t>
      </w:r>
      <w:r>
        <w:rPr>
          <w:rtl w:val="true"/>
        </w:rPr>
        <w:t xml:space="preserve">) </w:t>
      </w:r>
      <w:r>
        <w:rPr>
          <w:rtl w:val="true"/>
        </w:rPr>
        <w:t>הרשיע את המערער לפי הודאתו בעבירות שיוחסו לו כאמור</w:t>
      </w:r>
      <w:r>
        <w:rPr>
          <w:rtl w:val="true"/>
        </w:rPr>
        <w:t xml:space="preserve">. </w:t>
      </w:r>
      <w:r>
        <w:rPr>
          <w:rtl w:val="true"/>
        </w:rPr>
        <w:t xml:space="preserve">לצורך גזירת עונשו קבע בית המשפט כי מתחם הענישה הראוי ביחס לכל אחד מאישומים </w:t>
      </w:r>
      <w:r>
        <w:rPr/>
        <w:t>1</w:t>
      </w:r>
      <w:r>
        <w:rPr>
          <w:rtl w:val="true"/>
        </w:rPr>
        <w:t xml:space="preserve">,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4</w:t>
      </w:r>
      <w:r>
        <w:rPr>
          <w:rtl w:val="true"/>
        </w:rPr>
        <w:t xml:space="preserve"> (</w:t>
      </w:r>
      <w:r>
        <w:rPr>
          <w:rtl w:val="true"/>
        </w:rPr>
        <w:t>עבירות הסמים</w:t>
      </w:r>
      <w:r>
        <w:rPr>
          <w:rtl w:val="true"/>
        </w:rPr>
        <w:t xml:space="preserve">) </w:t>
      </w:r>
      <w:r>
        <w:rPr>
          <w:rtl w:val="true"/>
        </w:rPr>
        <w:t>משתרע על שלוש שנות מאסר עד שש שנות מאסר</w:t>
      </w:r>
      <w:r>
        <w:rPr>
          <w:rtl w:val="true"/>
        </w:rPr>
        <w:t xml:space="preserve">, </w:t>
      </w:r>
      <w:r>
        <w:rPr>
          <w:rtl w:val="true"/>
        </w:rPr>
        <w:t xml:space="preserve">וביחס לאישום </w:t>
      </w:r>
      <w:r>
        <w:rPr/>
        <w:t>3</w:t>
      </w:r>
      <w:r>
        <w:rPr>
          <w:rtl w:val="true"/>
        </w:rPr>
        <w:t xml:space="preserve"> (</w:t>
      </w:r>
      <w:r>
        <w:rPr>
          <w:rtl w:val="true"/>
        </w:rPr>
        <w:t>עבירות הנשק</w:t>
      </w:r>
      <w:r>
        <w:rPr>
          <w:rtl w:val="true"/>
        </w:rPr>
        <w:t xml:space="preserve">) </w:t>
      </w:r>
      <w:r>
        <w:rPr>
          <w:rtl w:val="true"/>
        </w:rPr>
        <w:t>משתרע מתחם הענישה על שתי שנות מאסר עד ארבע שנות מאסר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בהתחשב בחומרה הרבה שיש לייחס לעבירות הסחר וההחזקה בסמים ובנשק נוכח פוטנציאל הנזק הגבוה הצפוי מהן</w:t>
      </w:r>
      <w:r>
        <w:rPr>
          <w:rtl w:val="true"/>
        </w:rPr>
        <w:t xml:space="preserve">, </w:t>
      </w:r>
      <w:r>
        <w:rPr>
          <w:rtl w:val="true"/>
        </w:rPr>
        <w:t>וכן בנסיבות ביצוע העבירות ובתוך כך בחלקו הדומיננטי של המערער</w:t>
      </w:r>
      <w:r>
        <w:rPr>
          <w:rtl w:val="true"/>
        </w:rPr>
        <w:t xml:space="preserve">; </w:t>
      </w:r>
      <w:r>
        <w:rPr>
          <w:rtl w:val="true"/>
        </w:rPr>
        <w:t>במידת שליטתו על ביצוע העבירות</w:t>
      </w:r>
      <w:r>
        <w:rPr>
          <w:rtl w:val="true"/>
        </w:rPr>
        <w:t xml:space="preserve">; </w:t>
      </w:r>
      <w:r>
        <w:rPr>
          <w:rtl w:val="true"/>
        </w:rPr>
        <w:t xml:space="preserve">בכמויות הסם הגבוהות שבהן החזיק וסחר שהגיעו לכדי פי </w:t>
      </w:r>
      <w:r>
        <w:rPr/>
        <w:t>1,090</w:t>
      </w:r>
      <w:r>
        <w:rPr>
          <w:rtl w:val="true"/>
        </w:rPr>
        <w:t xml:space="preserve"> </w:t>
      </w:r>
      <w:r>
        <w:rPr>
          <w:rtl w:val="true"/>
        </w:rPr>
        <w:t>יותר מהכמות לצריכה עצמית</w:t>
      </w:r>
      <w:r>
        <w:rPr>
          <w:rtl w:val="true"/>
        </w:rPr>
        <w:t xml:space="preserve">; </w:t>
      </w:r>
      <w:r>
        <w:rPr>
          <w:rtl w:val="true"/>
        </w:rPr>
        <w:t>ובסיבה לביצוע העבירות</w:t>
      </w:r>
      <w:r>
        <w:rPr>
          <w:rtl w:val="true"/>
        </w:rPr>
        <w:t xml:space="preserve">. </w:t>
      </w:r>
      <w:r>
        <w:rPr>
          <w:rtl w:val="true"/>
        </w:rPr>
        <w:t>לצורך קביעת העונש בתוך מתחם הענישה שקל בית המשפט את עברו הפלילי המכביד של המערער</w:t>
      </w:r>
      <w:r>
        <w:rPr>
          <w:rtl w:val="true"/>
        </w:rPr>
        <w:t xml:space="preserve">, </w:t>
      </w:r>
      <w:r>
        <w:rPr>
          <w:rtl w:val="true"/>
        </w:rPr>
        <w:t>ומנגד שקל לקולה את הודאתו –</w:t>
      </w:r>
      <w:r>
        <w:rPr>
          <w:rtl w:val="true"/>
        </w:rPr>
        <w:t xml:space="preserve"> </w:t>
      </w:r>
      <w:r>
        <w:rPr>
          <w:rtl w:val="true"/>
        </w:rPr>
        <w:t>לה ניתן משקל רב</w:t>
      </w:r>
      <w:r>
        <w:rPr>
          <w:rtl w:val="true"/>
        </w:rPr>
        <w:t xml:space="preserve">, </w:t>
      </w:r>
      <w:r>
        <w:rPr>
          <w:rtl w:val="true"/>
        </w:rPr>
        <w:t>את החרטה שהביע</w:t>
      </w:r>
      <w:r>
        <w:rPr>
          <w:rtl w:val="true"/>
        </w:rPr>
        <w:t xml:space="preserve">, </w:t>
      </w:r>
      <w:r>
        <w:rPr>
          <w:rtl w:val="true"/>
        </w:rPr>
        <w:t>את העובדה שהוא לא הורשע בביצוע עבירות בשבע השנים הקודמות</w:t>
      </w:r>
      <w:r>
        <w:rPr>
          <w:rtl w:val="true"/>
        </w:rPr>
        <w:t xml:space="preserve">, </w:t>
      </w:r>
      <w:r>
        <w:rPr>
          <w:rtl w:val="true"/>
        </w:rPr>
        <w:t>את גילו והיותו מטופל באישה ושישה ילדים</w:t>
      </w:r>
      <w:r>
        <w:rPr>
          <w:rtl w:val="true"/>
        </w:rPr>
        <w:t xml:space="preserve">, </w:t>
      </w:r>
      <w:r>
        <w:rPr>
          <w:rtl w:val="true"/>
        </w:rPr>
        <w:t>וכן – במידה מסוימת – את נסיבות חייו הקשות</w:t>
      </w:r>
      <w:r>
        <w:rPr>
          <w:rtl w:val="true"/>
        </w:rPr>
        <w:t xml:space="preserve">. </w:t>
      </w:r>
      <w:r>
        <w:rPr>
          <w:rtl w:val="true"/>
        </w:rPr>
        <w:t>כמו כן התחשב בית המשפט בכך שיתכן שהמערער אינו העבריין העיקרי מכיוון שבכל המקרים הסמים והנשק לא היו ברשותו והוא הביא אותם מאחרים</w:t>
      </w:r>
      <w:r>
        <w:rPr>
          <w:rtl w:val="true"/>
        </w:rPr>
        <w:t xml:space="preserve">. </w:t>
      </w:r>
      <w:r>
        <w:rPr>
          <w:rtl w:val="true"/>
        </w:rPr>
        <w:t>לצד עונש המאסר ראה בית המשפט לנכון לגזור על המערער קנס משמעותי שישקף הן את הסכום שקיבל מידי הסוכנים הסמויים בעסקאות ואת המשאבים שהושקעו בתפיסתו</w:t>
      </w:r>
      <w:r>
        <w:rPr>
          <w:rtl w:val="true"/>
        </w:rPr>
        <w:t xml:space="preserve">, </w:t>
      </w:r>
      <w:r>
        <w:rPr>
          <w:rtl w:val="true"/>
        </w:rPr>
        <w:t>הן את הצורך בהרתעה ממשית נוכח המניע הכספי של סוחרי סמים ונשק</w:t>
      </w:r>
      <w:r>
        <w:rPr>
          <w:rtl w:val="true"/>
        </w:rPr>
        <w:t xml:space="preserve">. </w:t>
      </w:r>
      <w:r>
        <w:rPr>
          <w:rtl w:val="true"/>
        </w:rPr>
        <w:t>אשר על כן</w:t>
      </w:r>
      <w:r>
        <w:rPr>
          <w:rtl w:val="true"/>
        </w:rPr>
        <w:t xml:space="preserve">, </w:t>
      </w:r>
      <w:r>
        <w:rPr>
          <w:rtl w:val="true"/>
        </w:rPr>
        <w:t>גזר בית המשפט על המערער את העונשים הבאים</w:t>
      </w:r>
      <w:r>
        <w:rPr>
          <w:rtl w:val="true"/>
        </w:rPr>
        <w:t xml:space="preserve">: </w:t>
      </w:r>
      <w:r>
        <w:rPr>
          <w:rFonts w:cs="Century" w:ascii="Century" w:hAnsi="Century"/>
        </w:rPr>
        <w:t>8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שנות מאסר בפועל</w:t>
      </w:r>
      <w:r>
        <w:rPr>
          <w:rFonts w:cs="Century" w:ascii="Century" w:hAnsi="Century"/>
          <w:rtl w:val="true"/>
        </w:rPr>
        <w:t xml:space="preserve">, </w:t>
      </w:r>
      <w:r>
        <w:rPr>
          <w:rFonts w:cs="Century" w:ascii="Century" w:hAnsi="Century"/>
        </w:rPr>
        <w:t>3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 xml:space="preserve">שנות מאסר על תנאי למשך </w:t>
      </w:r>
      <w:r>
        <w:rPr>
          <w:rFonts w:cs="Century" w:ascii="Century" w:hAnsi="Century"/>
        </w:rPr>
        <w:t>3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שנים שלא יבצע עבירת סמים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אלימות או נשק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מסוג פשע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קנס בסך </w:t>
      </w:r>
      <w:r>
        <w:rPr>
          <w:rFonts w:cs="Century" w:ascii="Century" w:hAnsi="Century"/>
        </w:rPr>
        <w:t>50,000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ש</w:t>
      </w:r>
      <w:r>
        <w:rPr>
          <w:rFonts w:cs="Century" w:ascii="Century" w:hAnsi="Century"/>
          <w:rtl w:val="true"/>
        </w:rPr>
        <w:t>"</w:t>
      </w:r>
      <w:r>
        <w:rPr>
          <w:rFonts w:ascii="Century" w:hAnsi="Century" w:cs="Century"/>
          <w:rtl w:val="true"/>
        </w:rPr>
        <w:t>ח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ופסילה מלקבל או מלהחזיק רישיון נהיגה למשך </w:t>
      </w:r>
      <w:r>
        <w:rPr>
          <w:rFonts w:cs="Century" w:ascii="Century" w:hAnsi="Century"/>
        </w:rPr>
        <w:t>4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שנים מיום שחרורו ממאסר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מכאן הערעור שלפנינו</w:t>
      </w:r>
      <w:r>
        <w:rPr>
          <w:rtl w:val="true"/>
        </w:rPr>
        <w:t xml:space="preserve">, </w:t>
      </w:r>
      <w:r>
        <w:rPr>
          <w:rtl w:val="true"/>
        </w:rPr>
        <w:t>המכוון לחומרת העונש שנגזר על המערער</w:t>
      </w:r>
      <w:r>
        <w:rPr>
          <w:rtl w:val="true"/>
        </w:rPr>
        <w:t xml:space="preserve">. </w:t>
      </w:r>
      <w:r>
        <w:rPr>
          <w:rtl w:val="true"/>
        </w:rPr>
        <w:t>המערער טוען כי נסיבות ביצוע העבירות היו קרובות לעבירות תיווך בסמים ובנשק</w:t>
      </w:r>
      <w:r>
        <w:rPr>
          <w:rtl w:val="true"/>
        </w:rPr>
        <w:t xml:space="preserve">, </w:t>
      </w:r>
      <w:r>
        <w:rPr>
          <w:rtl w:val="true"/>
        </w:rPr>
        <w:t>שכן בכל האישומים הוא היה אחראי רק לארגון המפגש בין הסוכנים למוכרי הסמים והנשק ולא החזיק אצלו סמים או נשק</w:t>
      </w:r>
      <w:r>
        <w:rPr>
          <w:rtl w:val="true"/>
        </w:rPr>
        <w:t xml:space="preserve">. </w:t>
      </w:r>
      <w:r>
        <w:rPr>
          <w:rtl w:val="true"/>
        </w:rPr>
        <w:t xml:space="preserve">כמו כן טוען המערער כי הסוכן היה </w:t>
      </w:r>
      <w:r>
        <w:rPr>
          <w:rtl w:val="true"/>
        </w:rPr>
        <w:t>"</w:t>
      </w:r>
      <w:r>
        <w:rPr>
          <w:rtl w:val="true"/>
        </w:rPr>
        <w:t>סוכן מדיח</w:t>
      </w:r>
      <w:r>
        <w:rPr>
          <w:rtl w:val="true"/>
        </w:rPr>
        <w:t xml:space="preserve">" </w:t>
      </w:r>
      <w:r>
        <w:rPr>
          <w:rtl w:val="true"/>
        </w:rPr>
        <w:t>שניצל את קשרי החברות עימו ואת היכרותו עם עברו הפלילי ומצבו הכלכלי הקשה על מנת לשכנע אותו לקחת חלק בעסקאות</w:t>
      </w:r>
      <w:r>
        <w:rPr>
          <w:rtl w:val="true"/>
        </w:rPr>
        <w:t xml:space="preserve">, </w:t>
      </w:r>
      <w:r>
        <w:rPr>
          <w:rtl w:val="true"/>
        </w:rPr>
        <w:t>תוך שהוא מבטיח שלא יהיה צד להן ויקבל עבור התיווך סכום צנוע</w:t>
      </w:r>
      <w:r>
        <w:rPr>
          <w:rtl w:val="true"/>
        </w:rPr>
        <w:t xml:space="preserve">. </w:t>
      </w:r>
      <w:r>
        <w:rPr>
          <w:rtl w:val="true"/>
        </w:rPr>
        <w:t>נטען כי היה מקום לייחס משקל לכך שהוא לא היה מעורב בפלילים במשך שבע שנים במסגרת ניסיונותיו להתרחק מהפעילות העבריינית ולהשתקם שהתבטאו בעזיבתו את עיר מגוריו ואימוץ אורח חיים נורמטיבי</w:t>
      </w:r>
      <w:r>
        <w:rPr>
          <w:rtl w:val="true"/>
        </w:rPr>
        <w:t xml:space="preserve">. </w:t>
      </w:r>
      <w:r>
        <w:rPr>
          <w:rtl w:val="true"/>
        </w:rPr>
        <w:t>לצד זאת</w:t>
      </w:r>
      <w:r>
        <w:rPr>
          <w:rtl w:val="true"/>
        </w:rPr>
        <w:t xml:space="preserve">, </w:t>
      </w:r>
      <w:r>
        <w:rPr>
          <w:rtl w:val="true"/>
        </w:rPr>
        <w:t>טוען המערער כי העונש שנגזר עליו הוא כבד משמעותית מזה שהוטל על המעורבים האחרים בפרשות שחלקם היה דומיננטי יותר</w:t>
      </w:r>
      <w:r>
        <w:rPr>
          <w:rtl w:val="true"/>
        </w:rPr>
        <w:t xml:space="preserve">, </w:t>
      </w:r>
      <w:r>
        <w:rPr>
          <w:rtl w:val="true"/>
        </w:rPr>
        <w:t>וכי היה מקום לייחס משקל לחרטה שהביע ולנסיבות חייו האישיות</w:t>
      </w:r>
      <w:r>
        <w:rPr>
          <w:rtl w:val="true"/>
        </w:rPr>
        <w:t xml:space="preserve">. </w:t>
      </w:r>
      <w:r>
        <w:rPr>
          <w:rtl w:val="true"/>
        </w:rPr>
        <w:t xml:space="preserve">נוסף על כך טוען המערער כי הקנס שהוטל עליו הסתמך על הנחה שגויה שהוא קיבל </w:t>
      </w:r>
      <w:r>
        <w:rPr/>
        <w:t>38,000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 מהעסקאות בהן הורשע על אף שאין כל אינדיקציה בכתב האישום לסכומים שהוא קיבל בפועל עבור חלקו בכל עסקה</w:t>
      </w:r>
      <w:r>
        <w:rPr>
          <w:rtl w:val="true"/>
        </w:rPr>
        <w:t xml:space="preserve">; </w:t>
      </w:r>
      <w:r>
        <w:rPr>
          <w:rtl w:val="true"/>
        </w:rPr>
        <w:t>וכי היה מקום להטיל קנס נמוך יותר נוכח תקופת המאסר הממושכת שנגזרה עליו ומצבו הכלכלי הקשה כאב לשישה שהיה מובטל תקופת זמן משמעותית בסמוך למעצרו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מנגד סומכת המשיבה את ידיה על גזר הדין של בית המשפט המחוזי</w:t>
      </w:r>
      <w:r>
        <w:rPr>
          <w:rtl w:val="true"/>
        </w:rPr>
        <w:t xml:space="preserve">. </w:t>
      </w:r>
      <w:r>
        <w:rPr>
          <w:rtl w:val="true"/>
        </w:rPr>
        <w:t>נטען כי העונש שנגזר על המערער הוא כבד אך הולם את חומרת מעשיו כמי שלקח חלק דומיננטי בעסקאות ונוכח העובדה שמדובר ברצף של פעילות עבריינית</w:t>
      </w:r>
      <w:r>
        <w:rPr>
          <w:rtl w:val="true"/>
        </w:rPr>
        <w:t xml:space="preserve">. </w:t>
      </w:r>
      <w:r>
        <w:rPr>
          <w:rtl w:val="true"/>
        </w:rPr>
        <w:t>בהתייחס לעונשים שנגזרו על מעורבים אחרים בפרשות פירטה המשיבה את נסיבותיהם המקלות הייחודיות שהצדיקו לטענתה גזירת עונשים מקלים יותר</w:t>
      </w:r>
      <w:r>
        <w:rPr>
          <w:rtl w:val="true"/>
        </w:rPr>
        <w:t xml:space="preserve">. </w:t>
      </w:r>
      <w:r>
        <w:rPr>
          <w:rtl w:val="true"/>
        </w:rPr>
        <w:t xml:space="preserve">עוד טענה המשיבה כי אין די במפגשים החבריים שנערכו בין הסוכן למערער כדי לקבל את טענת המערער בדבר </w:t>
      </w:r>
      <w:r>
        <w:rPr>
          <w:rtl w:val="true"/>
        </w:rPr>
        <w:t>"</w:t>
      </w:r>
      <w:r>
        <w:rPr>
          <w:rtl w:val="true"/>
        </w:rPr>
        <w:t>סוכן מדיח</w:t>
      </w:r>
      <w:r>
        <w:rPr>
          <w:rtl w:val="true"/>
        </w:rPr>
        <w:t xml:space="preserve">". </w:t>
      </w:r>
      <w:r>
        <w:rPr>
          <w:rtl w:val="true"/>
        </w:rPr>
        <w:t>לסיום</w:t>
      </w:r>
      <w:r>
        <w:rPr>
          <w:rtl w:val="true"/>
        </w:rPr>
        <w:t xml:space="preserve">, </w:t>
      </w:r>
      <w:r>
        <w:rPr>
          <w:rtl w:val="true"/>
        </w:rPr>
        <w:t xml:space="preserve">סבורה המשיבה כי אין מקום להתערב בסכום הקנס שהושת על המערער שכן ידוע שהוא קיבל לידיו </w:t>
      </w:r>
      <w:r>
        <w:rPr/>
        <w:t>38,000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 וכן מכיוון שלשיטתה יש להרתיע מפני ביצוע עבירות בצורה שתהפוך אותן ללא משתלמות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לאחר בחינת נימוקי הערעור ושקילת טיעוני הצדדים</w:t>
      </w:r>
      <w:r>
        <w:rPr>
          <w:rtl w:val="true"/>
        </w:rPr>
        <w:t xml:space="preserve">, </w:t>
      </w:r>
      <w:r>
        <w:rPr>
          <w:rtl w:val="true"/>
        </w:rPr>
        <w:t>הגענו למסקנה כי דין הערעור – בעיקרו – להידחות</w:t>
      </w:r>
      <w:r>
        <w:rPr>
          <w:rtl w:val="true"/>
        </w:rPr>
        <w:t xml:space="preserve">. </w:t>
      </w:r>
      <w:r>
        <w:rPr>
          <w:rtl w:val="true"/>
        </w:rPr>
        <w:t>כידוע</w:t>
      </w:r>
      <w:r>
        <w:rPr>
          <w:rtl w:val="true"/>
        </w:rPr>
        <w:t xml:space="preserve">, </w:t>
      </w:r>
      <w:r>
        <w:rPr>
          <w:rtl w:val="true"/>
        </w:rPr>
        <w:t xml:space="preserve">ערכאת הערעור תתערב בעונש שהטילה הערכאה הדיונית במקרים חריגים של טעות מהותית או סטייה ברורה ממדיניות הענישה המקובלת בנסיבות דומות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hyperlink r:id="rId29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8815/12</w:t>
        </w:r>
      </w:hyperlink>
      <w:r>
        <w:rPr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מחמוד</w:t>
      </w:r>
      <w:r>
        <w:rPr>
          <w:rFonts w:eastAsia="Garamond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/>
          <w:spacing w:val="0"/>
          <w:sz w:val="28"/>
          <w:szCs w:val="24"/>
          <w:rtl w:val="true"/>
        </w:rPr>
        <w:t xml:space="preserve">' </w:t>
      </w:r>
      <w:r>
        <w:rPr>
          <w:rFonts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eastAsia="Garamond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Garamond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15.1.2013</w:t>
      </w:r>
      <w:r>
        <w:rPr>
          <w:rtl w:val="true"/>
        </w:rPr>
        <w:t xml:space="preserve">)). </w:t>
      </w:r>
      <w:r>
        <w:rPr>
          <w:rtl w:val="true"/>
        </w:rPr>
        <w:t>אין צורך להכביר מילים בדבר חומרתן הרבה של עבירות הסחר בסמים ובנשק</w:t>
      </w:r>
      <w:r>
        <w:rPr>
          <w:rtl w:val="true"/>
        </w:rPr>
        <w:t xml:space="preserve">, </w:t>
      </w:r>
      <w:r>
        <w:rPr>
          <w:rtl w:val="true"/>
        </w:rPr>
        <w:t xml:space="preserve">שפגיעתם במשתמשים ובסובבים אותם קשה היא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hyperlink r:id="rId30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7070/03</w:t>
        </w:r>
      </w:hyperlink>
      <w:r>
        <w:rPr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זניד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3.4.2006</w:t>
      </w:r>
      <w:r>
        <w:rPr>
          <w:rtl w:val="true"/>
        </w:rPr>
        <w:t xml:space="preserve">); </w:t>
      </w:r>
      <w:hyperlink r:id="rId3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2251/11</w:t>
        </w:r>
      </w:hyperlink>
      <w:r>
        <w:rPr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נפאע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tl w:val="true"/>
        </w:rPr>
        <w:t>(</w:t>
      </w:r>
      <w:r>
        <w:rPr/>
        <w:t>4.12.2011</w:t>
      </w:r>
      <w:r>
        <w:rPr>
          <w:rtl w:val="true"/>
        </w:rPr>
        <w:t xml:space="preserve">)). </w:t>
      </w:r>
      <w:r>
        <w:rPr>
          <w:rtl w:val="true"/>
        </w:rPr>
        <w:t>בענייננו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 xml:space="preserve">בית המשפט קמא נתן את דעתו </w:t>
      </w:r>
      <w:r>
        <w:rPr>
          <w:rtl w:val="true"/>
        </w:rPr>
        <w:t>לחומרת העבירות ולנסיבות ביצוע העבירה בעת קביעת מתחם הענישה</w:t>
      </w:r>
      <w:r>
        <w:rPr>
          <w:rtl w:val="true"/>
        </w:rPr>
        <w:t xml:space="preserve">. </w:t>
      </w:r>
      <w:r>
        <w:rPr>
          <w:rtl w:val="true"/>
        </w:rPr>
        <w:t>במסגרת קביעת העונש בתוך המתחם נשקלו נסיבותיו האישיות של המערער – לחומרה ולקולה – ובהן עברו הפלילי המכביד</w:t>
      </w:r>
      <w:r>
        <w:rPr>
          <w:rtl w:val="true"/>
        </w:rPr>
        <w:t xml:space="preserve">, </w:t>
      </w:r>
      <w:r>
        <w:rPr>
          <w:rtl w:val="true"/>
        </w:rPr>
        <w:t>הודאתו</w:t>
      </w:r>
      <w:r>
        <w:rPr>
          <w:rtl w:val="true"/>
        </w:rPr>
        <w:t xml:space="preserve">, </w:t>
      </w:r>
      <w:r>
        <w:rPr>
          <w:rtl w:val="true"/>
        </w:rPr>
        <w:t>החרטה שהביע</w:t>
      </w:r>
      <w:r>
        <w:rPr>
          <w:rtl w:val="true"/>
        </w:rPr>
        <w:t xml:space="preserve">, </w:t>
      </w:r>
      <w:r>
        <w:rPr>
          <w:rtl w:val="true"/>
        </w:rPr>
        <w:t>העובדה שלא הואשם בביצוע עבירות בשבע השנים שקדמו לעבירות דנן ומצבו המשפחתי והכלכלי</w:t>
      </w:r>
      <w:r>
        <w:rPr>
          <w:rtl w:val="true"/>
        </w:rPr>
        <w:t xml:space="preserve">. </w:t>
      </w:r>
      <w:r>
        <w:rPr>
          <w:rtl w:val="true"/>
        </w:rPr>
        <w:t>לא ראינו להתערב בפסיקת בית המשפט קמא כי לא ניתן לראות בסוכן הסמוי כ</w:t>
      </w:r>
      <w:r>
        <w:rPr>
          <w:rtl w:val="true"/>
        </w:rPr>
        <w:t>"</w:t>
      </w:r>
      <w:r>
        <w:rPr>
          <w:rtl w:val="true"/>
        </w:rPr>
        <w:t>סוכן מדיח</w:t>
      </w:r>
      <w:r>
        <w:rPr>
          <w:rtl w:val="true"/>
        </w:rPr>
        <w:t xml:space="preserve">" </w:t>
      </w:r>
      <w:r>
        <w:rPr>
          <w:rtl w:val="true"/>
        </w:rPr>
        <w:t>רק בשל ההיכרות המוקדמת ביניהם</w:t>
      </w:r>
      <w:r>
        <w:rPr>
          <w:rtl w:val="true"/>
        </w:rPr>
        <w:t xml:space="preserve">. </w:t>
      </w:r>
      <w:r>
        <w:rPr>
          <w:rtl w:val="true"/>
        </w:rPr>
        <w:t>נדגיש כי המעשים בהם הורשע המערער מצויים בלב הפעילות העבריינית וכי לאחרון חלק דומיננטי בביצועם</w:t>
      </w:r>
      <w:r>
        <w:rPr>
          <w:rtl w:val="true"/>
        </w:rPr>
        <w:t xml:space="preserve">. </w:t>
      </w:r>
      <w:r>
        <w:rPr>
          <w:rtl w:val="true"/>
        </w:rPr>
        <w:t>אשר על כן</w:t>
      </w:r>
      <w:r>
        <w:rPr>
          <w:rtl w:val="true"/>
        </w:rPr>
        <w:t xml:space="preserve">, </w:t>
      </w:r>
      <w:r>
        <w:rPr>
          <w:rtl w:val="true"/>
        </w:rPr>
        <w:t>לאחר ששקלנו את מכלול השיקולים</w:t>
      </w:r>
      <w:r>
        <w:rPr>
          <w:rtl w:val="true"/>
        </w:rPr>
        <w:t xml:space="preserve">, </w:t>
      </w:r>
      <w:r>
        <w:rPr>
          <w:rtl w:val="true"/>
        </w:rPr>
        <w:t>על רקע אמות המידה להתערבות ערכאת הערעור בחומרת העונש</w:t>
      </w:r>
      <w:r>
        <w:rPr>
          <w:rtl w:val="true"/>
        </w:rPr>
        <w:t xml:space="preserve">, </w:t>
      </w:r>
      <w:r>
        <w:rPr>
          <w:rtl w:val="true"/>
        </w:rPr>
        <w:t>לא מצאנו כי תוצאת האיזון שערך בית המשפט המחוזי בין שיקולי הענישה מגלה עילה להתערבותנו בעונש המאסר שנגזר על ידו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שונים הדברים באשר לקנס שהוטל על המערער</w:t>
      </w:r>
      <w:r>
        <w:rPr>
          <w:rtl w:val="true"/>
        </w:rPr>
        <w:t xml:space="preserve">. </w:t>
      </w:r>
      <w:r>
        <w:rPr>
          <w:rtl w:val="true"/>
        </w:rPr>
        <w:t>ככלל</w:t>
      </w:r>
      <w:r>
        <w:rPr>
          <w:rtl w:val="true"/>
        </w:rPr>
        <w:t xml:space="preserve">, </w:t>
      </w:r>
      <w:r>
        <w:rPr>
          <w:rtl w:val="true"/>
        </w:rPr>
        <w:t xml:space="preserve">בעבירות שהמניע העיקרי לביצוען הוא הרווח הכלכלי הצפוי יש להטיל ענישה שתהפוך את העבירה לבלתי משתלמת ותרתיע עבריינים מסטייה מדרך הישר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hyperlink r:id="rId32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6771/12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קאסם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cs="Century" w:ascii="Century" w:hAnsi="Century"/>
          <w:rtl w:val="true"/>
        </w:rPr>
        <w:t xml:space="preserve">,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ascii="Century" w:hAnsi="Century" w:cs="Century"/>
          <w:rtl w:val="true"/>
        </w:rPr>
        <w:t xml:space="preserve">פסקה </w:t>
      </w:r>
      <w:r>
        <w:rPr>
          <w:rFonts w:cs="Century" w:ascii="Century" w:hAnsi="Century"/>
        </w:rPr>
        <w:t>8</w:t>
      </w:r>
      <w:r>
        <w:rPr>
          <w:rFonts w:cs="Century" w:ascii="Century" w:hAnsi="Century"/>
          <w:rtl w:val="true"/>
        </w:rPr>
        <w:t xml:space="preserve"> (</w:t>
      </w:r>
      <w:r>
        <w:rPr>
          <w:rFonts w:cs="Century" w:ascii="Century" w:hAnsi="Century"/>
        </w:rPr>
        <w:t>3.12.2013</w:t>
      </w:r>
      <w:r>
        <w:rPr>
          <w:rFonts w:cs="Century" w:ascii="Century" w:hAnsi="Century"/>
          <w:rtl w:val="true"/>
        </w:rPr>
        <w:t>)</w:t>
      </w:r>
      <w:r>
        <w:rPr>
          <w:rtl w:val="true"/>
        </w:rPr>
        <w:t xml:space="preserve">). </w:t>
      </w:r>
      <w:r>
        <w:rPr>
          <w:rtl w:val="true"/>
        </w:rPr>
        <w:t>מכל מקום</w:t>
      </w:r>
      <w:r>
        <w:rPr>
          <w:rtl w:val="true"/>
        </w:rPr>
        <w:t xml:space="preserve">, </w:t>
      </w:r>
      <w:r>
        <w:rPr>
          <w:rtl w:val="true"/>
        </w:rPr>
        <w:t>במקרה הנדון מצאנו כי היה מקום להפחית במידת מה את גובה הקנס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נוכח תקופת המאסר הארוכה שנגזרה על המערער</w:t>
      </w:r>
      <w:r>
        <w:rPr>
          <w:rtl w:val="true"/>
        </w:rPr>
        <w:t xml:space="preserve">, </w:t>
      </w:r>
      <w:r>
        <w:rPr>
          <w:rtl w:val="true"/>
        </w:rPr>
        <w:t xml:space="preserve">הספק בדבר גובהו של הרווח בפועל שהוא הפיק מביצוע העבירות ומצבו הכלכלי והמשפחתי </w:t>
      </w:r>
      <w:r>
        <w:rPr>
          <w:rtl w:val="true"/>
        </w:rPr>
        <w:t>(</w:t>
      </w:r>
      <w:r>
        <w:rPr>
          <w:rtl w:val="true"/>
        </w:rPr>
        <w:t>השוו</w:t>
      </w:r>
      <w:r>
        <w:rPr>
          <w:rtl w:val="true"/>
        </w:rPr>
        <w:t xml:space="preserve">: </w:t>
      </w:r>
      <w:hyperlink r:id="rId33"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</w:rPr>
          <w:t>1274/12</w:t>
        </w:r>
      </w:hyperlink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פלוני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ascii="Century" w:hAnsi="Century" w:cs="Century"/>
          <w:sz w:val="22"/>
          <w:sz w:val="22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cs="Century" w:ascii="Century" w:hAnsi="Century"/>
          <w:sz w:val="22"/>
        </w:rPr>
        <w:t>4.3.2013</w:t>
      </w:r>
      <w:r>
        <w:rPr>
          <w:rFonts w:cs="Century" w:ascii="Century" w:hAnsi="Century"/>
          <w:sz w:val="22"/>
          <w:rtl w:val="true"/>
        </w:rPr>
        <w:t>)</w:t>
      </w:r>
      <w:r>
        <w:rPr>
          <w:rtl w:val="true"/>
        </w:rPr>
        <w:t xml:space="preserve">). </w:t>
      </w:r>
      <w:r>
        <w:rPr>
          <w:rtl w:val="true"/>
        </w:rPr>
        <w:t xml:space="preserve">אנו מעמידים אפוא את הקנס על סך של </w:t>
      </w:r>
      <w:r>
        <w:rPr/>
        <w:t>25,000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 xml:space="preserve">או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חודשי מאסר תמורתו</w:t>
      </w:r>
      <w:r>
        <w:rPr>
          <w:rtl w:val="true"/>
        </w:rPr>
        <w:t>.</w:t>
      </w:r>
    </w:p>
    <w:p>
      <w:pPr>
        <w:pStyle w:val="ruller40"/>
        <w:ind w:end="0"/>
        <w:jc w:val="both"/>
        <w:rPr>
          <w:rFonts w:cs="FrankRuehl"/>
          <w:szCs w:val="28"/>
          <w:highlight w:val="yellow"/>
          <w:lang w:bidi="he-IL"/>
        </w:rPr>
      </w:pPr>
      <w:r>
        <w:rPr>
          <w:rFonts w:cs="FrankRuehl"/>
          <w:szCs w:val="28"/>
          <w:highlight w:val="yellow"/>
          <w:rtl w:val="true"/>
          <w:lang w:bidi="he-IL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בכפוף להפחתת הקנס האמורה</w:t>
      </w:r>
      <w:r>
        <w:rPr>
          <w:rtl w:val="true"/>
        </w:rPr>
        <w:t xml:space="preserve">, </w:t>
      </w:r>
      <w:r>
        <w:rPr>
          <w:rtl w:val="true"/>
        </w:rPr>
        <w:t>אנו דוחים את הערעור</w:t>
      </w:r>
      <w:r>
        <w:rPr>
          <w:rtl w:val="true"/>
        </w:rPr>
        <w:t>.</w:t>
      </w:r>
    </w:p>
    <w:p>
      <w:pPr>
        <w:pStyle w:val="Ruller41"/>
        <w:tabs>
          <w:tab w:val="left" w:pos="-483" w:leader="none"/>
          <w:tab w:val="left" w:pos="800" w:leader="none"/>
        </w:tabs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>, ‏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באדר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(‏</w:t>
      </w:r>
      <w:r>
        <w:rPr/>
        <w:t>18.2.2014</w:t>
      </w:r>
      <w:r>
        <w:rPr>
          <w:rtl w:val="true"/>
        </w:rPr>
        <w:t xml:space="preserve">). </w:t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color w:val="FFFFFF"/>
                <w:sz w:val="2"/>
                <w:szCs w:val="2"/>
              </w:rPr>
              <w:t>54678313</w:t>
            </w: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 xml:space="preserve">  </w:t>
      </w:r>
      <w:bookmarkStart w:id="20" w:name="FileName"/>
      <w:r>
        <w:rPr>
          <w:sz w:val="16"/>
          <w:lang w:val="en-IL" w:eastAsia="en-IL"/>
        </w:rPr>
        <w:t>13021860</w:t>
      </w:r>
      <w:r>
        <w:rPr>
          <w:sz w:val="16"/>
          <w:rtl w:val="true"/>
          <w:lang w:val="en-IL" w:eastAsia="en-IL"/>
        </w:rPr>
        <w:t>_</w:t>
      </w:r>
      <w:r>
        <w:rPr>
          <w:sz w:val="16"/>
          <w:lang w:val="en-IL" w:eastAsia="en-IL"/>
        </w:rPr>
        <w:t>M04.doc</w:t>
      </w:r>
      <w:r>
        <w:rPr>
          <w:sz w:val="16"/>
          <w:rtl w:val="true"/>
          <w:lang w:val="en-IL" w:eastAsia="en-IL"/>
        </w:rPr>
        <w:t xml:space="preserve">   </w:t>
      </w:r>
      <w:bookmarkEnd w:id="20"/>
      <w:r>
        <w:rPr>
          <w:sz w:val="16"/>
          <w:sz w:val="16"/>
          <w:rtl w:val="true"/>
          <w:lang w:val="en-IL" w:eastAsia="en-IL"/>
        </w:rPr>
        <w:t>יק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34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/>
          <w:color w:val="000000"/>
          <w:szCs w:val="22"/>
          <w:rtl w:val="true"/>
        </w:rPr>
        <w:t>ח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 xml:space="preserve">מלצר </w:t>
      </w:r>
      <w:r>
        <w:rPr>
          <w:rFonts w:cs="David" w:ascii="David" w:hAnsi="David"/>
          <w:color w:val="000000"/>
          <w:szCs w:val="22"/>
        </w:rPr>
        <w:t>54678313-2186/13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35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36"/>
      <w:footerReference w:type="default" r:id="rId37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aramond">
    <w:charset w:val="00" w:characterSet="windows-1252"/>
    <w:family w:val="roman"/>
    <w:pitch w:val="variable"/>
  </w:font>
  <w:font w:name="FrankRuehl">
    <w:charset w:val="b1" w:characterSet="windows-1255"/>
    <w:family w:val="swiss"/>
    <w:pitch w:val="variable"/>
  </w:font>
  <w:font w:name="Century">
    <w:charset w:val="00" w:characterSet="windows-1252"/>
    <w:family w:val="roman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6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2186/13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סאלח עקול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907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">
    <w:name w:val="Ruller4 תו"/>
    <w:basedOn w:val="DefaultParagraphFont"/>
    <w:qFormat/>
    <w:rPr>
      <w:rFonts w:ascii="Arial TUR;Arial" w:hAnsi="Arial TUR;Arial" w:cs="FrankRuehl"/>
      <w:spacing w:val="10"/>
      <w:sz w:val="22"/>
      <w:szCs w:val="28"/>
      <w:lang w:val="en-US" w:bidi="he-IL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basedOn w:val="Ruller3"/>
    <w:qFormat/>
    <w:rPr>
      <w:rFonts w:cs="David"/>
    </w:rPr>
  </w:style>
  <w:style w:type="character" w:styleId="Ruller38">
    <w:name w:val="סגנון Ruller 3 + (מורכב) ‏8 נק תו"/>
    <w:basedOn w:val="BodyRuller"/>
    <w:qFormat/>
    <w:rPr>
      <w:szCs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Arial" w:hAnsi="Arial TUR;Arial" w:cs="DavidFix;Times New Roman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Ruller42">
    <w:name w:val="Ruller 4 ממוספר"/>
    <w:basedOn w:val="Ruller41"/>
    <w:next w:val="Ruller41"/>
    <w:qFormat/>
    <w:pPr>
      <w:numPr>
        <w:ilvl w:val="0"/>
        <w:numId w:val="1"/>
      </w:numPr>
      <w:ind w:hanging="0" w:start="0" w:end="0"/>
      <w:jc w:val="both"/>
    </w:pPr>
    <w:rPr>
      <w:rFonts w:ascii="Garamond" w:hAnsi="Garamond" w:cs="Garamond"/>
      <w:sz w:val="24"/>
    </w:rPr>
  </w:style>
  <w:style w:type="paragraph" w:styleId="ruller40">
    <w:name w:val="ruller40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spacing w:val="10"/>
      <w:sz w:val="22"/>
      <w:szCs w:val="22"/>
      <w:lang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inks/psika/?NEWPROC=&#1514;&#1508;&amp;NEWPARTA=24154&amp;NEWPARTB=01&amp;NEWPARTC=12" TargetMode="External"/><Relationship Id="rId3" Type="http://schemas.openxmlformats.org/officeDocument/2006/relationships/hyperlink" Target="http://www.nevo.co.il/law/4216" TargetMode="External"/><Relationship Id="rId4" Type="http://schemas.openxmlformats.org/officeDocument/2006/relationships/hyperlink" Target="http://www.nevo.co.il/law/4216/7.a" TargetMode="External"/><Relationship Id="rId5" Type="http://schemas.openxmlformats.org/officeDocument/2006/relationships/hyperlink" Target="http://www.nevo.co.il/law/4216/7.c" TargetMode="External"/><Relationship Id="rId6" Type="http://schemas.openxmlformats.org/officeDocument/2006/relationships/hyperlink" Target="http://www.nevo.co.il/law/4216/13" TargetMode="External"/><Relationship Id="rId7" Type="http://schemas.openxmlformats.org/officeDocument/2006/relationships/hyperlink" Target="http://www.nevo.co.il/law/4216/19a" TargetMode="External"/><Relationship Id="rId8" Type="http://schemas.openxmlformats.org/officeDocument/2006/relationships/hyperlink" Target="http://www.nevo.co.il/law/70301" TargetMode="External"/><Relationship Id="rId9" Type="http://schemas.openxmlformats.org/officeDocument/2006/relationships/hyperlink" Target="http://www.nevo.co.il/law/70301/29" TargetMode="External"/><Relationship Id="rId10" Type="http://schemas.openxmlformats.org/officeDocument/2006/relationships/hyperlink" Target="http://www.nevo.co.il/law/70301/144.b" TargetMode="External"/><Relationship Id="rId11" Type="http://schemas.openxmlformats.org/officeDocument/2006/relationships/hyperlink" Target="http://www.nevo.co.il/law/70301/144.b2" TargetMode="External"/><Relationship Id="rId12" Type="http://schemas.openxmlformats.org/officeDocument/2006/relationships/hyperlink" Target="http://www.nevo.co.il/law/70301/144.c" TargetMode="External"/><Relationship Id="rId13" Type="http://schemas.openxmlformats.org/officeDocument/2006/relationships/hyperlink" Target="http://www.nevo.co.il/law/70301/499.1.a" TargetMode="External"/><Relationship Id="rId14" Type="http://schemas.openxmlformats.org/officeDocument/2006/relationships/hyperlink" Target="http://www.nevo.co.il/law/4216/7.a" TargetMode="External"/><Relationship Id="rId15" Type="http://schemas.openxmlformats.org/officeDocument/2006/relationships/hyperlink" Target="http://www.nevo.co.il/law/4216/7.c" TargetMode="External"/><Relationship Id="rId16" Type="http://schemas.openxmlformats.org/officeDocument/2006/relationships/hyperlink" Target="http://www.nevo.co.il/law/4216" TargetMode="External"/><Relationship Id="rId17" Type="http://schemas.openxmlformats.org/officeDocument/2006/relationships/hyperlink" Target="http://www.nevo.co.il/law/70301/29" TargetMode="External"/><Relationship Id="rId18" Type="http://schemas.openxmlformats.org/officeDocument/2006/relationships/hyperlink" Target="http://www.nevo.co.il/law/70301" TargetMode="External"/><Relationship Id="rId19" Type="http://schemas.openxmlformats.org/officeDocument/2006/relationships/hyperlink" Target="http://www.nevo.co.il/law/4216/13" TargetMode="External"/><Relationship Id="rId20" Type="http://schemas.openxmlformats.org/officeDocument/2006/relationships/hyperlink" Target="http://www.nevo.co.il/law/4216/19a" TargetMode="External"/><Relationship Id="rId21" Type="http://schemas.openxmlformats.org/officeDocument/2006/relationships/hyperlink" Target="http://www.nevo.co.il/law/70301/29" TargetMode="External"/><Relationship Id="rId22" Type="http://schemas.openxmlformats.org/officeDocument/2006/relationships/hyperlink" Target="http://www.nevo.co.il/law/70301/144.b" TargetMode="External"/><Relationship Id="rId23" Type="http://schemas.openxmlformats.org/officeDocument/2006/relationships/hyperlink" Target="http://www.nevo.co.il/law/70301/144.c" TargetMode="External"/><Relationship Id="rId24" Type="http://schemas.openxmlformats.org/officeDocument/2006/relationships/hyperlink" Target="http://www.nevo.co.il/law/70301/29" TargetMode="External"/><Relationship Id="rId25" Type="http://schemas.openxmlformats.org/officeDocument/2006/relationships/hyperlink" Target="http://www.nevo.co.il/law/70301/144.b2" TargetMode="External"/><Relationship Id="rId26" Type="http://schemas.openxmlformats.org/officeDocument/2006/relationships/hyperlink" Target="http://www.nevo.co.il/law/70301/144.c" TargetMode="External"/><Relationship Id="rId27" Type="http://schemas.openxmlformats.org/officeDocument/2006/relationships/hyperlink" Target="http://www.nevo.co.il/law/70301/29" TargetMode="External"/><Relationship Id="rId28" Type="http://schemas.openxmlformats.org/officeDocument/2006/relationships/hyperlink" Target="http://www.nevo.co.il/law/70301/499.1.a" TargetMode="External"/><Relationship Id="rId29" Type="http://schemas.openxmlformats.org/officeDocument/2006/relationships/hyperlink" Target="http://www.nevo.co.il/links/psika/?link=&#1506;&#1508;%208815/12" TargetMode="External"/><Relationship Id="rId30" Type="http://schemas.openxmlformats.org/officeDocument/2006/relationships/hyperlink" Target="http://www.nevo.co.il/links/psika/?link=&#1506;&#1508;%207070/03" TargetMode="External"/><Relationship Id="rId31" Type="http://schemas.openxmlformats.org/officeDocument/2006/relationships/hyperlink" Target="http://www.nevo.co.il/links/psika/?link=&#1506;&#1508;%202251/11" TargetMode="External"/><Relationship Id="rId32" Type="http://schemas.openxmlformats.org/officeDocument/2006/relationships/hyperlink" Target="http://www.nevo.co.il/links/psika/?link=&#1506;&#1508;%206771/12" TargetMode="External"/><Relationship Id="rId33" Type="http://schemas.openxmlformats.org/officeDocument/2006/relationships/hyperlink" Target="http://www.nevo.co.il/links/psika/?link=&#1506;&#1508;%201274/12" TargetMode="External"/><Relationship Id="rId34" Type="http://schemas.openxmlformats.org/officeDocument/2006/relationships/hyperlink" Target="http://www.court.gov.il/" TargetMode="External"/><Relationship Id="rId35" Type="http://schemas.openxmlformats.org/officeDocument/2006/relationships/hyperlink" Target="http://www.nevo.co.il/advertisements/nevo-100.doc" TargetMode="External"/><Relationship Id="rId36" Type="http://schemas.openxmlformats.org/officeDocument/2006/relationships/header" Target="header1.xml"/><Relationship Id="rId37" Type="http://schemas.openxmlformats.org/officeDocument/2006/relationships/footer" Target="footer1.xml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13021860.M04.doc</Template>
  <TotalTime>6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2014-02-23T11:34:00Z</dcterms:created>
  <dc:creator> </dc:creator>
  <dc:description/>
  <cp:keywords/>
  <dc:language>en-IL</dc:language>
  <cp:lastModifiedBy>orly</cp:lastModifiedBy>
  <cp:lastPrinted>2014-02-17T14:04:00Z</cp:lastPrinted>
  <dcterms:modified xsi:type="dcterms:W3CDTF">2014-02-23T12:29:00Z</dcterms:modified>
  <cp:revision>3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סאלח עקול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ITY">
    <vt:lpwstr/>
  </property>
  <property fmtid="{D5CDD505-2E9C-101B-9397-08002B2CF9AE}" pid="9" name="DATE">
    <vt:lpwstr>20140218</vt:lpwstr>
  </property>
  <property fmtid="{D5CDD505-2E9C-101B-9397-08002B2CF9AE}" pid="10" name="DELEMATA">
    <vt:lpwstr/>
  </property>
  <property fmtid="{D5CDD505-2E9C-101B-9397-08002B2CF9AE}" pid="11" name="ISABSTRACT">
    <vt:lpwstr>Y</vt:lpwstr>
  </property>
  <property fmtid="{D5CDD505-2E9C-101B-9397-08002B2CF9AE}" pid="12" name="JUDGE">
    <vt:lpwstr>ח' מלצר;ע' פוגלמן;א' שהם</vt:lpwstr>
  </property>
  <property fmtid="{D5CDD505-2E9C-101B-9397-08002B2CF9AE}" pid="13" name="LAWLISTTMP1">
    <vt:lpwstr>4216/007.a;007.c;013;019a</vt:lpwstr>
  </property>
  <property fmtid="{D5CDD505-2E9C-101B-9397-08002B2CF9AE}" pid="14" name="LAWLISTTMP2">
    <vt:lpwstr>70301/029;144.b;144.c;144.b2;499.1.a</vt:lpwstr>
  </property>
  <property fmtid="{D5CDD505-2E9C-101B-9397-08002B2CF9AE}" pid="15" name="LAWYER">
    <vt:lpwstr>סיוון רוסו;אבי אמר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METAKZER">
    <vt:lpwstr>פאני</vt:lpwstr>
  </property>
  <property fmtid="{D5CDD505-2E9C-101B-9397-08002B2CF9AE}" pid="22" name="NEWPARTA">
    <vt:lpwstr/>
  </property>
  <property fmtid="{D5CDD505-2E9C-101B-9397-08002B2CF9AE}" pid="23" name="NEWPARTB">
    <vt:lpwstr/>
  </property>
  <property fmtid="{D5CDD505-2E9C-101B-9397-08002B2CF9AE}" pid="24" name="NEWPARTC">
    <vt:lpwstr/>
  </property>
  <property fmtid="{D5CDD505-2E9C-101B-9397-08002B2CF9AE}" pid="25" name="NEWPROC">
    <vt:lpwstr/>
  </property>
  <property fmtid="{D5CDD505-2E9C-101B-9397-08002B2CF9AE}" pid="26" name="NOSE11">
    <vt:lpwstr>עונשין</vt:lpwstr>
  </property>
  <property fmtid="{D5CDD505-2E9C-101B-9397-08002B2CF9AE}" pid="27" name="NOSE110">
    <vt:lpwstr/>
  </property>
  <property fmtid="{D5CDD505-2E9C-101B-9397-08002B2CF9AE}" pid="28" name="NOSE12">
    <vt:lpwstr>עונשין</vt:lpwstr>
  </property>
  <property fmtid="{D5CDD505-2E9C-101B-9397-08002B2CF9AE}" pid="29" name="NOSE13">
    <vt:lpwstr>עונשין</vt:lpwstr>
  </property>
  <property fmtid="{D5CDD505-2E9C-101B-9397-08002B2CF9AE}" pid="30" name="NOSE14">
    <vt:lpwstr>עונשין</vt:lpwstr>
  </property>
  <property fmtid="{D5CDD505-2E9C-101B-9397-08002B2CF9AE}" pid="31" name="NOSE15">
    <vt:lpwstr>עונשין</vt:lpwstr>
  </property>
  <property fmtid="{D5CDD505-2E9C-101B-9397-08002B2CF9AE}" pid="32" name="NOSE16">
    <vt:lpwstr/>
  </property>
  <property fmtid="{D5CDD505-2E9C-101B-9397-08002B2CF9AE}" pid="33" name="NOSE17">
    <vt:lpwstr/>
  </property>
  <property fmtid="{D5CDD505-2E9C-101B-9397-08002B2CF9AE}" pid="34" name="NOSE18">
    <vt:lpwstr/>
  </property>
  <property fmtid="{D5CDD505-2E9C-101B-9397-08002B2CF9AE}" pid="35" name="NOSE19">
    <vt:lpwstr/>
  </property>
  <property fmtid="{D5CDD505-2E9C-101B-9397-08002B2CF9AE}" pid="36" name="NOSE1ID">
    <vt:lpwstr>77;77;77;77;77</vt:lpwstr>
  </property>
  <property fmtid="{D5CDD505-2E9C-101B-9397-08002B2CF9AE}" pid="37" name="NOSE21">
    <vt:lpwstr>ענישה</vt:lpwstr>
  </property>
  <property fmtid="{D5CDD505-2E9C-101B-9397-08002B2CF9AE}" pid="38" name="NOSE210">
    <vt:lpwstr/>
  </property>
  <property fmtid="{D5CDD505-2E9C-101B-9397-08002B2CF9AE}" pid="39" name="NOSE22">
    <vt:lpwstr>ענישה</vt:lpwstr>
  </property>
  <property fmtid="{D5CDD505-2E9C-101B-9397-08002B2CF9AE}" pid="40" name="NOSE23">
    <vt:lpwstr>ענישה</vt:lpwstr>
  </property>
  <property fmtid="{D5CDD505-2E9C-101B-9397-08002B2CF9AE}" pid="41" name="NOSE24">
    <vt:lpwstr>ענישה</vt:lpwstr>
  </property>
  <property fmtid="{D5CDD505-2E9C-101B-9397-08002B2CF9AE}" pid="42" name="NOSE25">
    <vt:lpwstr>ענישה</vt:lpwstr>
  </property>
  <property fmtid="{D5CDD505-2E9C-101B-9397-08002B2CF9AE}" pid="43" name="NOSE26">
    <vt:lpwstr/>
  </property>
  <property fmtid="{D5CDD505-2E9C-101B-9397-08002B2CF9AE}" pid="44" name="NOSE27">
    <vt:lpwstr/>
  </property>
  <property fmtid="{D5CDD505-2E9C-101B-9397-08002B2CF9AE}" pid="45" name="NOSE28">
    <vt:lpwstr/>
  </property>
  <property fmtid="{D5CDD505-2E9C-101B-9397-08002B2CF9AE}" pid="46" name="NOSE29">
    <vt:lpwstr/>
  </property>
  <property fmtid="{D5CDD505-2E9C-101B-9397-08002B2CF9AE}" pid="47" name="NOSE2ID">
    <vt:lpwstr>1446;1446;1446;1446;1446</vt:lpwstr>
  </property>
  <property fmtid="{D5CDD505-2E9C-101B-9397-08002B2CF9AE}" pid="48" name="NOSE31">
    <vt:lpwstr>דרכי ענישה: קנס</vt:lpwstr>
  </property>
  <property fmtid="{D5CDD505-2E9C-101B-9397-08002B2CF9AE}" pid="49" name="NOSE310">
    <vt:lpwstr/>
  </property>
  <property fmtid="{D5CDD505-2E9C-101B-9397-08002B2CF9AE}" pid="50" name="NOSE32">
    <vt:lpwstr>התערבות ערכאת הערעור</vt:lpwstr>
  </property>
  <property fmtid="{D5CDD505-2E9C-101B-9397-08002B2CF9AE}" pid="51" name="NOSE33">
    <vt:lpwstr>מדיניות ענישה: שיקולים לקולה</vt:lpwstr>
  </property>
  <property fmtid="{D5CDD505-2E9C-101B-9397-08002B2CF9AE}" pid="52" name="NOSE34">
    <vt:lpwstr>מדיניות ענישה: עבירות סמים</vt:lpwstr>
  </property>
  <property fmtid="{D5CDD505-2E9C-101B-9397-08002B2CF9AE}" pid="53" name="NOSE35">
    <vt:lpwstr>מדיניות ענישה: עבירות נשק</vt:lpwstr>
  </property>
  <property fmtid="{D5CDD505-2E9C-101B-9397-08002B2CF9AE}" pid="54" name="NOSE36">
    <vt:lpwstr/>
  </property>
  <property fmtid="{D5CDD505-2E9C-101B-9397-08002B2CF9AE}" pid="55" name="NOSE37">
    <vt:lpwstr/>
  </property>
  <property fmtid="{D5CDD505-2E9C-101B-9397-08002B2CF9AE}" pid="56" name="NOSE38">
    <vt:lpwstr/>
  </property>
  <property fmtid="{D5CDD505-2E9C-101B-9397-08002B2CF9AE}" pid="57" name="NOSE39">
    <vt:lpwstr/>
  </property>
  <property fmtid="{D5CDD505-2E9C-101B-9397-08002B2CF9AE}" pid="58" name="NOSE3ID">
    <vt:lpwstr>8971;8978;8996;8991;13800</vt:lpwstr>
  </property>
  <property fmtid="{D5CDD505-2E9C-101B-9397-08002B2CF9AE}" pid="59" name="PADIDATE">
    <vt:lpwstr>20140223</vt:lpwstr>
  </property>
  <property fmtid="{D5CDD505-2E9C-101B-9397-08002B2CF9AE}" pid="60" name="PADIMAIL">
    <vt:lpwstr>YES</vt:lpwstr>
  </property>
  <property fmtid="{D5CDD505-2E9C-101B-9397-08002B2CF9AE}" pid="61" name="PAGE">
    <vt:lpwstr/>
  </property>
  <property fmtid="{D5CDD505-2E9C-101B-9397-08002B2CF9AE}" pid="62" name="PART">
    <vt:lpwstr/>
  </property>
  <property fmtid="{D5CDD505-2E9C-101B-9397-08002B2CF9AE}" pid="63" name="PROCESS">
    <vt:lpwstr>עפ</vt:lpwstr>
  </property>
  <property fmtid="{D5CDD505-2E9C-101B-9397-08002B2CF9AE}" pid="64" name="PROCNUM">
    <vt:lpwstr>2186</vt:lpwstr>
  </property>
  <property fmtid="{D5CDD505-2E9C-101B-9397-08002B2CF9AE}" pid="65" name="PROCYEAR">
    <vt:lpwstr>13</vt:lpwstr>
  </property>
  <property fmtid="{D5CDD505-2E9C-101B-9397-08002B2CF9AE}" pid="66" name="PSAKDIN">
    <vt:lpwstr>פסק-דין</vt:lpwstr>
  </property>
  <property fmtid="{D5CDD505-2E9C-101B-9397-08002B2CF9AE}" pid="67" name="TYPE">
    <vt:lpwstr>1</vt:lpwstr>
  </property>
  <property fmtid="{D5CDD505-2E9C-101B-9397-08002B2CF9AE}" pid="68" name="TYPE_ABS_DATE">
    <vt:lpwstr>410120140218</vt:lpwstr>
  </property>
  <property fmtid="{D5CDD505-2E9C-101B-9397-08002B2CF9AE}" pid="69" name="TYPE_N_DATE">
    <vt:lpwstr>41020140218</vt:lpwstr>
  </property>
  <property fmtid="{D5CDD505-2E9C-101B-9397-08002B2CF9AE}" pid="70" name="VOLUME">
    <vt:lpwstr/>
  </property>
  <property fmtid="{D5CDD505-2E9C-101B-9397-08002B2CF9AE}" pid="71" name="WORDNUMPAGES">
    <vt:lpwstr>6</vt:lpwstr>
  </property>
</Properties>
</file>