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7"/>
        <w:gridCol w:w="643"/>
        <w:gridCol w:w="7852"/>
      </w:tblGrid>
      <w:tr>
        <w:trPr/>
        <w:tc>
          <w:tcPr>
            <w:tcW w:w="670" w:type="dxa"/>
            <w:gridSpan w:val="2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7852" w:type="dxa"/>
            <w:tcBorders/>
            <w:tcMar>
              <w:start w:w="108" w:type="dxa"/>
              <w:end w:w="108" w:type="dxa"/>
            </w:tcMar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  <w:tr>
        <w:trPr>
          <w:trHeight w:val="342" w:hRule="atLeast"/>
        </w:trPr>
        <w:tc>
          <w:tcPr>
            <w:tcW w:w="27" w:type="dxa"/>
            <w:tcBorders/>
          </w:tcPr>
          <w:p>
            <w:pPr>
              <w:pStyle w:val="Normal"/>
              <w:rPr>
                <w:rFonts w:cs="Times New Roman"/>
                <w:sz w:val="28"/>
                <w:szCs w:val="20"/>
              </w:rPr>
            </w:pPr>
            <w:r>
              <w:rPr>
                <w:rFonts w:cs="Times New Roman"/>
                <w:sz w:val="28"/>
                <w:szCs w:val="20"/>
                <w:rtl w:val="true"/>
              </w:rPr>
            </w:r>
          </w:p>
        </w:tc>
        <w:tc>
          <w:tcPr>
            <w:tcW w:w="849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2405/12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מלצר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עמית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שהם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אמיר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חטיב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both"/>
        <w:rPr/>
      </w:pPr>
      <w:r>
        <w:rPr>
          <w:rtl w:val="true"/>
        </w:rPr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30145-12-11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06.02.2012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רון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שפירא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בכסלו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ד</w:t>
            </w:r>
            <w:bookmarkEnd w:id="5"/>
            <w:r>
              <w:rPr>
                <w:rFonts w:cs="Times New Roman"/>
                <w:rtl w:val="true"/>
              </w:rPr>
              <w:t xml:space="preserve">   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6" w:name="xGDate"/>
            <w:r>
              <w:rPr>
                <w:rtl w:val="true"/>
              </w:rPr>
              <w:t>(</w:t>
            </w:r>
            <w:r>
              <w:rPr/>
              <w:t>14.11.2013</w:t>
            </w:r>
            <w:r>
              <w:rPr>
                <w:rtl w:val="true"/>
              </w:rPr>
              <w:t>)</w:t>
            </w:r>
            <w:bookmarkEnd w:id="6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מיכאל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כרמל</w:t>
            </w:r>
          </w:p>
        </w:tc>
      </w:tr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נילי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פינקלשטיין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8" w:name="PsakDin"/>
            <w:bookmarkStart w:id="9" w:name="secretary"/>
            <w:bookmarkStart w:id="10" w:name="BeginProtocol"/>
            <w:bookmarkEnd w:id="8"/>
            <w:bookmarkEnd w:id="9"/>
            <w:bookmarkEnd w:id="10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Ruller41"/>
        <w:ind w:end="0"/>
        <w:jc w:val="both"/>
        <w:rPr/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השופט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י</w:t>
      </w: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עמית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: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שמכר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משטרתי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סמוי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אקדחים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ותחמושת</w:t>
      </w:r>
      <w:r>
        <w:rPr>
          <w:rtl w:val="true"/>
        </w:rPr>
        <w:t xml:space="preserve">,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וסחר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סעיף</w:t>
      </w:r>
      <w:r>
        <w:rPr>
          <w:rFonts w:eastAsia="Arial TUR" w:cs="Arial TUR"/>
          <w:rtl w:val="true"/>
        </w:rPr>
        <w:t xml:space="preserve"> </w:t>
      </w:r>
      <w:r>
        <w:rPr/>
        <w:t>144</w:t>
      </w:r>
      <w:r>
        <w:rPr>
          <w:rtl w:val="true"/>
        </w:rPr>
        <w:t xml:space="preserve"> (</w:t>
      </w:r>
      <w:r>
        <w:rPr>
          <w:rtl w:val="true"/>
        </w:rPr>
        <w:t>א</w:t>
      </w:r>
      <w:r>
        <w:rPr>
          <w:rtl w:val="true"/>
        </w:rPr>
        <w:t>) (</w:t>
      </w:r>
      <w:r>
        <w:rPr>
          <w:rtl w:val="true"/>
        </w:rPr>
        <w:t>רישא</w:t>
      </w:r>
      <w:r>
        <w:rPr>
          <w:rtl w:val="true"/>
        </w:rPr>
        <w:t>+</w:t>
      </w:r>
      <w:r>
        <w:rPr>
          <w:rtl w:val="true"/>
        </w:rPr>
        <w:t>סיפא</w:t>
      </w:r>
      <w:r>
        <w:rPr>
          <w:rtl w:val="true"/>
        </w:rPr>
        <w:t xml:space="preserve">) + </w:t>
      </w:r>
      <w:r>
        <w:rPr/>
        <w:t>144</w:t>
      </w:r>
      <w:r>
        <w:rPr>
          <w:rtl w:val="true"/>
        </w:rPr>
        <w:t xml:space="preserve"> (</w:t>
      </w:r>
      <w:r>
        <w:rPr>
          <w:rtl w:val="true"/>
        </w:rPr>
        <w:t>ג</w:t>
      </w:r>
      <w:r>
        <w:rPr>
          <w:rtl w:val="true"/>
        </w:rPr>
        <w:t xml:space="preserve">) + </w:t>
      </w:r>
      <w:r>
        <w:rPr/>
        <w:t>144</w:t>
      </w:r>
      <w:r>
        <w:rPr>
          <w:rtl w:val="true"/>
        </w:rPr>
        <w:t xml:space="preserve"> (</w:t>
      </w:r>
      <w:r>
        <w:rPr>
          <w:rtl w:val="true"/>
        </w:rPr>
        <w:t>ב</w:t>
      </w:r>
      <w:r>
        <w:rPr/>
        <w:t>2</w:t>
      </w:r>
      <w:r>
        <w:rPr>
          <w:rtl w:val="true"/>
        </w:rPr>
        <w:t>)+(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ל</w:t>
      </w:r>
      <w:hyperlink r:id="rId3">
        <w:r>
          <w:rPr>
            <w:rStyle w:val="Hyperlink"/>
            <w:color w:val="0000FF"/>
            <w:u w:val="single"/>
            <w:rtl w:val="true"/>
          </w:rPr>
          <w:t>חוק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/>
        <w:t>54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-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/>
        <w:t>40,000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נסב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שבפנינו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בהזדמנות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הראשונה</w:t>
      </w:r>
      <w:r>
        <w:rPr>
          <w:rtl w:val="true"/>
        </w:rPr>
        <w:t xml:space="preserve">, </w:t>
      </w:r>
      <w:r>
        <w:rPr>
          <w:rtl w:val="true"/>
        </w:rPr>
        <w:t>בבחינת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זכות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ראשונים</w:t>
      </w:r>
      <w:r>
        <w:rPr>
          <w:rtl w:val="true"/>
        </w:rPr>
        <w:t xml:space="preserve">" </w:t>
      </w:r>
      <w:r>
        <w:rPr>
          <w:rtl w:val="true"/>
        </w:rPr>
        <w:t>לעומת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המעורבים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האחרים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בעסקאות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הסמוי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מצוקה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כלכלית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נקלע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שהוא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ילדים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נכדים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להדחות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הודגש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והדגיש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המגמה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משיקולי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הרתעה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וגמול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ראו</w:t>
      </w:r>
      <w:r>
        <w:rPr>
          <w:rtl w:val="true"/>
        </w:rPr>
        <w:t xml:space="preserve">, </w:t>
      </w:r>
      <w:r>
        <w:rPr>
          <w:rtl w:val="true"/>
        </w:rPr>
        <w:t>לדוגמה</w:t>
      </w:r>
      <w:r>
        <w:rPr>
          <w:rtl w:val="true"/>
        </w:rPr>
        <w:t xml:space="preserve">, </w:t>
      </w:r>
      <w:hyperlink r:id="rId4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2251/11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נפאע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4.12.2011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ו</w:t>
      </w:r>
      <w:hyperlink r:id="rId5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6985/12</w:t>
        </w:r>
      </w:hyperlink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כמאל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נפאפעה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17.3.2013</w:t>
      </w:r>
      <w:r>
        <w:rPr>
          <w:rFonts w:cs="Times New Roman" w:ascii="Times New Roman" w:hAnsi="Times New Roman"/>
          <w:rtl w:val="true"/>
        </w:rPr>
        <w:t>)).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לכך יש להוסיף את עברו המכביד של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אשר לחובתו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מצבור</w:t>
      </w:r>
      <w:r>
        <w:rPr>
          <w:rFonts w:cs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cs="Times New Roman"/>
          <w:rtl w:val="true"/>
        </w:rPr>
        <w:t xml:space="preserve">של הרשעות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16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במספר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>לרבות בעבירות רכוש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אלימות ואף עבירת נשק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ובעבר אף נדון ל</w:t>
      </w:r>
      <w:r>
        <w:rPr>
          <w:rFonts w:cs="Times New Roman" w:ascii="Times New Roman" w:hAnsi="Times New Roman"/>
          <w:rtl w:val="true"/>
        </w:rPr>
        <w:t>-</w:t>
      </w: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שנות מאסר בפועל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  <w:tab/>
      </w:r>
      <w:r>
        <w:rPr>
          <w:rFonts w:ascii="Times New Roman" w:hAnsi="Times New Roman" w:cs="Times New Roman"/>
          <w:rtl w:val="true"/>
        </w:rPr>
        <w:t>בהתחשב במכלול הנתונים דלעיל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איננו רואים להתערב בפסק דינו של בית משפט קמא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ואנו דוחים את הערעור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בכסלו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התשע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/>
        <w:t>17.11.2013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center"/>
        <w:rPr/>
      </w:pP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" w:cs="Arial TUR"/>
          <w:rtl w:val="true"/>
        </w:rPr>
        <w:t xml:space="preserve">                                </w:t>
      </w: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  <w:r>
        <w:rPr>
          <w:rFonts w:eastAsia="Arial TUR" w:cs="Arial TUR"/>
          <w:rtl w:val="true"/>
        </w:rPr>
        <w:t xml:space="preserve">                                </w:t>
      </w:r>
      <w:r>
        <w:rPr>
          <w:rtl w:val="true"/>
        </w:rPr>
        <w:t>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  <w:color w:val="FFFFFF"/>
          <w:sz w:val="2"/>
          <w:szCs w:val="2"/>
        </w:rPr>
      </w:pPr>
      <w:r>
        <w:rPr>
          <w:rFonts w:cs="Times New Roman" w:ascii="Times New Roman" w:hAnsi="Times New Roman"/>
          <w:color w:val="FFFFFF"/>
          <w:sz w:val="2"/>
          <w:szCs w:val="2"/>
        </w:rPr>
        <w:t>5129371</w:t>
      </w:r>
    </w:p>
    <w:p>
      <w:pPr>
        <w:pStyle w:val="Ruller41"/>
        <w:ind w:end="0"/>
        <w:jc w:val="both"/>
        <w:rPr>
          <w:rFonts w:ascii="Times New Roman" w:hAnsi="Times New Roman" w:cs="Times New Roman"/>
          <w:color w:val="FFFFFF"/>
          <w:sz w:val="2"/>
          <w:szCs w:val="2"/>
        </w:rPr>
      </w:pPr>
      <w:r>
        <w:rPr>
          <w:rFonts w:cs="Times New Roman" w:ascii="Times New Roman" w:hAnsi="Times New Roman"/>
          <w:color w:val="FFFFFF"/>
          <w:sz w:val="2"/>
          <w:szCs w:val="2"/>
        </w:rPr>
        <w:t>54678313</w:t>
      </w:r>
    </w:p>
    <w:p>
      <w:pPr>
        <w:pStyle w:val="Ruller41"/>
        <w:ind w:end="0"/>
        <w:jc w:val="both"/>
        <w:rPr>
          <w:rFonts w:ascii="Times New Roman" w:hAnsi="Times New Roman" w:cs="Times New Roman"/>
          <w:color w:val="FFFFFF"/>
          <w:sz w:val="2"/>
          <w:szCs w:val="2"/>
        </w:rPr>
      </w:pPr>
      <w:r>
        <w:rPr>
          <w:rFonts w:cs="Times New Roman" w:ascii="Times New Roman" w:hAnsi="Times New Roman"/>
          <w:color w:val="FFFFFF"/>
          <w:sz w:val="2"/>
          <w:szCs w:val="2"/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11" w:name="FileName"/>
      <w:r>
        <w:rPr>
          <w:sz w:val="16"/>
        </w:rPr>
        <w:t>12024050</w:t>
      </w:r>
      <w:r>
        <w:rPr>
          <w:sz w:val="16"/>
          <w:rtl w:val="true"/>
        </w:rPr>
        <w:t>_</w:t>
      </w:r>
      <w:r>
        <w:rPr>
          <w:sz w:val="16"/>
        </w:rPr>
        <w:t>E02.doc</w:t>
      </w:r>
      <w:r>
        <w:rPr>
          <w:sz w:val="16"/>
          <w:rtl w:val="true"/>
        </w:rPr>
        <w:t xml:space="preserve">   </w:t>
      </w:r>
      <w:bookmarkEnd w:id="11"/>
      <w:r>
        <w:rPr>
          <w:sz w:val="16"/>
          <w:sz w:val="16"/>
          <w:rtl w:val="true"/>
        </w:rPr>
        <w:t>עכב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6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cs="David" w:ascii="David" w:hAnsi="David"/>
          <w:color w:val="000000"/>
          <w:szCs w:val="22"/>
          <w:rtl w:val="true"/>
        </w:rPr>
      </w:r>
    </w:p>
    <w:p>
      <w:pPr>
        <w:pStyle w:val="Ruller38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/>
          <w:color w:val="000000"/>
          <w:szCs w:val="22"/>
          <w:rtl w:val="true"/>
        </w:rPr>
        <w:t>ח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/>
          <w:color w:val="000000"/>
          <w:szCs w:val="22"/>
          <w:rtl w:val="true"/>
        </w:rPr>
        <w:t xml:space="preserve">מלצר </w:t>
      </w:r>
      <w:r>
        <w:rPr>
          <w:rFonts w:cs="David" w:ascii="David" w:hAnsi="David"/>
          <w:color w:val="000000"/>
          <w:szCs w:val="22"/>
        </w:rPr>
        <w:t>54678313-2405/12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7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8"/>
      <w:footerReference w:type="default" r:id="rId9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2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2405/12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אמיר חטיב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" w:hAnsi="Arial TUR" w:cs="FrankRuehl"/>
      <w:spacing w:val="10"/>
      <w:sz w:val="22"/>
      <w:szCs w:val="28"/>
      <w:lang w:val="en-US" w:bidi="he-IL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inks/psika/?NEWPROC=&#1514;&#1508;&amp;NEWPARTA=30145&amp;NEWPARTB=12&amp;NEWPARTC=11" TargetMode="External"/><Relationship Id="rId3" Type="http://schemas.openxmlformats.org/officeDocument/2006/relationships/hyperlink" Target="http://www.nevo.co.il/law_html/law01/073_002.htm" TargetMode="External"/><Relationship Id="rId4" Type="http://schemas.openxmlformats.org/officeDocument/2006/relationships/hyperlink" Target="http://www.nevo.co.il/links/psika/?link=&#1506;&#1508;%202251/11" TargetMode="External"/><Relationship Id="rId5" Type="http://schemas.openxmlformats.org/officeDocument/2006/relationships/hyperlink" Target="http://www.nevo.co.il/links/psika/?link=&#1506;&#1508;%206985/12" TargetMode="External"/><Relationship Id="rId6" Type="http://schemas.openxmlformats.org/officeDocument/2006/relationships/hyperlink" Target="http://www.court.gov.il/" TargetMode="External"/><Relationship Id="rId7" Type="http://schemas.openxmlformats.org/officeDocument/2006/relationships/hyperlink" Target="http://www.nevo.co.il/advertisements/nevo-100.doc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12024050.E02.doc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2013-11-18T08:43:00Z</dcterms:created>
  <dc:creator> </dc:creator>
  <dc:description/>
  <cp:keywords/>
  <dc:language>en-IL</dc:language>
  <cp:lastModifiedBy>user</cp:lastModifiedBy>
  <cp:lastPrinted>2013-11-17T11:08:00Z</cp:lastPrinted>
  <dcterms:modified xsi:type="dcterms:W3CDTF">2013-11-18T09:02:00Z</dcterms:modified>
  <cp:revision>3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אמיר חטיב</vt:lpwstr>
  </property>
  <property fmtid="{D5CDD505-2E9C-101B-9397-08002B2CF9AE}" pid="3" name="APPELLEE">
    <vt:lpwstr>מדינת ישראל</vt:lpwstr>
  </property>
  <property fmtid="{D5CDD505-2E9C-101B-9397-08002B2CF9AE}" pid="4" name="DATE">
    <vt:lpwstr>20131117</vt:lpwstr>
  </property>
  <property fmtid="{D5CDD505-2E9C-101B-9397-08002B2CF9AE}" pid="5" name="JUDGE">
    <vt:lpwstr>ח' מלצר;י' עמית;א' שהם</vt:lpwstr>
  </property>
  <property fmtid="{D5CDD505-2E9C-101B-9397-08002B2CF9AE}" pid="6" name="LAWYER">
    <vt:lpwstr>נילי פינקלשטיין;מיכאל כרמל</vt:lpwstr>
  </property>
  <property fmtid="{D5CDD505-2E9C-101B-9397-08002B2CF9AE}" pid="7" name="PROCESS">
    <vt:lpwstr>עפ</vt:lpwstr>
  </property>
  <property fmtid="{D5CDD505-2E9C-101B-9397-08002B2CF9AE}" pid="8" name="PROCNUM">
    <vt:lpwstr>2405</vt:lpwstr>
  </property>
  <property fmtid="{D5CDD505-2E9C-101B-9397-08002B2CF9AE}" pid="9" name="PROCYEAR">
    <vt:lpwstr>12</vt:lpwstr>
  </property>
  <property fmtid="{D5CDD505-2E9C-101B-9397-08002B2CF9AE}" pid="10" name="PSAKDIN">
    <vt:lpwstr>פסק-דין</vt:lpwstr>
  </property>
  <property fmtid="{D5CDD505-2E9C-101B-9397-08002B2CF9AE}" pid="11" name="TYPE">
    <vt:lpwstr>1</vt:lpwstr>
  </property>
  <property fmtid="{D5CDD505-2E9C-101B-9397-08002B2CF9AE}" pid="12" name="TYPE_ABS_DATE">
    <vt:lpwstr>410020131117</vt:lpwstr>
  </property>
  <property fmtid="{D5CDD505-2E9C-101B-9397-08002B2CF9AE}" pid="13" name="TYPE_N_DATE">
    <vt:lpwstr>41020131117</vt:lpwstr>
  </property>
  <property fmtid="{D5CDD505-2E9C-101B-9397-08002B2CF9AE}" pid="14" name="WORDNUMPAGES">
    <vt:lpwstr>2</vt:lpwstr>
  </property>
</Properties>
</file>