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2596/18</w:t>
      </w:r>
    </w:p>
    <w:p>
      <w:pPr>
        <w:bidi/>
      </w:pPr>
      <w:r>
        <w:rPr>
          <w:rFonts w:ascii="Times New Roman" w:hAnsi="Times New Roman" w:cs="Times New Roman"/>
          <w:sz w:val="28"/>
          <w:sz-cs w:val="28"/>
        </w:rPr>
        <w:t xml:space="preserve">ע"פ  2656/18</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ברון</w:t>
      </w:r>
    </w:p>
    <w:p>
      <w:pPr>
        <w:jc w:val="right"/>
        <w:bidi/>
      </w:pPr>
      <w:r>
        <w:rPr>
          <w:rFonts w:ascii="Times New Roman" w:hAnsi="Times New Roman" w:cs="Times New Roman"/>
          <w:sz w:val="22"/>
          <w:sz-cs w:val="22"/>
        </w:rPr>
        <w:t xml:space="preserve">המערער בע"פ 2596/18 והמשיב בע"פ 2656/18:</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כפיר זנזורי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rPr>
        <w:t xml:space="preserve">המשיבה בע"פ 2596/18 והמערערת בע"פ 2656/18:</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שני ערעורים על גזר דינו של בית המשפט המחוזי במרכז-לוד ב</w:t>
      </w:r>
      <w:r>
        <w:rPr>
          <w:rFonts w:ascii="Times New Roman" w:hAnsi="Times New Roman" w:cs="Times New Roman"/>
          <w:sz w:val="24"/>
          <w:sz-cs w:val="24"/>
          <w:u w:val="single"/>
          <w:color w:val="0000FF"/>
        </w:rPr>
        <w:t xml:space="preserve"> HYPERLINK "http://www.nevo.co.il/case/21480305" ת"פ 52569-05-16</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ביום 13.2.2018 על ידי כבוד השופטת מיכל ברנט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 באב התשע"ח (1.8.2018)</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בשם המערער בע"פ 2596/18 והמשיב בע"פ 2656/18:</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אלון אייזנברג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בשם המשיבה בע"פ 2596/18 והמערערת בע"פ 2656/18:</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נוגה בן סידי</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"http://www.nevo.co.il/law/70301/244" 244</w:t>
      </w:r>
      <w:r>
        <w:rPr>
          <w:rFonts w:ascii="Times" w:hAnsi="Times" w:cs="Times"/>
          <w:sz w:val="24"/>
          <w:sz-cs w:val="24"/>
        </w:rPr>
        <w:t xml:space="preserve">, </w:t>
      </w:r>
      <w:r>
        <w:rPr>
          <w:rFonts w:ascii="Times" w:hAnsi="Times" w:cs="Times"/>
          <w:sz w:val="24"/>
          <w:sz-cs w:val="24"/>
          <w:u w:val="single"/>
          <w:color w:val="0000FF"/>
        </w:rPr>
        <w:t xml:space="preserve"> HYPERLINK "http://www.nevo.co.il/law/70301/499" 499</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"http://www.nevo.co.il/law/4216/6" 6</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סחר בסמים הוא סחר בסמים. ידע כל מי שמהרהר בדרכים לעשיית כסף קל, כי מדיניות הענישה לא השתנתה וביהמ"ש רואה בחומרה עבירות של סחר והפצה של סמים מסוכנים, גם סמים "קלים", תוך הטלת ענישה משמעותית ומרתיעה. </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דיון פלילי – ערעור – אי-התערבות במידת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במסגרת ע"פ הודאתו בעבירות של קשירת קשר לביצוע פשע ושיבוש מהלכי משפט, ובעבירה של ייצור, הכנה והפקה של סמים מסוכנים. בגזר הדין הוכרז המערער כסוחר סמים, ועונשו הועמד על 26 חודשי מאסר בפועל, מאסר על תנאי וקנס. המערער והמדינה מערערים על גזר הדין.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הערעורים בקבעו:</w:t>
      </w:r>
    </w:p>
    <w:p>
      <w:pPr>
        <w:jc w:val="both"/>
        <w:bidi/>
        <w:spacing w:after="120"/>
      </w:pPr>
      <w:r>
        <w:rPr>
          <w:rFonts w:ascii="Times New Roman" w:hAnsi="Times New Roman" w:cs="Times New Roman"/>
          <w:sz w:val="24"/>
          <w:sz-cs w:val="24"/>
        </w:rPr>
        <w:t xml:space="preserve">דין שני הערעורים להידחות, בהינתן נקודת המוצא – שהיא גם נקודת הסיום, כי אין דרכה של ערכאת ערעור להתערב במידת הענישה אלא במקרים חריגים, ולא זה המקרה שבנדון. </w:t>
      </w:r>
    </w:p>
    <w:p>
      <w:pPr>
        <w:jc w:val="both"/>
        <w:bidi/>
        <w:spacing w:after="120"/>
      </w:pPr>
      <w:r>
        <w:rPr>
          <w:rFonts w:ascii="Times New Roman" w:hAnsi="Times New Roman" w:cs="Times New Roman"/>
          <w:sz w:val="24"/>
          <w:sz-cs w:val="24"/>
        </w:rPr>
        <w:t xml:space="preserve">אשר לטענה המדינה כי לא היה מקום לחרוג ממתחם הענישה מטעמי שיקום. לא היה מקום להרהר אחר התרשמות הגורמים המקצועיים, שירות המבחן ואנשי הקהילה הטיפולית, כי המערער היה במועד הרלוונטי מכור לסמים. מכל מקום, במסגרת השיקולים שבימ"ש קמא ציין לצורך החריגה לקולא בגזר הדין, נזכרה אך העובדה שהפסיק לצרוך סמים וערך שינוי מחשבתי המגביר את סיכוייו להשתקם. </w:t>
      </w:r>
    </w:p>
    <w:p>
      <w:pPr>
        <w:jc w:val="both"/>
        <w:bidi/>
        <w:spacing w:after="120"/>
      </w:pPr>
      <w:r>
        <w:rPr>
          <w:rFonts w:ascii="Times New Roman" w:hAnsi="Times New Roman" w:cs="Times New Roman"/>
          <w:sz w:val="24"/>
          <w:sz-cs w:val="24"/>
        </w:rPr>
        <w:t xml:space="preserve">אשר לערעור המערער. העבירה של ייצור והפקת סם מסוכן בכמות כה משמעותית היא עבירה חמורה, ומגמת הענישה בכגון דא היא של החמרה והרתעה. אין זו הסתבכותו הראשונה של המערער עם החוק. דומה כי בימ"ש קמא התחשב בתקופה בה היה המערער נתון באיזוק אלקטרוני, בנסיבותיו האישיות וברצונו להשתלב בהליך טיפולי. עם זאת, בהינתן כמות הסם הגדולה עד-מאוד שהפיק וייצר לצרכי הפצה ומכירה, העונש שהושת עליו הוא אף על הרף הנמוך ואינו מצדיק התערבות ערכאת הערעור. </w:t>
      </w:r>
    </w:p>
    <w:p>
      <w:pPr>
        <w:jc w:val="both"/>
        <w:bidi/>
        <w:spacing w:after="120"/>
      </w:pPr>
      <w:r>
        <w:rPr>
          <w:rFonts w:ascii="Times New Roman" w:hAnsi="Times New Roman" w:cs="Times New Roman"/>
          <w:sz w:val="24"/>
          <w:sz-cs w:val="24"/>
        </w:rPr>
        <w:t xml:space="preserve">הערת אזהרה לפני הצרכנים והמשתמשים: סחר בסמים הוא סחר בסמים. ידע כל מי שמהרהר בדרכים לעשיית כסף קל, כי מדיניות הענישה לא השתנתה ובית המשפט רואה בחומרה עבירות של סחר והפצה של סמים מסוכנים, גם סמים "קלים", תוך הטלת ענישה משמעותית ומרתיעה.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4"/>
          <w:sz-cs w:val="24"/>
          <w:u w:val="single"/>
          <w:spacing w:val="10"/>
        </w:rPr>
        <w:t xml:space="preserve">השופט י' עמית</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tab/>
        <w:t xml:space="preserve">שני ערעורים מאוחדים על גזר דינו של בית המשפט המחוזי מרכז (כב' השופטת </w:t>
      </w:r>
      <w:r>
        <w:rPr>
          <w:rFonts w:ascii="Times" w:hAnsi="Times" w:cs="Times"/>
          <w:sz w:val="22"/>
          <w:sz-cs w:val="22"/>
          <w:b/>
        </w:rPr>
        <w:t xml:space="preserve">מ' ברנט</w:t>
      </w:r>
      <w:r>
        <w:rPr>
          <w:rFonts w:ascii="Times" w:hAnsi="Times" w:cs="Times"/>
          <w:sz w:val="22"/>
          <w:sz-cs w:val="22"/>
          <w:spacing w:val="10"/>
        </w:rPr>
        <w:t xml:space="preserve">) מיום 13.2.2018 ב</w:t>
      </w:r>
      <w:r>
        <w:rPr>
          <w:rFonts w:ascii="Times" w:hAnsi="Times" w:cs="Times"/>
          <w:sz w:val="22"/>
          <w:sz-cs w:val="22"/>
          <w:u w:val="single"/>
          <w:spacing w:val="10"/>
          <w:color w:val="0000FF"/>
        </w:rPr>
        <w:t xml:space="preserve"> HYPERLINK "http://www.nevo.co.il/case/21480305" ת"פ 52569-05-16</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w:t>
        <w:tab/>
        <w:t xml:space="preserve">המערער בע"פ 2596/18 (להלן: </w:t>
      </w:r>
      <w:r>
        <w:rPr>
          <w:rFonts w:ascii="Times" w:hAnsi="Times" w:cs="Times"/>
          <w:sz w:val="22"/>
          <w:sz-cs w:val="22"/>
          <w:b/>
        </w:rPr>
        <w:t xml:space="preserve">המערער</w:t>
      </w:r>
      <w:r>
        <w:rPr>
          <w:rFonts w:ascii="Times" w:hAnsi="Times" w:cs="Times"/>
          <w:sz w:val="22"/>
          <w:sz-cs w:val="22"/>
          <w:spacing w:val="10"/>
        </w:rPr>
        <w:t xml:space="preserve">) הורשע במסגרת הסדר טיעון על פי הודאתו בעבירות של קשירת קשר לביצוע פשע ושיבוש מהלכי משפט, לפי </w:t>
      </w:r>
      <w:r>
        <w:rPr>
          <w:rFonts w:ascii="Times" w:hAnsi="Times" w:cs="Times"/>
          <w:sz w:val="22"/>
          <w:sz-cs w:val="22"/>
          <w:u w:val="single"/>
          <w:spacing w:val="10"/>
          <w:color w:val="0000FF"/>
        </w:rPr>
        <w:t xml:space="preserve"> HYPERLINK "http://www.nevo.co.il/law/70301/499" </w:t>
      </w:r>
      <w:r>
        <w:rPr>
          <w:rFonts w:ascii="Times" w:hAnsi="Times" w:cs="Times"/>
          <w:sz w:val="24"/>
          <w:sz-cs w:val="24"/>
          <w:u w:val="single"/>
          <w:color w:val="0000FF"/>
        </w:rPr>
        <w:t xml:space="preserve">סעיפים 499</w:t>
      </w:r>
      <w:r>
        <w:rPr>
          <w:rFonts w:ascii="Times" w:hAnsi="Times" w:cs="Times"/>
          <w:sz w:val="22"/>
          <w:sz-cs w:val="22"/>
          <w:spacing w:val="10"/>
        </w:rPr>
        <w:t xml:space="preserve"> ו-</w:t>
      </w:r>
      <w:r>
        <w:rPr>
          <w:rFonts w:ascii="Times" w:hAnsi="Times" w:cs="Times"/>
          <w:sz w:val="22"/>
          <w:sz-cs w:val="22"/>
          <w:u w:val="single"/>
          <w:spacing w:val="10"/>
          <w:color w:val="0000FF"/>
        </w:rPr>
        <w:t xml:space="preserve"> HYPERLINK "http://www.nevo.co.il/law/70301/244" </w:t>
      </w:r>
      <w:r>
        <w:rPr>
          <w:rFonts w:ascii="Times" w:hAnsi="Times" w:cs="Times"/>
          <w:sz w:val="24"/>
          <w:sz-cs w:val="24"/>
          <w:u w:val="single"/>
          <w:color w:val="0000FF"/>
        </w:rPr>
        <w:t xml:space="preserve">244</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w:hAnsi="Times" w:cs="Times"/>
          <w:sz w:val="22"/>
          <w:sz-cs w:val="22"/>
          <w:b/>
        </w:rPr>
        <w:t xml:space="preserve">חוק העונשין</w:t>
      </w:r>
      <w:r>
        <w:rPr>
          <w:rFonts w:ascii="Times" w:hAnsi="Times" w:cs="Times"/>
          <w:sz w:val="22"/>
          <w:sz-cs w:val="22"/>
          <w:spacing w:val="10"/>
        </w:rPr>
        <w:t xml:space="preserve">); ובעבירה של ייצור, הכנה והפקה של סמים מסוכנים, לפי </w:t>
      </w:r>
      <w:r>
        <w:rPr>
          <w:rFonts w:ascii="Times" w:hAnsi="Times" w:cs="Times"/>
          <w:sz w:val="22"/>
          <w:sz-cs w:val="22"/>
          <w:u w:val="single"/>
          <w:spacing w:val="10"/>
          <w:color w:val="0000FF"/>
        </w:rPr>
        <w:t xml:space="preserve"> HYPERLINK "http://www.nevo.co.il/law/4216/6" </w:t>
      </w:r>
      <w:r>
        <w:rPr>
          <w:rFonts w:ascii="Times" w:hAnsi="Times" w:cs="Times"/>
          <w:sz w:val="24"/>
          <w:sz-cs w:val="24"/>
          <w:u w:val="single"/>
          <w:color w:val="0000FF"/>
        </w:rPr>
        <w:t xml:space="preserve">סעיף 6</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"http://www.nevo.co.il/law/4216" פקודת הסמים המסוכנים</w:t>
      </w:r>
      <w:r>
        <w:rPr>
          <w:rFonts w:ascii="Times" w:hAnsi="Times" w:cs="Times"/>
          <w:sz w:val="22"/>
          <w:sz-cs w:val="22"/>
          <w:spacing w:val="10"/>
        </w:rPr>
        <w:t xml:space="preserve"> [נוסח חדש], התשל"ג-1973.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בתמצית ייאמר כי המערער הקים – בסיועו של הנאשם 2 בכתב האישום (יואב), ששכר עבורו יחידת גג גדולה – מעבדה לגידול קנבוס בשיטת ההידרו (להלן: </w:t>
      </w:r>
      <w:r>
        <w:rPr>
          <w:rFonts w:ascii="Times" w:hAnsi="Times" w:cs="Times"/>
          <w:sz w:val="22"/>
          <w:sz-cs w:val="22"/>
          <w:b/>
        </w:rPr>
        <w:t xml:space="preserve">המעבדה</w:t>
      </w:r>
      <w:r>
        <w:rPr>
          <w:rFonts w:ascii="Times" w:hAnsi="Times" w:cs="Times"/>
          <w:sz w:val="22"/>
          <w:sz-cs w:val="22"/>
          <w:spacing w:val="10"/>
        </w:rPr>
        <w:t xml:space="preserve">). באחת הפעמים, הסיע המערער את הנאשם 3 בכתב האישום ואדם נוסף למעבדה, כשברשות הנאשם 3 סכום של כ- 29,000 ₪ במזומן, עמו התכוון לרכוש סם. בסמוך לאחר מכן, כאשר הגיעו למעבדה שוטרים ובידם צו חיפוש, לא פתחו המערער ונאשם 3 את הדלת, כאשר בינתיים המערער הזהיר את יואב בטלפון הסלולרי "תעלם לכמה ימים". לאחר שהשוטרים פרצו לדירה, נתפסו במעבדה 137.6 ק"ג נטו של סם מסוג קנביס (הידרו).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w:t>
        <w:tab/>
        <w:t xml:space="preserve">בעקבות המלצות שירות המבחן, נעתר בית משפט קמא לבקשה לדחות את מועד גזירת עונשו של המערער על מנת לאפשר את השתלבותו בקהילה הטיפולית הסגורה "הדרך" (להלן: </w:t>
      </w:r>
      <w:r>
        <w:rPr>
          <w:rFonts w:ascii="Times" w:hAnsi="Times" w:cs="Times"/>
          <w:sz w:val="22"/>
          <w:sz-cs w:val="22"/>
          <w:b/>
        </w:rPr>
        <w:t xml:space="preserve">הקהילה הטיפולית</w:t>
      </w:r>
      <w:r>
        <w:rPr>
          <w:rFonts w:ascii="Times" w:hAnsi="Times" w:cs="Times"/>
          <w:sz w:val="22"/>
          <w:sz-cs w:val="22"/>
          <w:spacing w:val="10"/>
        </w:rPr>
        <w:t xml:space="preserve">). לבסוף לא שולב המערער בקהילה הטיפולית, בשל אי-הסכמתה לקבלו בתנאים שנקבעו על ידי בית משפט קמא, ובפרט התנאי לפיו יחויב בליווי מפקח בכל יציאה מן הקהילה, גם בשלבים האחרונים של שיקומו.</w:t>
      </w:r>
    </w:p>
    <w:p>
      <w:pPr>
        <w:jc w:val="both"/>
        <w:bidi/>
      </w:pPr>
      <w:r>
        <w:rPr>
          <w:rFonts w:ascii="Times" w:hAnsi="Times" w:cs="Times"/>
          <w:sz w:val="22"/>
          <w:sz-cs w:val="22"/>
          <w:spacing w:val="10"/>
          <w:color w:val="FF0000"/>
        </w:rPr>
        <w:t xml:space="preserve"/>
      </w:r>
    </w:p>
    <w:p>
      <w:pPr>
        <w:jc w:val="both"/>
        <w:bidi/>
      </w:pPr>
      <w:r>
        <w:rPr>
          <w:rFonts w:ascii="Times" w:hAnsi="Times" w:cs="Times"/>
          <w:sz w:val="22"/>
          <w:sz-cs w:val="22"/>
          <w:spacing w:val="10"/>
        </w:rPr>
        <w:t xml:space="preserve">3.</w:t>
        <w:tab/>
        <w:t xml:space="preserve">בגזר הדין מיום 13.2.2018, הוכרז המערער כסוחר סמים. נקבע כי מתחם העונש ההולם בעניינו עומד על 56-36 חודשי מאסר, אך בשל הסיכוי הממשי לשיקום, הועמד עונשו על 26 חודשי מאסר בפועל; 6 חודשי מאסר על תנאי; וקנס בסך 7,000 ₪.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על גזר הדין נסבים שני הערעורים שלפנינו.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4.</w:t>
        <w:tab/>
        <w:t xml:space="preserve">ערעורו של המערער על חומרת העונש, התמקד בטענה כי בית משפט קמא לא נתן משקל מספק להליך השיקום שעבר ולפוטנציאל השיקום הגבוה העולה מתסקירי שירות המבחן. לשיטתו, העובדה כי בית משפט קמא דחה את התנאים שהציבה הקהילה הטיפולית, הביאה לבסוף להחמרת העונש שהוטל עליו, באופן שאינו ראוי לאור נכונותו להשתלב בקהילה ולעבור הליך שיקום.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בנוסף נטען כי מתחם העונש שנקבע אינו משקף את רמת הענישה הנוהגת בעבירות מסוג זה.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5.</w:t>
        <w:tab/>
        <w:t xml:space="preserve">המדינה טענה בערעורה כי לא היה מקום לחרוג ממתחם הענישה מטעמי שיקום, וכי יש להחמיר בעונשו של המערער. לטענתה, לא הובאו תימוכין לטענת המערער כי היה מכור לסם ונגמל מהתמכרותו, טענה שעמדה בבסיס ההחלטה לחרוג לקולא. עוד נטען כי הקנס שהוטל על המערער היה נמוך מהראוי, לאור העובדה שהורשע בעבירה של ייצור סם בכמות מסחרית למטרות כלכליות.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6.</w:t>
        <w:tab/>
        <w:t xml:space="preserve">אקדים ואומר כי דין שני הערעורים להידחות, בהינתן נקודת המוצא, שהיא גם נקודת הסיום, כי אין דרכה של ערכאת ערעור להתערב במידת הענישה, אלא במקרים חריגים, ולא זה המקרה שלפנינו.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ראשית, באשר לערעורה של המדינה, איני סבור כי היה מקום להרהר אחר התרשמות הגורמים המקצועיים, שירות המבחן ואנשי הקהילה הטיפולית, כי המערער היה במועדים הרלוונטיים מכור לסמים. מכל מקום, במסגרת השיקולים שבית משפט קמא ציין לצורך החריגה לקולא בגזר הדין, נזכרה אך העובדה שהפסיק לצרוך סמים וערך שינוי מחשבתי המגביר את סיכוייו להשתקם.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אכן, יש ממש בטענת המדינה לגבי הקנס הנמוך עד מאוד שהשית בית משפט קמא על המערער, אך למרות זאת, לא מצאתי להתערב בגובה הקנס, בשים לב לשיקולים לקולא שצוינו בגזר הדין.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7.</w:t>
        <w:tab/>
        <w:t xml:space="preserve">ומכאן לערעורו של המערער.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העבירה של ייצור והפקת סם מסוכן בכמות כה משמעותית, היא עבירה חמורה, וכפי שציין בית משפט קמא, מגמת הענישה ביחס לעבירות אלה היא של החמרה והרתעה. כך, לדוגמה, ב</w:t>
      </w:r>
      <w:r>
        <w:rPr>
          <w:rFonts w:ascii="Times" w:hAnsi="Times" w:cs="Times"/>
          <w:sz w:val="22"/>
          <w:sz-cs w:val="22"/>
          <w:u w:val="single"/>
          <w:spacing w:val="10"/>
          <w:color w:val="0000FF"/>
        </w:rPr>
        <w:t xml:space="preserve"> HYPERLINK "http://www.nevo.co.il/case/21644133" ע"פ 8988/16</w:t>
      </w:r>
      <w:r>
        <w:rPr>
          <w:rFonts w:ascii="Times" w:hAnsi="Times" w:cs="Times"/>
          <w:sz w:val="22"/>
          <w:sz-cs w:val="22"/>
          <w:spacing w:val="10"/>
        </w:rPr>
        <w:t xml:space="preserve"> </w:t>
      </w:r>
      <w:r>
        <w:rPr>
          <w:rFonts w:ascii="Times" w:hAnsi="Times" w:cs="Times"/>
          <w:sz w:val="22"/>
          <w:sz-cs w:val="22"/>
          <w:b/>
        </w:rPr>
        <w:t xml:space="preserve">בן סימון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(8.3.2017), דחה בית משפט זה ערעורו של נאשם שגידל סם קנבוס בכמות של כ-87 ק"ג נטו, ובית המשפט המחוזי השית עליו 36 חודשי מאסר בפועל וקנס בסך 40,000 ₪. על אחת כמה וכמה בענייננו, שהכמות גדולה יותר. אף לא למותר לציין כי אין זו הסתבכותו הראשונה של המערער עם החוק, ובעבר הרחוק (בשנת 2007) הורשע בהחזקת אגרופן או סכין שלא למטרה כשרה, ובעבירות שבל"ר וניסיון הצתה (בשנת 2003).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הנה כי כן, בשורה התחתונה, דומה כי בית משפט קמא התחשב בתקופה של שנה וחודשיים בה היה המערער נתון באיזוק אלקטרוני, בנסיבותיו האישיות וברצונו להשתלב בהליך טיפולי. עם זאת, בהינתן כמות הסם הגדולה עד-מאוד שהפיק וייצר המערער לצרכי הפצה ומכירה, הרי שהעונש שהושת על המערער הוא אף על הרף הנמוך, ואינו מצדיק התערבות ערכאת הערעור. </w:t>
      </w:r>
    </w:p>
    <w:p>
      <w:pPr>
        <w:jc w:val="both"/>
        <w:bidi/>
      </w:pPr>
      <w:r>
        <w:rPr>
          <w:rFonts w:ascii="Times" w:hAnsi="Times" w:cs="Times"/>
          <w:sz w:val="22"/>
          <w:sz-cs w:val="22"/>
          <w:spacing w:val="10"/>
        </w:rPr>
        <w:t xml:space="preserve"> </w:t>
      </w:r>
    </w:p>
    <w:p>
      <w:pPr>
        <w:jc w:val="both"/>
        <w:bidi/>
      </w:pPr>
      <w:r>
        <w:rPr>
          <w:rFonts w:ascii="Times" w:hAnsi="Times" w:cs="Times"/>
          <w:sz w:val="22"/>
          <w:sz-cs w:val="22"/>
          <w:spacing w:val="10"/>
        </w:rPr>
        <w:t xml:space="preserve">8.</w:t>
        <w:tab/>
        <w:t xml:space="preserve">לפני סיום, ארשום הערת אזהרה לפני הצרכנים והמשתמשים.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ריבוי המקרים המובאים לפנינו בעת האחרונה – של גידול, ייצור והפקת קנבוס לשם הפצה ומכירה, כמו גם הפצה ומכירה של קנבוס תוך שימוש באפליקציית ה'טלגראס', מעוררים את התחושה, הגם שאינה מגובה בסטטיסטיקה או במחקר אמפירי, כי המדיניות שבאה לידי ביטוי בחוק הסמים המסוכנים (עבירת קנס מיוחדת – הוראת שעה), התשע"ח-2018 (שתחולתו ביום 1.4.2019) – זלגה שלא בטובתה למחוזות אחרים. צרכנים ומשתמשים ואנשים נורמטיביים, שבעבר לא היו נכונים ליטול על עצמם סיכון להסתבך בעולם הפלילי, נכונים כיום לילך צעד נוסף ולהפוך למגדלים ולסוחרים בסם. זאת, מתוך תפיסה שגויה כי מדובר ב"סמים קלים", ובהינתן הטכנולוגיה המאפשרת מכירה והפצה קלה ו"סטרילית" של סמים. ברם, סחר בסמים הוא סחר בסמים. ידע כל מי שמהרהר בדרכים לעשיית כסף קל, כי מדיניות הענישה לא השתנתה ובית המשפט רואה בחומרה עבירות של סחר והפצה של סמים מסוכנים, גם סמים "קלים", תוך הטלת ענישה משמעותית ומרתיעה. צרכנים ומשתמשים – ראו הוזהרתם. </w:t>
      </w:r>
    </w:p>
    <w:p>
      <w:pPr>
        <w:jc w:val="both"/>
        <w:bidi/>
      </w:pPr>
      <w:r>
        <w:rPr>
          <w:rFonts w:ascii="Times" w:hAnsi="Times" w:cs="Times"/>
          <w:sz w:val="22"/>
          <w:sz-cs w:val="22"/>
          <w:spacing w:val="10"/>
        </w:rPr>
        <w:t xml:space="preserve"/>
        <w:tab/>
        <w:t xml:space="preserve"/>
      </w:r>
    </w:p>
    <w:p>
      <w:pPr>
        <w:jc w:val="both"/>
        <w:bidi/>
      </w:pPr>
      <w:r>
        <w:rPr>
          <w:rFonts w:ascii="Times" w:hAnsi="Times" w:cs="Times"/>
          <w:sz w:val="22"/>
          <w:sz-cs w:val="22"/>
          <w:spacing w:val="10"/>
        </w:rPr>
        <w:t xml:space="preserve">9.</w:t>
        <w:tab/>
        <w:t xml:space="preserve">סוף דבר, שני הערעורים נדחים על כל רכיביהם, וגזר הדין יעמוד על כנו.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ניתן היום, א' באלול התשע"ח (‏12.8.2018). </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המשנה לנשיאה</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18025960_E06.doc   סח</w:t>
      </w:r>
      <w:r>
        <w:rPr>
          <w:rFonts w:ascii="Times New Roman" w:hAnsi="Times New Roman" w:cs="Times New Roman"/>
          <w:sz w:val="22"/>
          <w:sz-cs w:val="22"/>
        </w:rPr>
        <w:t xml:space="preserve">+עכב</w:t>
      </w:r>
    </w:p>
    <w:p>
      <w:pPr>
        <w:jc w:val="right"/>
        <w:bidi/>
      </w:pPr>
      <w:r>
        <w:rPr>
          <w:rFonts w:ascii="Times New Roman" w:hAnsi="Times New Roman" w:cs="Times New Roman"/>
          <w:sz w:val="2"/>
          <w:sz-cs w:val="2"/>
          <w:color w:val="FFFFFF"/>
        </w:rPr>
        <w:t xml:space="preserve">5129371</w:t>
      </w: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u w:val="single"/>
          <w:color w:val="548DD4"/>
        </w:rPr>
        <w:t xml:space="preserve">HYPERLINK "https://supreme.court.gov.il"supreme.court.gov.il</w:t>
      </w:r>
      <w:r>
        <w:rPr>
          <w:rFonts w:ascii="Times New Roman" w:hAnsi="Times New Roman" w:cs="Times New Roman"/>
          <w:sz w:val="22"/>
          <w:sz-cs w:val="22"/>
        </w:rPr>
        <w:t xml:space="preserve"/>
      </w:r>
    </w:p>
    <w:p>
      <w:pPr>
        <w:jc w:val="right"/>
        <w:bidi/>
      </w:pPr>
      <w:r>
        <w:rPr>
          <w:rFonts w:ascii="Times New Roman" w:hAnsi="Times New Roman" w:cs="Times New Roman"/>
          <w:sz w:val="2"/>
          <w:sz-cs w:val="2"/>
          <w:color w:val="FFFFFF"/>
        </w:rPr>
        <w:t xml:space="preserve">54678313 </w:t>
      </w:r>
      <w:r>
        <w:rPr>
          <w:rFonts w:ascii="Times" w:hAnsi="Times" w:cs="Times"/>
          <w:sz w:val="2"/>
          <w:sz-cs w:val="2"/>
          <w:color w:val="FFFFFF"/>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עמית 54678313-2596/18</w:t>
      </w:r>
    </w:p>
    <w:p>
      <w:pPr>
        <w:jc w:val="right"/>
        <w:bidi/>
      </w:pPr>
      <w:r>
        <w:rPr>
          <w:rFonts w:ascii="Times New Roman" w:hAnsi="Times New Roman" w:cs="Times New Roman"/>
          <w:sz w:val="22"/>
          <w:sz-cs w:val="22"/>
          <w:u w:val="single"/>
          <w:color w:val="000000"/>
        </w:rPr>
        <w:t xml:space="preserve">נוסח מסמך זה כפוף לשינויי ניסוח ועריכה</w:t>
      </w: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2596/18 </w:t>
        <w:tab/>
        <w:t xml:space="preserve"> כפיר זנזורי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2596/18 </w:t>
        <w:tab/>
        <w:t xml:space="preserve"> כפיר זנזורי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2018-08-13T09:57:00Z</dcterms:created>
  <dcterms:modified>2018-08-13T09:57:00Z</dcterms:modified>
</cp:coreProperties>
</file>

<file path=docProps/meta.xml><?xml version="1.0" encoding="utf-8"?>
<meta xmlns="http://schemas.apple.com/cocoa/2006/metadata">
  <generator>CocoaOOXMLWriter/2575.7</generator>
</meta>
</file>