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2829/13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המבקשת:</w:t>
      </w:r>
    </w:p>
    <w:p>
      <w:pPr>
        <w:jc w:val="right"/>
        <w:bidi/>
      </w:pPr>
      <w:r>
        <w:rPr>
          <w:rFonts w:ascii="Times New Roman" w:hAnsi="Times New Roman" w:cs="Times New Roman"/>
          <w:sz w:val="22"/>
          <w:sz-cs w:val="22"/>
        </w:rPr>
        <w:t xml:space="preserve">מור מוריאל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בירושלים, מיום 27.2.2013, ב</w:t>
      </w:r>
      <w:r>
        <w:rPr>
          <w:rFonts w:ascii="Times New Roman" w:hAnsi="Times New Roman" w:cs="Times New Roman"/>
          <w:sz w:val="24"/>
          <w:sz-cs w:val="24"/>
          <w:u w:val="single"/>
          <w:color w:val="0000FF"/>
        </w:rPr>
        <w:t xml:space="preserve">HYPERLINK "http://www.nevo.co.il/case/4069303"עפ"ת 53676-11-12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אשר ניתן על-ידי כב' השופט א' כהן - שופט בכיר</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בשם המבקשת:</w:t>
        <w:tab/>
        <w:t xml:space="preserve">עו"ד יוני שניאור</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"http://www.nevo.co.il/law/5227/39a" 39א</w:t>
      </w:r>
      <w:r>
        <w:rPr>
          <w:rFonts w:ascii="Times" w:hAnsi="Times" w:cs="Times"/>
          <w:sz w:val="24"/>
          <w:sz-cs w:val="24"/>
        </w:rPr>
        <w:t xml:space="preserve">, </w:t>
      </w:r>
      <w:r>
        <w:rPr>
          <w:rFonts w:ascii="Times" w:hAnsi="Times" w:cs="Times"/>
          <w:sz w:val="24"/>
          <w:sz-cs w:val="24"/>
          <w:u w:val="single"/>
          <w:color w:val="0000FF"/>
        </w:rPr>
        <w:t xml:space="preserve"> HYPERLINK "http://www.nevo.co.il/law/5227/62.3" 62(3)</w:t>
      </w:r>
      <w:r>
        <w:rPr>
          <w:rFonts w:ascii="Times" w:hAnsi="Times" w:cs="Times"/>
          <w:sz w:val="24"/>
          <w:sz-cs w:val="24"/>
        </w:rPr>
        <w:t xml:space="preserve">, </w:t>
      </w:r>
      <w:r>
        <w:rPr>
          <w:rFonts w:ascii="Times" w:hAnsi="Times" w:cs="Times"/>
          <w:sz w:val="24"/>
          <w:sz-cs w:val="24"/>
          <w:u w:val="single"/>
          <w:color w:val="0000FF"/>
        </w:rPr>
        <w:t xml:space="preserve"> HYPERLINK "http://www.nevo.co.il/law/5227/64b.a" 64ב(א)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"http://www.nevo.co.il/law/70301/40c" 40ג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"http://www.nevo.co.il/law/74274" תקנות התעבורה, תשכ"א-1961 - לא מרובדות</w:t>
      </w:r>
      <w:r>
        <w:rPr>
          <w:rFonts w:ascii="Times" w:hAnsi="Times" w:cs="Times"/>
          <w:sz w:val="24"/>
          <w:sz-cs w:val="24"/>
        </w:rPr>
        <w:t xml:space="preserve">: סע'  </w:t>
      </w:r>
      <w:r>
        <w:rPr>
          <w:rFonts w:ascii="Times" w:hAnsi="Times" w:cs="Times"/>
          <w:sz w:val="24"/>
          <w:sz-cs w:val="24"/>
          <w:u w:val="single"/>
          <w:color w:val="0000FF"/>
        </w:rPr>
        <w:t xml:space="preserve"> HYPERLINK "http://www.nevo.co.il/law/74274/169a" 169א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שיקול דעתו של בימ"ש הוגבל בסעיף 39א ל</w:t>
      </w:r>
      <w:r>
        <w:rPr>
          <w:rFonts w:ascii="Times New Roman" w:hAnsi="Times New Roman" w:cs="Times New Roman"/>
          <w:sz w:val="24"/>
          <w:sz-cs w:val="24"/>
          <w:u w:val="single"/>
          <w:color w:val="0000FF"/>
        </w:rPr>
        <w:t xml:space="preserve"> HYPERLINK "http://www.nevo.co.il/law/5227" פקודת התעבורה</w:t>
      </w:r>
      <w:r>
        <w:rPr>
          <w:rFonts w:ascii="Times New Roman" w:hAnsi="Times New Roman" w:cs="Times New Roman"/>
          <w:sz w:val="24"/>
          <w:sz-cs w:val="24"/>
        </w:rPr>
        <w:t xml:space="preserve"> עת נקבע עונש פסילה מינימלי בגין הרשעה בעבירה של נהיגה בשכרות. עם זאת, ב"נסיבות מיוחדות" מתאפשרת סטייה לקולא מעונש המינימום שנקבע. אותן "נסיבות מיוחדות" אין משמען ניהול חיים נורמטיביים גרידא, אלא נדרש דבר מה מעבר לכך.</w:t>
      </w:r>
    </w:p>
    <w:p>
      <w:pPr>
        <w:jc w:val="both"/>
        <w:bidi/>
        <w:spacing w:after="120"/>
      </w:pPr>
      <w:r>
        <w:rPr>
          <w:rFonts w:ascii="Times New Roman" w:hAnsi="Times New Roman" w:cs="Times New Roman"/>
          <w:sz w:val="24"/>
          <w:sz-cs w:val="24"/>
        </w:rPr>
        <w:t xml:space="preserve">* תעבורה – ענישה – פסילת רישיון</w:t>
      </w:r>
    </w:p>
    <w:p>
      <w:pPr>
        <w:jc w:val="both"/>
        <w:bidi/>
        <w:spacing w:after="120"/>
      </w:pPr>
      <w:r>
        <w:rPr>
          <w:rFonts w:ascii="Times New Roman" w:hAnsi="Times New Roman" w:cs="Times New Roman"/>
          <w:sz w:val="24"/>
          <w:sz-cs w:val="24"/>
        </w:rPr>
        <w:t xml:space="preserve">* תעבורה – ענישה – מדיניות ענישה</w:t>
      </w:r>
    </w:p>
    <w:p>
      <w:pPr>
        <w:jc w:val="both"/>
        <w:bidi/>
        <w:spacing w:after="120"/>
      </w:pPr>
      <w:r>
        <w:rPr>
          <w:rFonts w:ascii="Times New Roman" w:hAnsi="Times New Roman" w:cs="Times New Roman"/>
          <w:sz w:val="24"/>
          <w:sz-cs w:val="24"/>
        </w:rPr>
        <w:t xml:space="preserve">* דיון פלילי – ערעור – רשות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המבקשת הורשעה בבימ"ש השלום לתעבורה בעבירה של נהיגה בשכרות לפי סעיף 62(3) בקשר עם סעיפים 64ב(א) ו-39א ל</w:t>
      </w:r>
      <w:r>
        <w:rPr>
          <w:rFonts w:ascii="Times New Roman" w:hAnsi="Times New Roman" w:cs="Times New Roman"/>
          <w:sz w:val="24"/>
          <w:sz-cs w:val="24"/>
          <w:u w:val="single"/>
          <w:color w:val="0000FF"/>
        </w:rPr>
        <w:t xml:space="preserve"> HYPERLINK "http://www.nevo.co.il/law/5227" פקודת התעבורה</w:t>
      </w:r>
      <w:r>
        <w:rPr>
          <w:rFonts w:ascii="Times New Roman" w:hAnsi="Times New Roman" w:cs="Times New Roman"/>
          <w:sz w:val="24"/>
          <w:sz-cs w:val="24"/>
        </w:rPr>
        <w:t xml:space="preserve"> [נוסח חדש] (להלן: הפקודה), ובצירוף תקנה 169א לתקנות התעבורה. בימ"ש לתעבורה השית על המבקשת 6 חודשי פסילה מלקבל או להחזיק רישיון נהיגה, בניכוי ימי הפסילה המנהלית בה הייתה נתונה; עונש של 18 חודשי פסילה על-תנאי מלקבל או להחזיק רישיון נהיגה, לבל תעבור במשך 3 שנים עבירה של נהיגה בשכרות; של"צ בהיקף של 250 שעות. ערעור המשיבה על קולת העונש התקבל בבימ"ש המחוזי כך שהושת על המבקשת עונש של 24 חודשי פסילת רישיון נהיגה בפועל, כקבוע בסעיף 39א לפקודה וצו השל"צ בוטל. יתר רכיבי גזר הדין נותרו על כנם. מכאן בקשת רשות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 א' שהם) דחה את הבקשה ופסק כי:</w:t>
      </w:r>
    </w:p>
    <w:p>
      <w:pPr>
        <w:jc w:val="both"/>
        <w:bidi/>
        <w:spacing w:after="120"/>
      </w:pPr>
      <w:r>
        <w:rPr>
          <w:rFonts w:ascii="Times New Roman" w:hAnsi="Times New Roman" w:cs="Times New Roman"/>
          <w:sz w:val="24"/>
          <w:sz-cs w:val="24"/>
        </w:rPr>
        <w:t xml:space="preserve">בקשת רשות הערעור מושתתת על אותם עיקרי טיעון כפי הוגשו לבימ"ש שלערעור. משכך, לא זו בלבד, שהבקשה אינה מעלה כל שאלה משפטית הראויה להידון במסגרת דיון ב"גלגול שלישי", אלא שהגשת אותן טענות בשנית, מלמדת כי מדובר, בניסיון לבצע "מקצה שיפורים", במסגרת הליך נוסף של ערעור וזאת אין לאפשר. בנוסף, עיקר הבקשה נסוב סביב חומרת העונש שנגזר על המבקשת בבימ"ש המחוזי, אלא שטענות בדבר חומרת העונש אינן מהוות, כשלעצמן, עילה למתן רשות ערעור, פרט למקרים המגלים סטייה ניכרת מרף הענישה המקובל והראוי בעבירות דומות. זו ההלכה גם במקרים שבהם החמירה ערכאת הערעור בעונשו של נאשם. תנאים אלו אינם מתקיימים כאן.</w:t>
      </w:r>
    </w:p>
    <w:p>
      <w:pPr>
        <w:jc w:val="both"/>
        <w:bidi/>
        <w:spacing w:after="120"/>
      </w:pPr>
      <w:r>
        <w:rPr>
          <w:rFonts w:ascii="Times New Roman" w:hAnsi="Times New Roman" w:cs="Times New Roman"/>
          <w:sz w:val="24"/>
          <w:sz-cs w:val="24"/>
        </w:rPr>
        <w:t xml:space="preserve">לגופו של עניין, נהיגה בשכרות היא אחת הסיבות המרכזיות לגרימת תאונות דרכים, דבר המסכן את שלום הציבור ופוגע בביטחונו. לכן, מדיניות הענישה בעבירות אלה מחייבת את בימ"ש לנהוג ביד קשה בנהגים שיכורים, תהא רמת האלכוהול בדמם, אשר תהא. לכן, בחר המחוקק להגביל את שיקול דעתו של בימ"ש בקובעו בסעיף 39א לפקודה עונש פסילה מינימלי, בגין הרשעה בעבירה של נהיגה בשכרות. </w:t>
      </w:r>
    </w:p>
    <w:p>
      <w:pPr>
        <w:jc w:val="both"/>
        <w:bidi/>
        <w:spacing w:after="120"/>
      </w:pPr>
      <w:r>
        <w:rPr>
          <w:rFonts w:ascii="Times New Roman" w:hAnsi="Times New Roman" w:cs="Times New Roman"/>
          <w:sz w:val="24"/>
          <w:sz-cs w:val="24"/>
        </w:rPr>
        <w:t xml:space="preserve">אין סתירה בין סעיף 39א לפקודה לבין תיקון 113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הגם שהמחוקק בחר להגביל את שיקול דעתו של בימ"ש בקובעו עונש פסילה מינימלי, הגבלת שיקול הדעת אינה מוחלטת ובהתקיים "נסיבות מיוחדות", מתאפשרת סטייה לקולא מעונש המינימום שקבע המחוקק. עם זאת, אותן "נסיבות מיוחדות" אין משמען ניהול חיים נורמטיביים גרידא, אלא שנדרש דבר מה מעבר לכך. לפיכך, אין לקבל את עמדת בימ"ש קמא שמצאה לסטות מרף הענישה המינימלי הקבוע בסעיף 39א לפקודה בקובעה כי המבקשת "מנהלת אורח חיים תקין ונורמטיבי" בהיותה סותרת את הדין והפסיקה, ובדין הוחמר עונשה של המבקשת. דברים אלה מקבלים משנה תוקף נוכח העובדה כי תיקון 106 לפקודה שונה מהנוסח הנזכר בתזכיר הצעת החוק ואינו כולל כל הוראה לעונשי המינימום הקבועים בפקודה. מכך ניתן להסיק, כי המחוקק נתן דעתו לאפשרות של קביעת עונשי מינימום דיפרנציאליים, בהינתן רמות אלכוהול שונות בגופם של נהגים המורשעים בעבירה של נהיגה בשכרות, אך פסל אפשרות זו. </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4"/>
          <w:sz-cs w:val="24"/>
          <w:u w:val="single"/>
          <w:spacing w:val="10"/>
        </w:rPr>
        <w:t xml:space="preserve"/>
      </w:r>
    </w:p>
    <w:p>
      <w:pPr>
        <w:jc w:val="both"/>
        <w:bidi/>
      </w:pPr>
      <w:r>
        <w:rPr>
          <w:rFonts w:ascii="Times" w:hAnsi="Times" w:cs="Times"/>
          <w:sz w:val="24"/>
          <w:sz-cs w:val="24"/>
          <w:spacing w:val="10"/>
        </w:rPr>
        <w:t xml:space="preserve">לפניי בקשת רשות ערעור על פסק דינו של בית-המשפט המחוזי בירושלים, אשר ניתן על-ידי כב' השופט </w:t>
      </w:r>
      <w:r>
        <w:rPr>
          <w:rFonts w:ascii="Times New Roman" w:hAnsi="Times New Roman" w:cs="Times New Roman"/>
          <w:sz w:val="28"/>
          <w:sz-cs w:val="28"/>
        </w:rPr>
        <w:t xml:space="preserve">א' כהן – </w:t>
      </w:r>
      <w:r>
        <w:rPr>
          <w:rFonts w:ascii="Times New Roman" w:hAnsi="Times New Roman" w:cs="Times New Roman"/>
          <w:sz w:val="22"/>
          <w:sz-cs w:val="22"/>
          <w:spacing w:val="10"/>
        </w:rPr>
        <w:t xml:space="preserve">שופט בכיר</w:t>
      </w:r>
      <w:r>
        <w:rPr>
          <w:rFonts w:ascii="Times" w:hAnsi="Times" w:cs="Times"/>
          <w:sz w:val="24"/>
          <w:sz-cs w:val="24"/>
          <w:spacing w:val="10"/>
        </w:rPr>
        <w:t xml:space="preserve">, ב</w:t>
      </w:r>
      <w:r>
        <w:rPr>
          <w:rFonts w:ascii="Times" w:hAnsi="Times" w:cs="Times"/>
          <w:sz w:val="24"/>
          <w:sz-cs w:val="24"/>
          <w:u w:val="single"/>
          <w:spacing w:val="10"/>
          <w:color w:val="0000FF"/>
        </w:rPr>
        <w:t xml:space="preserve">HYPERLINK "http://www.nevo.co.il/case/4069303"עפ"ת 53676-11-12</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27.2.2013. בפסק דינו, קיבל בית-המשפט המחוזי את ערעור המשיבה על קולת העונש, אשר נגזר על המבקשת בבית-משפט השלום לתעבורה בירושלים (להלן: </w:t>
      </w:r>
      <w:r>
        <w:rPr>
          <w:rFonts w:ascii="Times New Roman" w:hAnsi="Times New Roman" w:cs="Times New Roman"/>
          <w:sz w:val="28"/>
          <w:sz-cs w:val="28"/>
        </w:rPr>
        <w:t xml:space="preserve">בית המשפט לתעבורה</w:t>
      </w:r>
      <w:r>
        <w:rPr>
          <w:rFonts w:ascii="Times New Roman" w:hAnsi="Times New Roman" w:cs="Times New Roman"/>
          <w:sz w:val="24"/>
          <w:sz-cs w:val="24"/>
          <w:spacing w:val="10"/>
        </w:rPr>
        <w:t xml:space="preserve">), על-ידי כב' השופט </w:t>
      </w:r>
      <w:r>
        <w:rPr>
          <w:rFonts w:ascii="Times New Roman" w:hAnsi="Times New Roman" w:cs="Times New Roman"/>
          <w:sz w:val="28"/>
          <w:sz-cs w:val="28"/>
        </w:rPr>
        <w:t xml:space="preserve">א' טננבוים</w:t>
      </w:r>
      <w:r>
        <w:rPr>
          <w:rFonts w:ascii="Times New Roman" w:hAnsi="Times New Roman" w:cs="Times New Roman"/>
          <w:sz w:val="24"/>
          <w:sz-cs w:val="24"/>
          <w:spacing w:val="10"/>
        </w:rPr>
        <w:t xml:space="preserve">, ב</w:t>
      </w:r>
      <w:r>
        <w:rPr>
          <w:rFonts w:ascii="Times New Roman" w:hAnsi="Times New Roman" w:cs="Times New Roman"/>
          <w:sz w:val="24"/>
          <w:sz-cs w:val="24"/>
          <w:u w:val="single"/>
          <w:spacing w:val="10"/>
          <w:color w:val="0000FF"/>
        </w:rPr>
        <w:t xml:space="preserve">HYPERLINK "http://www.nevo.co.il/case/4145196"תת"ע 503-02-12</w:t>
      </w:r>
      <w:r>
        <w:rPr>
          <w:rFonts w:ascii="Times New Roman" w:hAnsi="Times New Roman" w:cs="Times New Roman"/>
          <w:sz w:val="24"/>
          <w:sz-cs w:val="24"/>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spacing w:val="10"/>
        </w:rPr>
        <w:t xml:space="preserve">מיום 15.10.2012.</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רקע והליכים קודמים</w:t>
      </w:r>
    </w:p>
    <w:p>
      <w:pPr>
        <w:jc w:val="both"/>
        <w:bidi/>
      </w:pPr>
      <w:r>
        <w:rPr>
          <w:rFonts w:ascii="Times New Roman" w:hAnsi="Times New Roman" w:cs="Times New Roman"/>
          <w:sz w:val="28"/>
          <w:sz-cs w:val="28"/>
        </w:rPr>
        <w:t xml:space="preserve"/>
      </w:r>
    </w:p>
    <w:p>
      <w:pPr>
        <w:jc w:val="both"/>
        <w:bidi/>
      </w:pPr>
      <w:r>
        <w:rPr>
          <w:rFonts w:ascii="Times" w:hAnsi="Times" w:cs="Times"/>
          <w:sz w:val="24"/>
          <w:sz-cs w:val="24"/>
          <w:spacing w:val="10"/>
        </w:rPr>
        <w:t xml:space="preserve">ביום 21.1.2012, הוגש נגד המבקשת כתב אישום, אשר במסגרתו יוחסה לה עבירה של נהיגה בשכרות, לפי </w:t>
      </w:r>
      <w:r>
        <w:rPr>
          <w:rFonts w:ascii="Times" w:hAnsi="Times" w:cs="Times"/>
          <w:sz w:val="24"/>
          <w:sz-cs w:val="24"/>
          <w:u w:val="single"/>
          <w:spacing w:val="10"/>
          <w:color w:val="0000FF"/>
        </w:rPr>
        <w:t xml:space="preserve"> HYPERLINK "http://www.nevo.co.il/law/5227/62.3" סעיף 62(3)</w:t>
      </w:r>
      <w:r>
        <w:rPr>
          <w:rFonts w:ascii="Times" w:hAnsi="Times" w:cs="Times"/>
          <w:sz w:val="24"/>
          <w:sz-cs w:val="24"/>
          <w:spacing w:val="10"/>
        </w:rPr>
        <w:t xml:space="preserve">, בקשר עם </w:t>
      </w:r>
      <w:r>
        <w:rPr>
          <w:rFonts w:ascii="Times" w:hAnsi="Times" w:cs="Times"/>
          <w:sz w:val="24"/>
          <w:sz-cs w:val="24"/>
          <w:u w:val="single"/>
          <w:spacing w:val="10"/>
          <w:color w:val="0000FF"/>
        </w:rPr>
        <w:t xml:space="preserve"> HYPERLINK "http://www.nevo.co.il/law/5227/64b.a" סעיפים 64ב(א)</w:t>
      </w:r>
      <w:r>
        <w:rPr>
          <w:rFonts w:ascii="Times" w:hAnsi="Times" w:cs="Times"/>
          <w:sz w:val="24"/>
          <w:sz-cs w:val="24"/>
          <w:spacing w:val="10"/>
        </w:rPr>
        <w:t xml:space="preserve"> ו- </w:t>
      </w:r>
      <w:r>
        <w:rPr>
          <w:rFonts w:ascii="Times" w:hAnsi="Times" w:cs="Times"/>
          <w:sz w:val="24"/>
          <w:sz-cs w:val="24"/>
          <w:u w:val="single"/>
          <w:spacing w:val="10"/>
          <w:color w:val="0000FF"/>
        </w:rPr>
        <w:t xml:space="preserve"> HYPERLINK "http://www.nevo.co.il/law/5227/39a" 39א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[נוסח חדש] (להלן: </w:t>
      </w:r>
      <w:r>
        <w:rPr>
          <w:rFonts w:ascii="Times New Roman" w:hAnsi="Times New Roman" w:cs="Times New Roman"/>
          <w:sz w:val="28"/>
          <w:sz-cs w:val="28"/>
        </w:rPr>
        <w:t xml:space="preserve">פקודת התעבורה </w:t>
      </w:r>
      <w:r>
        <w:rPr>
          <w:rFonts w:ascii="Times New Roman" w:hAnsi="Times New Roman" w:cs="Times New Roman"/>
          <w:sz w:val="22"/>
          <w:sz-cs w:val="22"/>
          <w:spacing w:val="10"/>
        </w:rPr>
        <w:t xml:space="preserve">או</w:t>
      </w:r>
      <w:r>
        <w:rPr>
          <w:rFonts w:ascii="Times New Roman" w:hAnsi="Times New Roman" w:cs="Times New Roman"/>
          <w:sz w:val="28"/>
          <w:sz-cs w:val="28"/>
        </w:rPr>
        <w:t xml:space="preserve"> הפקודה</w:t>
      </w:r>
      <w:r>
        <w:rPr>
          <w:rFonts w:ascii="Times New Roman" w:hAnsi="Times New Roman" w:cs="Times New Roman"/>
          <w:sz w:val="22"/>
          <w:sz-cs w:val="22"/>
          <w:spacing w:val="10"/>
        </w:rPr>
        <w:t xml:space="preserve">)</w:t>
      </w:r>
      <w:r>
        <w:rPr>
          <w:rFonts w:ascii="Times" w:hAnsi="Times" w:cs="Times"/>
          <w:sz w:val="24"/>
          <w:sz-cs w:val="24"/>
          <w:spacing w:val="10"/>
        </w:rPr>
        <w:t xml:space="preserve">, ובצירוף </w:t>
      </w:r>
      <w:r>
        <w:rPr>
          <w:rFonts w:ascii="Times" w:hAnsi="Times" w:cs="Times"/>
          <w:sz w:val="24"/>
          <w:sz-cs w:val="24"/>
          <w:u w:val="single"/>
          <w:spacing w:val="10"/>
          <w:color w:val="0000FF"/>
        </w:rPr>
        <w:t xml:space="preserve"> HYPERLINK "http://www.nevo.co.il/law/74274/169a" תקנה 169א</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"http://www.nevo.co.il/law/74274" לתקנות התעבורה</w:t>
      </w:r>
      <w:r>
        <w:rPr>
          <w:rFonts w:ascii="Times" w:hAnsi="Times" w:cs="Times"/>
          <w:sz w:val="24"/>
          <w:sz-cs w:val="24"/>
          <w:spacing w:val="10"/>
        </w:rPr>
        <w:t xml:space="preserve">, התשכ"א-1961.</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על-פי הנטען בכתב האישום, ביום 21.1.2012, בשעה 01:30 או בסמוך לה, נהגה המבקשת, ברכבה הפרטי, בדרך בית-לחם בירושלים, בהיותה שיכורה. בבדיקת אויר נשוף, אשר נערכה למבקשת, נמצא, כי ריכוז האלכוהול בגופה עמד על 345 מיקרוגרם אלכוהול בליטר אחד של אויר נשוף, כמות העולה על המותר בחוק.</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30.4.2012, הרשיע בית-המשפט לתעבורה את המבקשת, על יסוד הודאתה, בעבירה שיוחסה לה בכתב האישום. באותו מעמד נשמעו הטיעונים לעונשה של המבקשת, אשר במסגרתם עתרה המשיבה, לעונש המינימום הקבוע </w:t>
      </w:r>
      <w:r>
        <w:rPr>
          <w:rFonts w:ascii="Times" w:hAnsi="Times" w:cs="Times"/>
          <w:sz w:val="24"/>
          <w:sz-cs w:val="24"/>
          <w:u w:val="single"/>
          <w:spacing w:val="10"/>
          <w:color w:val="0000FF"/>
        </w:rPr>
        <w:t xml:space="preserve"> HYPERLINK "http://www.nevo.co.il/law/5227/39a" בסעיף 39א</w:t>
      </w:r>
      <w:r>
        <w:rPr>
          <w:rFonts w:ascii="Times" w:hAnsi="Times" w:cs="Times"/>
          <w:sz w:val="24"/>
          <w:sz-cs w:val="24"/>
          <w:spacing w:val="10"/>
        </w:rPr>
        <w:t xml:space="preserve"> לפקודה, קרי, 24 חודשי שלילת רישיון נהיגה בפועל. בנוסף, עתרה המשיבה לעונש של פסילת רישיון נהיגה על-תנאי, ולהשתת קנס על המבקשת. בא-כוח המבקשת טען מצידו, כי אין למצות את הדין עם המבקשת, וזאת לנוכח נסיבותיה האישיות המורכבות.</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באותו הדיון, הורה בית-המשפט לתעבורה, לשירות המבחן, להכין תוכנית שירות לתועלת הציבור (של"צ), בעניינה של המבקשת, בהיקף של 250 שעות.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19.9.2012, הוגש לבית-המשפט לתעבורה תסקיר קצר, אשר במסגרתו עמד שירות המבחן על נתוניה האישיים של המבקשת, לרבות עברה הנקי ולקיחת האחריות מצידה, והוסיף, כי מטעמים אדמיניסטרטיביים, לא הוכנה תוכנית של"צ בעבור המבקשת.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15.10.2012, גזר בית-המשפט לתעבורה את עונשה של המבקשת. בפתח גזר דינו, הפנה בית-המשפט לתעבורה אל תזכיר הצעת החוק לתיקון פקודת התעבורה (מס' 106), התשע"ב-2011, אשר במסגרתו, הוצע לתקן את פקודת התעבורה, ולקבוע, עונש פסילה מינימלי של שנה אחת, במקרים שבהם ריכוז האלכוהול, אשר נמדד בגופו של הנהג הנאשם, עומד על 150% מהכמות המותרת לפי החוק, או פחות מכך. בית-המשפט לתעבורה, ציין בהקשר הנדון, כי תמוהה בעיניו כיצד, מחד גיסא, פועלת המשיבה לתיקון </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כאמור, ומאידך גיסא, טוענת "</w:t>
      </w:r>
      <w:r>
        <w:rPr>
          <w:rFonts w:ascii="Times New Roman" w:hAnsi="Times New Roman" w:cs="Times New Roman"/>
          <w:sz w:val="28"/>
          <w:sz-cs w:val="28"/>
        </w:rPr>
        <w:t xml:space="preserve">בחירוף נפש</w:t>
      </w:r>
      <w:r>
        <w:rPr>
          <w:rFonts w:ascii="Times" w:hAnsi="Times" w:cs="Times"/>
          <w:sz w:val="24"/>
          <w:sz-cs w:val="24"/>
          <w:spacing w:val="10"/>
        </w:rPr>
        <w:t xml:space="preserve">" כי יש להשית על המבקשת עונש פסילה מינימלי, כקבוע בפקודה. זאת, חרף העובדה שכמות האלכוהול שנמדדה בגופה של המבקשת, פחותה משיעור של 150% מכמות האלכוהול אשר הותרה בחוק.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עוד נקבע, בהקשר זה, כי לא זו בלבד שאין יסוד לטענת המשיבה כי בתי-המשפט מקפידים על החלת עונש פסילת המינימום הקבוע </w:t>
      </w:r>
      <w:r>
        <w:rPr>
          <w:rFonts w:ascii="Arial" w:hAnsi="Arial" w:cs="Arial"/>
          <w:sz w:val="22"/>
          <w:sz-cs w:val="22"/>
          <w:u w:val="single"/>
          <w:spacing w:val="10"/>
          <w:color w:val="0000FF"/>
        </w:rPr>
        <w:t xml:space="preserve"> HYPERLINK "http://www.nevo.co.il/law/5227/39a" בסעיף 39א</w:t>
      </w:r>
      <w:r>
        <w:rPr>
          <w:rFonts w:ascii="Arial" w:hAnsi="Arial" w:cs="Arial"/>
          <w:sz w:val="22"/>
          <w:sz-cs w:val="22"/>
          <w:spacing w:val="10"/>
        </w:rPr>
        <w:t xml:space="preserve"> לפקודה, אלא, שהמשיבה עצמה פונה, השכם וערב, לבית-המשפט לתעבורה בבקשה לאשר, במסגרת הסדרי טיעון, עונשי פסילה נמוכים מהמינימום הקבוע בפקודה.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בהמשך דבריו, הפנה בית-המשפט לסמכותו, הקבועה </w:t>
      </w:r>
      <w:r>
        <w:rPr>
          <w:rFonts w:ascii="Arial" w:hAnsi="Arial" w:cs="Arial"/>
          <w:sz w:val="22"/>
          <w:sz-cs w:val="22"/>
          <w:u w:val="single"/>
          <w:spacing w:val="10"/>
          <w:color w:val="0000FF"/>
        </w:rPr>
        <w:t xml:space="preserve"> HYPERLINK "http://www.nevo.co.il/law/5227/39a" בסעיף 39א</w:t>
      </w:r>
      <w:r>
        <w:rPr>
          <w:rFonts w:ascii="Arial" w:hAnsi="Arial" w:cs="Arial"/>
          <w:sz w:val="22"/>
          <w:sz-cs w:val="22"/>
          <w:spacing w:val="10"/>
        </w:rPr>
        <w:t xml:space="preserve"> לפקודה, לחרוג מעונש פסילת המינימום בהתקיים "</w:t>
      </w:r>
      <w:r>
        <w:rPr>
          <w:rFonts w:ascii="Times New Roman" w:hAnsi="Times New Roman" w:cs="Times New Roman"/>
          <w:sz w:val="28"/>
          <w:sz-cs w:val="28"/>
        </w:rPr>
        <w:t xml:space="preserve">נסיבות מיוחדות</w:t>
      </w:r>
      <w:r>
        <w:rPr>
          <w:rFonts w:ascii="Arial" w:hAnsi="Arial" w:cs="Arial"/>
          <w:sz w:val="22"/>
          <w:sz-cs w:val="22"/>
          <w:spacing w:val="10"/>
        </w:rPr>
        <w:t xml:space="preserve">", וציין, בהקשר זה, את כניסתו לתוקף של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Times New Roman" w:hAnsi="Times New Roman" w:cs="Times New Roman"/>
          <w:sz w:val="22"/>
          <w:sz-cs w:val="22"/>
          <w:spacing w:val="10"/>
        </w:rPr>
        <w:t xml:space="preserve">)</w:t>
      </w:r>
      <w:r>
        <w:rPr>
          <w:rFonts w:ascii="Arial" w:hAnsi="Arial" w:cs="Arial"/>
          <w:sz w:val="22"/>
          <w:sz-cs w:val="22"/>
          <w:spacing w:val="10"/>
        </w:rPr>
        <w:t xml:space="preserve">, ובפרט את הוראת </w:t>
      </w:r>
      <w:r>
        <w:rPr>
          <w:rFonts w:ascii="Arial" w:hAnsi="Arial" w:cs="Arial"/>
          <w:sz w:val="22"/>
          <w:sz-cs w:val="22"/>
          <w:u w:val="single"/>
          <w:spacing w:val="10"/>
          <w:color w:val="0000FF"/>
        </w:rPr>
        <w:t xml:space="preserve"> HYPERLINK "http://www.nevo.co.il/law/70301/40c" סעיף 40ג</w:t>
      </w:r>
      <w:r>
        <w:rPr>
          <w:rFonts w:ascii="Arial" w:hAnsi="Arial" w:cs="Arial"/>
          <w:sz w:val="22"/>
          <w:sz-cs w:val="22"/>
          <w:spacing w:val="10"/>
        </w:rPr>
        <w:t xml:space="preserve">, המקנה לבית-המשפט את הסמכות לחרוג ממתחם העונש ההולם בהתקיים שיקולים הנוגעים לשיקומו של הנאשם או בהתקיים נסיבות אחרות, שאינן קשורות בביצוע העבירה.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יסוד האמור לעיל, ובהתייחס, בין היתר, לעברה הנקי של המבקשת, לנטילת האחריות מצידה, לנסיבותיה האישיות, ולעובדה שהיא "</w:t>
      </w:r>
      <w:r>
        <w:rPr>
          <w:rFonts w:ascii="Times New Roman" w:hAnsi="Times New Roman" w:cs="Times New Roman"/>
          <w:sz w:val="28"/>
          <w:sz-cs w:val="28"/>
        </w:rPr>
        <w:t xml:space="preserve">מנהלת אורח חיים תקין ונורמטיבי</w:t>
      </w:r>
      <w:r>
        <w:rPr>
          <w:rFonts w:ascii="Times" w:hAnsi="Times" w:cs="Times"/>
          <w:sz w:val="24"/>
          <w:sz-cs w:val="24"/>
          <w:spacing w:val="10"/>
        </w:rPr>
        <w:t xml:space="preserve">", מצא בית-המשפט לתעבורה לחרוג, לקולא, מעונש פסילת המינימום הקבוע ב</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אשר על כן, השית בית-המשפט לתעבורה על המבקשת 6 חודשי פסילה, מלקבל או להחזיק רישיון נהיגה, בניכוי ימי הפסילה המנהלית, בה היתה נתונה; ועונש של 18 חודשי פסילה על-תנאי, מלקבל או להחזיק רישיון נהיגה, לבל תעבור, במשך שלוש שנים, עבירה של נהיגה בשכרות. בנוסף, השית בית-המשפט לתעבורה על המבקשת של"צ בהיקף של 250 שעות. בנסיבות אלה, לא מצא בית-המשפט לתעבורה מקום להשית על המבקשת עונש של קנס.</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28.11.2012, ערערה המשיבה על גזר דינו של בית-המשפט לתעבורה לבית-המשפט המחוזי בירושלים, בטוענה, בין היתר, כי העונש אשר הושת על המבקשת, חורג, לקולא, מן העונש הראוי בעבירות כגון דא, ואינו תואם את מדיניות הענישה, כפי שהתוותה על-ידי בית-משפט זה. עוד הוסיפה המשיבה וטענה, כי שגה בית-המשפט לתעבורה משקבע, כי מתקיימים בנדון דידן שיקולים, כלשהם, המצדיקים סטייה מעונש פסילת המינימום, אותה קבע המחוקק </w:t>
      </w:r>
      <w:r>
        <w:rPr>
          <w:rFonts w:ascii="Times" w:hAnsi="Times" w:cs="Times"/>
          <w:sz w:val="24"/>
          <w:sz-cs w:val="24"/>
          <w:u w:val="single"/>
          <w:spacing w:val="10"/>
          <w:color w:val="0000FF"/>
        </w:rPr>
        <w:t xml:space="preserve"> HYPERLINK "http://www.nevo.co.il/law/5227/39a" בסעיף 39א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בהמשך נטען, כי שגה בית-משפט קמא, כאשר בחר להיסמך, בין היתר, על תיקון 106 ל</w:t>
      </w:r>
      <w:r>
        <w:rPr>
          <w:rFonts w:ascii="Arial" w:hAnsi="Arial" w:cs="Arial"/>
          <w:sz w:val="22"/>
          <w:sz-cs w:val="22"/>
          <w:u w:val="single"/>
          <w:spacing w:val="10"/>
          <w:color w:val="0000FF"/>
        </w:rPr>
        <w:t xml:space="preserve"> HYPERLINK "http://www.nevo.co.il/law/5227" פקודת התעבורה</w:t>
      </w:r>
      <w:r>
        <w:rPr>
          <w:rFonts w:ascii="Arial" w:hAnsi="Arial" w:cs="Arial"/>
          <w:sz w:val="22"/>
          <w:sz-cs w:val="22"/>
          <w:spacing w:val="10"/>
        </w:rPr>
        <w:t xml:space="preserve">, אשר טרם נחקק. לגופם של דברים, ציינה המשיבה, כי </w:t>
      </w:r>
      <w:r>
        <w:rPr>
          <w:rFonts w:ascii="Arial" w:hAnsi="Arial" w:cs="Arial"/>
          <w:sz w:val="22"/>
          <w:sz-cs w:val="22"/>
          <w:u w:val="single"/>
          <w:spacing w:val="10"/>
          <w:color w:val="0000FF"/>
        </w:rPr>
        <w:t xml:space="preserve"> HYPERLINK "http://www.nevo.co.il/law/5227" פקודת התעבורה</w:t>
      </w:r>
      <w:r>
        <w:rPr>
          <w:rFonts w:ascii="Arial" w:hAnsi="Arial" w:cs="Arial"/>
          <w:sz w:val="22"/>
          <w:sz-cs w:val="22"/>
          <w:spacing w:val="10"/>
        </w:rPr>
        <w:t xml:space="preserve"> קובעת את כמות אלכוהול המקסימלית המותרת בגופו של נהג, אך אין היא מבחינה בין רמות שונות של שכרות, ולכן, עצם ניסיונו של בית-משפט לתעבורה להבחין בין רמות אלה, חסר יסוד איתן לעמוד עליו.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27.2.2013, קיבל בית-המשפט המחוזי את ערעורה של המשיבה, בציינו, כי:</w:t>
      </w:r>
    </w:p>
    <w:p>
      <w:pPr>
        <w:jc w:val="both"/>
        <w:bidi/>
        <w:ind w:left="1282" w:right="1642"/>
      </w:pPr>
      <w:r>
        <w:rPr>
          <w:rFonts w:ascii="Arial" w:hAnsi="Arial" w:cs="Arial"/>
          <w:sz w:val="22"/>
          <w:sz-cs w:val="22"/>
          <w:spacing w:val="10"/>
        </w:rPr>
        <w:t xml:space="preserve">"</w:t>
      </w:r>
      <w:r>
        <w:rPr>
          <w:rFonts w:ascii="Times New Roman" w:hAnsi="Times New Roman" w:cs="Times New Roman"/>
          <w:sz w:val="28"/>
          <w:sz-cs w:val="28"/>
        </w:rPr>
        <w:t xml:space="preserve">כבר חזרתי וקבעתי בשורה של פסקי דין, כי אין לסטות מעונש המינימום</w:t>
      </w:r>
      <w:r>
        <w:rPr>
          <w:rFonts w:ascii="Arial" w:hAnsi="Arial" w:cs="Arial"/>
          <w:sz w:val="22"/>
          <w:sz-cs w:val="22"/>
          <w:spacing w:val="10"/>
        </w:rPr>
        <w:t xml:space="preserve"> [הקבוע בסעיף 39א לפקודה] </w:t>
      </w:r>
      <w:r>
        <w:rPr>
          <w:rFonts w:ascii="Times New Roman" w:hAnsi="Times New Roman" w:cs="Times New Roman"/>
          <w:sz w:val="28"/>
          <w:sz-cs w:val="28"/>
        </w:rPr>
        <w:t xml:space="preserve">אלא בהתקיים נסיבות מיוחדות</w:t>
      </w:r>
      <w:r>
        <w:rPr>
          <w:rFonts w:ascii="Arial" w:hAnsi="Arial" w:cs="Arial"/>
          <w:sz w:val="22"/>
          <w:sz-cs w:val="22"/>
          <w:spacing w:val="10"/>
        </w:rPr>
        <w:t xml:space="preserve">. כב' השופט א' טננבוים מוצא בכל תיק שכרות 'נסיבות מיוחדות' [...]. </w:t>
      </w:r>
      <w:r>
        <w:rPr>
          <w:rFonts w:ascii="Times New Roman" w:hAnsi="Times New Roman" w:cs="Times New Roman"/>
          <w:sz w:val="22"/>
          <w:sz-cs w:val="22"/>
          <w:spacing w:val="10"/>
        </w:rPr>
        <w:t xml:space="preserve">אחזור ואדגיש, כל עוד לא שונה החוק, מחויבים כל שופטי בית-המשפט לתעבורה בירושלים שלא לסטות מעונש המינימום כדבר שבשגרה</w:t>
      </w:r>
      <w:r>
        <w:rPr>
          <w:rFonts w:ascii="Arial" w:hAnsi="Arial" w:cs="Arial"/>
          <w:sz w:val="22"/>
          <w:sz-cs w:val="22"/>
          <w:spacing w:val="10"/>
        </w:rPr>
        <w:t xml:space="preserve">" [ההדגשות שלי – א.ש.]. </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לגופם של דברים, קבע בית-המשפט המחוזי, כי חרף טענות המבקשת, ולמרות הנאמר בגזר דינו של בית-המשפט לתעבורה, הרי, שככלל, בתי-המשפט לתעבורה כמו גם בתי-המשפט המחוזיים, מקפידים על הטלת עונשי המינימום הקבועים </w:t>
      </w:r>
      <w:r>
        <w:rPr>
          <w:rFonts w:ascii="Times" w:hAnsi="Times" w:cs="Times"/>
          <w:sz w:val="24"/>
          <w:sz-cs w:val="24"/>
          <w:u w:val="single"/>
          <w:spacing w:val="10"/>
          <w:color w:val="0000FF"/>
        </w:rPr>
        <w:t xml:space="preserve"> HYPERLINK "http://www.nevo.co.il/law/5227/39a" בסעיף 39א</w:t>
      </w:r>
      <w:r>
        <w:rPr>
          <w:rFonts w:ascii="Times" w:hAnsi="Times" w:cs="Times"/>
          <w:sz w:val="24"/>
          <w:sz-cs w:val="24"/>
          <w:spacing w:val="10"/>
        </w:rPr>
        <w:t xml:space="preserve"> לפקודה. פסיקות אלה, כך נקבע, קיבלו אף חיזוק ואשרור במספר החלטות של בית-משפט זה.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על-יסוד האמור לעיל, קיבל בית-המשפט המחוזי את ערעורה של המשיבה, והשית על המבקשת עונש של 24 חודשי פסילת רישיון נהיגה בפועל, כקבוע </w:t>
      </w:r>
      <w:r>
        <w:rPr>
          <w:rFonts w:ascii="Times" w:hAnsi="Times" w:cs="Times"/>
          <w:sz w:val="24"/>
          <w:sz-cs w:val="24"/>
          <w:u w:val="single"/>
          <w:spacing w:val="10"/>
          <w:color w:val="0000FF"/>
        </w:rPr>
        <w:t xml:space="preserve"> HYPERLINK "http://www.nevo.co.il/law/5227/39a" בסעיף 39א</w:t>
      </w:r>
      <w:r>
        <w:rPr>
          <w:rFonts w:ascii="Times" w:hAnsi="Times" w:cs="Times"/>
          <w:sz w:val="24"/>
          <w:sz-cs w:val="24"/>
          <w:spacing w:val="10"/>
        </w:rPr>
        <w:t xml:space="preserve"> לפקודה. בנוסף, הורה בית-המשפט, על ביטול צו השל"צ, אשר הושת על המבקשת. יתר רכיבי גזר דינו של בית-המשפט לתעבורה נותרו על כנם.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הבקשה</w:t>
      </w:r>
    </w:p>
    <w:p>
      <w:pPr>
        <w:jc w:val="both"/>
        <w:bidi/>
      </w:pPr>
      <w:r>
        <w:rPr>
          <w:rFonts w:ascii="Times New Roman" w:hAnsi="Times New Roman" w:cs="Times New Roman"/>
          <w:sz w:val="28"/>
          <w:sz-cs w:val="28"/>
        </w:rPr>
        <w:t xml:space="preserve"/>
      </w:r>
    </w:p>
    <w:p>
      <w:pPr>
        <w:jc w:val="both"/>
        <w:bidi/>
      </w:pPr>
      <w:r>
        <w:rPr>
          <w:rFonts w:ascii="Times" w:hAnsi="Times" w:cs="Times"/>
          <w:sz w:val="24"/>
          <w:sz-cs w:val="24"/>
          <w:spacing w:val="10"/>
        </w:rPr>
        <w:t xml:space="preserve">ביום 21.4.2013, הגישה המבקשת בקשת רשות ערעור על פסק דינו של בית-המשפט המחוזי, אשר במסגרתה נטען, כי המקרה הנדון מעורר סוגיה עקרונית החורגת מעניינם של הצדדים לבקשה, ומשכך קמה עילה למתן רשות ערעור בפני בית-משפט זה. עיקר טיעוניה של המבקשת נסבים סביב הוראת </w:t>
      </w:r>
      <w:r>
        <w:rPr>
          <w:rFonts w:ascii="Times" w:hAnsi="Times" w:cs="Times"/>
          <w:sz w:val="24"/>
          <w:sz-cs w:val="24"/>
          <w:u w:val="single"/>
          <w:spacing w:val="10"/>
          <w:color w:val="0000FF"/>
        </w:rPr>
        <w:t xml:space="preserve"> HYPERLINK "http://www.nevo.co.il/law/5227/39a" סעיף 39א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ואופן יישומו בערכאות השונות בישראל. כך, בין היתר, נטען כי על בית-משפט זה ליתן דעתו למנעד רחב של שיקולים ונושאים, בכל הנוגע לאפשרות הסטייה מעונש המינימום הקבוע ב</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כאשר עונש מינימום זה מגביל, מעצם הגדרתו, את מרחב שיקול הדעת השיפוטי, וסותר, לכאורה, את הוראות 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8"/>
          <w:sz-cs w:val="28"/>
        </w:rPr>
        <w:t xml:space="preserve"/>
      </w:r>
    </w:p>
    <w:p>
      <w:pPr>
        <w:jc w:val="both"/>
        <w:bidi/>
      </w:pPr>
      <w:r>
        <w:rPr>
          <w:rFonts w:ascii="Times" w:hAnsi="Times" w:cs="Times"/>
          <w:sz w:val="24"/>
          <w:sz-cs w:val="24"/>
          <w:spacing w:val="10"/>
        </w:rPr>
        <w:t xml:space="preserve">למקרא האמור בבקשת רשות הערעור, כמו גם בחומר הנלווה לה, נחה דעתי, כי עניינה של המבקשת איננו מקים עילה למתן רשות ערעור, בפני בית-משפט זה, וזאת מן הטעמים שיפורטו להלן.</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הלכה מושרשת היא בשיטת משפטנו, כי לא על נקלה תתקבל בקשת רשות ערעור בפני בית-משפט זה, היות שזו שמורה אך לאותם מקרים ייחודים המגלים שאלה משפטית או סוגיה ציבורית, החורגת מעניינם של הצדדים לה (ראו, מבין רבים אחרים, </w:t>
      </w:r>
      <w:r>
        <w:rPr>
          <w:rFonts w:ascii="Arial" w:hAnsi="Arial" w:cs="Arial"/>
          <w:sz w:val="22"/>
          <w:sz-cs w:val="22"/>
          <w:u w:val="single"/>
          <w:spacing w:val="10"/>
          <w:color w:val="0000FF"/>
        </w:rPr>
        <w:t xml:space="preserve">HYPERLINK "http://www.nevo.co.il/case/6887384"רע"פ 2638/13</w:t>
      </w:r>
      <w:r>
        <w:rPr>
          <w:rFonts w:ascii="Arial" w:hAnsi="Arial" w:cs="Arial"/>
          <w:sz w:val="22"/>
          <w:sz-cs w:val="22"/>
          <w:spacing w:val="10"/>
        </w:rPr>
        <w:t xml:space="preserve"> </w:t>
      </w:r>
      <w:r>
        <w:rPr>
          <w:rFonts w:ascii="Times New Roman" w:hAnsi="Times New Roman" w:cs="Times New Roman"/>
          <w:sz w:val="28"/>
          <w:sz-cs w:val="28"/>
        </w:rPr>
        <w:t xml:space="preserve">עובדיה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(28.4.2013); </w:t>
      </w:r>
      <w:r>
        <w:rPr>
          <w:rFonts w:ascii="Arial" w:hAnsi="Arial" w:cs="Arial"/>
          <w:sz w:val="22"/>
          <w:sz-cs w:val="22"/>
          <w:u w:val="single"/>
          <w:spacing w:val="10"/>
          <w:color w:val="0000FF"/>
        </w:rPr>
        <w:t xml:space="preserve">HYPERLINK "http://www.nevo.co.il/case/5147208"רע"פ 654/13</w:t>
      </w:r>
      <w:r>
        <w:rPr>
          <w:rFonts w:ascii="Arial" w:hAnsi="Arial" w:cs="Arial"/>
          <w:sz w:val="22"/>
          <w:sz-cs w:val="22"/>
          <w:spacing w:val="10"/>
        </w:rPr>
        <w:t xml:space="preserve"> </w:t>
      </w:r>
      <w:r>
        <w:rPr>
          <w:rFonts w:ascii="Times New Roman" w:hAnsi="Times New Roman" w:cs="Times New Roman"/>
          <w:sz w:val="28"/>
          <w:sz-cs w:val="28"/>
        </w:rPr>
        <w:t xml:space="preserve">אבו בכר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(26.2.2013); </w:t>
      </w:r>
      <w:r>
        <w:rPr>
          <w:rFonts w:ascii="Arial" w:hAnsi="Arial" w:cs="Arial"/>
          <w:sz w:val="22"/>
          <w:sz-cs w:val="22"/>
          <w:u w:val="single"/>
          <w:spacing w:val="10"/>
          <w:color w:val="0000FF"/>
        </w:rPr>
        <w:t xml:space="preserve">HYPERLINK "http://www.nevo.co.il/case/6835329"רע"פ 1973/13</w:t>
      </w:r>
      <w:r>
        <w:rPr>
          <w:rFonts w:ascii="Arial" w:hAnsi="Arial" w:cs="Arial"/>
          <w:sz w:val="22"/>
          <w:sz-cs w:val="22"/>
          <w:spacing w:val="10"/>
        </w:rPr>
        <w:t xml:space="preserve"> </w:t>
      </w:r>
      <w:r>
        <w:rPr>
          <w:rFonts w:ascii="Times New Roman" w:hAnsi="Times New Roman" w:cs="Times New Roman"/>
          <w:sz w:val="28"/>
          <w:sz-cs w:val="28"/>
        </w:rPr>
        <w:t xml:space="preserve">חסן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(24.3.2013)). לאחר עיון מדוקדק בבקשת רשות הערעור המונחת לפניי, כמו גם בצרופותיה, ולאחר זיקוק הטענות המועלות בה, דומני, כי חרף הניסיון לשוות לעניין הנדון </w:t>
      </w:r>
      <w:r>
        <w:rPr>
          <w:rFonts w:ascii="Times New Roman" w:hAnsi="Times New Roman" w:cs="Times New Roman"/>
          <w:sz w:val="22"/>
          <w:sz-cs w:val="22"/>
          <w:spacing w:val="10"/>
        </w:rPr>
        <w:t xml:space="preserve">אופי </w:t>
      </w:r>
      <w:r>
        <w:rPr>
          <w:rFonts w:ascii="Arial" w:hAnsi="Arial" w:cs="Arial"/>
          <w:sz w:val="22"/>
          <w:sz-cs w:val="22"/>
          <w:spacing w:val="10"/>
        </w:rPr>
        <w:t xml:space="preserve"> עקרוני, החורג מעניינם של הצדדים לבקשה, הרי שעיקרן של הטענות המועלות בבקשה, נוגע לעניינה הפרטי של המבקשת, ולניסיונותיו של בא-כוחה לחזור ולהציג בפני בית-משפט זה את אותן השאלות שנדונו והוכרעו בערכאת הערעור. מטעם זה בלבד, דין הבקשה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עיון בבקשת רשות הערעור מגלה, כי בא-כוח המבקשת השתית את בקשת רשות הערעור על אותם עיקרי טיעון כפי הוגשו לבית-משפט שלערעור. משכך, דומני, </w:t>
      </w:r>
      <w:r>
        <w:rPr>
          <w:rFonts w:ascii="Times" w:hAnsi="Times" w:cs="Times"/>
          <w:sz w:val="24"/>
          <w:sz-cs w:val="24"/>
          <w:spacing w:val="10"/>
        </w:rPr>
        <w:t xml:space="preserve">כי לא זו בלבד, שהבקשה שלפניי אינה מעלה כל שאלה משפטית הראויה להידון במסגרת דיון ב"</w:t>
      </w:r>
      <w:r>
        <w:rPr>
          <w:rFonts w:ascii="Times New Roman" w:hAnsi="Times New Roman" w:cs="Times New Roman"/>
          <w:sz w:val="28"/>
          <w:sz-cs w:val="28"/>
        </w:rPr>
        <w:t xml:space="preserve">גלגול שלישי</w:t>
      </w:r>
      <w:r>
        <w:rPr>
          <w:rFonts w:ascii="Times" w:hAnsi="Times" w:cs="Times"/>
          <w:sz w:val="24"/>
          <w:sz-cs w:val="24"/>
          <w:spacing w:val="10"/>
        </w:rPr>
        <w:t xml:space="preserve">", אלא שהגשת אותן טענות בשנית, מלמדת, הלכה למעשה, כי מדובר, בניסיון לבצע "</w:t>
      </w:r>
      <w:r>
        <w:rPr>
          <w:rFonts w:ascii="Times New Roman" w:hAnsi="Times New Roman" w:cs="Times New Roman"/>
          <w:sz w:val="28"/>
          <w:sz-cs w:val="28"/>
        </w:rPr>
        <w:t xml:space="preserve">מקצה שיפורים</w:t>
      </w:r>
      <w:r>
        <w:rPr>
          <w:rFonts w:ascii="Times" w:hAnsi="Times" w:cs="Times"/>
          <w:sz w:val="24"/>
          <w:sz-cs w:val="24"/>
          <w:spacing w:val="10"/>
        </w:rPr>
        <w:t xml:space="preserve">",  במסגרת הליך נוסף של ערעור. זאת, כפי שקבעתי, לא אחת, אין בידי לאפשר (ראו, </w:t>
      </w:r>
      <w:r>
        <w:rPr>
          <w:rFonts w:ascii="Times" w:hAnsi="Times" w:cs="Times"/>
          <w:sz w:val="24"/>
          <w:sz-cs w:val="24"/>
          <w:u w:val="single"/>
          <w:spacing w:val="10"/>
          <w:color w:val="0000FF"/>
        </w:rPr>
        <w:t xml:space="preserve">HYPERLINK "http://www.nevo.co.il/case/6248808"רע"פ 898/13</w:t>
      </w:r>
      <w:r>
        <w:rPr>
          <w:rFonts w:ascii="Times" w:hAnsi="Times" w:cs="Times"/>
          <w:sz w:val="24"/>
          <w:sz-cs w:val="24"/>
          <w:spacing w:val="10"/>
        </w:rPr>
        <w:t xml:space="preserve"> </w:t>
      </w:r>
      <w:r>
        <w:rPr>
          <w:rFonts w:ascii="Times New Roman" w:hAnsi="Times New Roman" w:cs="Times New Roman"/>
          <w:sz w:val="28"/>
          <w:sz-cs w:val="28"/>
        </w:rPr>
        <w:t xml:space="preserve">וייס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(10.2.2013); </w:t>
      </w:r>
      <w:r>
        <w:rPr>
          <w:rFonts w:ascii="Times" w:hAnsi="Times" w:cs="Times"/>
          <w:sz w:val="24"/>
          <w:sz-cs w:val="24"/>
          <w:u w:val="single"/>
          <w:spacing w:val="10"/>
          <w:color w:val="0000FF"/>
        </w:rPr>
        <w:t xml:space="preserve">HYPERLINK "http://www.nevo.co.il/case/5569382"רע"פ 575/13</w:t>
      </w:r>
      <w:r>
        <w:rPr>
          <w:rFonts w:ascii="Times" w:hAnsi="Times" w:cs="Times"/>
          <w:sz w:val="24"/>
          <w:sz-cs w:val="24"/>
          <w:spacing w:val="10"/>
        </w:rPr>
        <w:t xml:space="preserve"> </w:t>
      </w:r>
      <w:r>
        <w:rPr>
          <w:rFonts w:ascii="Times New Roman" w:hAnsi="Times New Roman" w:cs="Times New Roman"/>
          <w:sz w:val="28"/>
          <w:sz-cs w:val="28"/>
        </w:rPr>
        <w:t xml:space="preserve">סייגבקר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(24.1.2013)).</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עוד אציין, כי עיקרה של הבקשה שלפניי, נסוב סביב חומרת העונש, אשר נגזר על המבקשת, בבית-המשפט המחוזי, במסגרת ערעורה של המשיבה. בית-משפט זה פסק, לא אחת, כי טענות בדבר חומרת העונש אינן מהוות, כשלעצמן, עילה למתן רשות ערעור, פרט למקרים המגלים סטייה ניכרת מרף הענישה המקובל והראוי בעבירות דומות. זו ההלכה גם במקרים שבהם החמירה ערכאת הערעור בעונשו של נאשם (ראו, </w:t>
      </w:r>
      <w:r>
        <w:rPr>
          <w:rFonts w:ascii="Times" w:hAnsi="Times" w:cs="Times"/>
          <w:sz w:val="24"/>
          <w:sz-cs w:val="24"/>
          <w:u w:val="single"/>
          <w:spacing w:val="10"/>
          <w:color w:val="0000FF"/>
        </w:rPr>
        <w:t xml:space="preserve">HYPERLINK "http://www.nevo.co.il/case/6244838"רע"פ 330/13</w:t>
      </w:r>
      <w:r>
        <w:rPr>
          <w:rFonts w:ascii="Times" w:hAnsi="Times" w:cs="Times"/>
          <w:sz w:val="24"/>
          <w:sz-cs w:val="24"/>
          <w:spacing w:val="10"/>
        </w:rPr>
        <w:t xml:space="preserve"> </w:t>
      </w:r>
      <w:r>
        <w:rPr>
          <w:rFonts w:ascii="Times New Roman" w:hAnsi="Times New Roman" w:cs="Times New Roman"/>
          <w:sz w:val="28"/>
          <w:sz-cs w:val="28"/>
        </w:rPr>
        <w:t xml:space="preserve">פלוני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 21.1.2013); </w:t>
      </w:r>
      <w:r>
        <w:rPr>
          <w:rFonts w:ascii="Times" w:hAnsi="Times" w:cs="Times"/>
          <w:sz w:val="24"/>
          <w:sz-cs w:val="24"/>
          <w:u w:val="single"/>
          <w:spacing w:val="10"/>
          <w:color w:val="0000FF"/>
        </w:rPr>
        <w:t xml:space="preserve">HYPERLINK "http://www.nevo.co.il/case/5774454"רע"פ 1514/08</w:t>
      </w:r>
      <w:r>
        <w:rPr>
          <w:rFonts w:ascii="Times" w:hAnsi="Times" w:cs="Times"/>
          <w:sz w:val="24"/>
          <w:sz-cs w:val="24"/>
          <w:spacing w:val="10"/>
        </w:rPr>
        <w:t xml:space="preserve"> </w:t>
      </w:r>
      <w:r>
        <w:rPr>
          <w:rFonts w:ascii="Times New Roman" w:hAnsi="Times New Roman" w:cs="Times New Roman"/>
          <w:sz w:val="28"/>
          <w:sz-cs w:val="28"/>
        </w:rPr>
        <w:t xml:space="preserve">שנהב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(21.07.2008)). תנאים אלו אינם מתקיימים בעניינה של המבקשת.</w:t>
      </w:r>
    </w:p>
    <w:p>
      <w:pPr>
        <w:jc w:val="both"/>
        <w:bidi/>
      </w:pPr>
      <w:r>
        <w:rPr>
          <w:rFonts w:ascii="Arial" w:hAnsi="Arial" w:cs="Arial"/>
          <w:sz w:val="22"/>
          <w:sz-cs w:val="22"/>
        </w:rPr>
        <w:t xml:space="preserve"/>
      </w:r>
    </w:p>
    <w:p>
      <w:pPr>
        <w:jc w:val="both"/>
        <w:bidi/>
      </w:pPr>
      <w:r>
        <w:rPr>
          <w:rFonts w:ascii="Times New Roman" w:hAnsi="Times New Roman" w:cs="Times New Roman"/>
          <w:sz w:val="22"/>
          <w:sz-cs w:val="22"/>
          <w:spacing w:val="10"/>
        </w:rPr>
        <w:t xml:space="preserve"/>
        <w:tab/>
        <w:t xml:space="preserve">לגופו של עניין, מן הראוי לחזור על דברים שנאמרו על-ידי לא אחת, כי נהיגה בשכרות הינה אחת מן הסיבות המרכזיות לגרימתן של תאונות דרכים, דבר המסכן את שלום הציבור ופוגע בביטחונו. אשר על כן, מדיניות הענישה בעבירות אלה, מחייבת את בית-המשפט לנהוג ביד קשה בנהגים שיכורים</w:t>
      </w:r>
      <w:r>
        <w:rPr>
          <w:rFonts w:ascii="Times New Roman" w:hAnsi="Times New Roman" w:cs="Times New Roman"/>
          <w:sz w:val="24"/>
          <w:sz-cs w:val="24"/>
        </w:rPr>
        <w:t xml:space="preserve"> - </w:t>
      </w:r>
      <w:r>
        <w:rPr>
          <w:rFonts w:ascii="Times New Roman" w:hAnsi="Times New Roman" w:cs="Times New Roman"/>
          <w:sz w:val="22"/>
          <w:sz-cs w:val="22"/>
          <w:spacing w:val="10"/>
        </w:rPr>
        <w:t xml:space="preserve">תהא רמת האלכוהול בדמם, אשר תהא</w:t>
      </w:r>
      <w:r>
        <w:rPr>
          <w:rFonts w:ascii="Times New Roman" w:hAnsi="Times New Roman" w:cs="Times New Roman"/>
          <w:sz w:val="24"/>
          <w:sz-cs w:val="24"/>
        </w:rPr>
        <w:t xml:space="preserve"> (</w:t>
      </w:r>
      <w:r>
        <w:rPr>
          <w:rFonts w:ascii="Times New Roman" w:hAnsi="Times New Roman" w:cs="Times New Roman"/>
          <w:sz w:val="22"/>
          <w:sz-cs w:val="22"/>
          <w:spacing w:val="10"/>
        </w:rPr>
        <w:t xml:space="preserve">ראו, לעניין זה, </w:t>
      </w:r>
      <w:r>
        <w:rPr>
          <w:rFonts w:ascii="Times New Roman" w:hAnsi="Times New Roman" w:cs="Times New Roman"/>
          <w:sz w:val="22"/>
          <w:sz-cs w:val="22"/>
          <w:u w:val="single"/>
          <w:spacing w:val="10"/>
          <w:color w:val="0000FF"/>
        </w:rPr>
        <w:t xml:space="preserve">HYPERLINK "http://www.nevo.co.il/case/5569501"רע"פ 861/13</w:t>
      </w:r>
      <w:r>
        <w:rPr>
          <w:rFonts w:ascii="Times New Roman" w:hAnsi="Times New Roman" w:cs="Times New Roman"/>
          <w:sz w:val="24"/>
          <w:sz-cs w:val="24"/>
        </w:rPr>
        <w:t xml:space="preserve"> </w:t>
      </w:r>
      <w:r>
        <w:rPr>
          <w:rFonts w:ascii="Times New Roman" w:hAnsi="Times New Roman" w:cs="Times New Roman"/>
          <w:sz w:val="28"/>
          <w:sz-cs w:val="28"/>
        </w:rPr>
        <w:t xml:space="preserve">פנאדקה נ' מדינת ישראל</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(6.2.2013); </w:t>
      </w:r>
      <w:r>
        <w:rPr>
          <w:rFonts w:ascii="Times New Roman" w:hAnsi="Times New Roman" w:cs="Times New Roman"/>
          <w:sz w:val="22"/>
          <w:sz-cs w:val="22"/>
          <w:u w:val="single"/>
          <w:spacing w:val="10"/>
          <w:color w:val="0000FF"/>
        </w:rPr>
        <w:t xml:space="preserve">HYPERLINK "http://www.nevo.co.il/case/5890024"רע"פ 3343/04</w:t>
      </w:r>
      <w:r>
        <w:rPr>
          <w:rFonts w:ascii="Times New Roman" w:hAnsi="Times New Roman" w:cs="Times New Roman"/>
          <w:sz w:val="24"/>
          <w:sz-cs w:val="24"/>
        </w:rPr>
        <w:t xml:space="preserve"> </w:t>
      </w:r>
      <w:r>
        <w:rPr>
          <w:rFonts w:ascii="Times New Roman" w:hAnsi="Times New Roman" w:cs="Times New Roman"/>
          <w:sz w:val="28"/>
          <w:sz-cs w:val="28"/>
        </w:rPr>
        <w:t xml:space="preserve">נפתז'י נ' מדינת ישראל</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(16.5.2004)). אשר על כן, לא בכדי בחר המחוקק להגביל את שיקול דעתו של בית-המשפט, בקובעו </w:t>
      </w:r>
      <w:r>
        <w:rPr>
          <w:rFonts w:ascii="Times New Roman" w:hAnsi="Times New Roman" w:cs="Times New Roman"/>
          <w:sz w:val="22"/>
          <w:sz-cs w:val="22"/>
          <w:u w:val="single"/>
          <w:spacing w:val="10"/>
          <w:color w:val="0000FF"/>
        </w:rPr>
        <w:t xml:space="preserve"> HYPERLINK "http://www.nevo.co.il/law/5227/39a" בסעיף 39א</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"http://www.nevo.co.il/law/5227" פקודת התעבורה</w:t>
      </w:r>
      <w:r>
        <w:rPr>
          <w:rFonts w:ascii="Times New Roman" w:hAnsi="Times New Roman" w:cs="Times New Roman"/>
          <w:sz w:val="22"/>
          <w:sz-cs w:val="22"/>
          <w:spacing w:val="10"/>
        </w:rPr>
        <w:t xml:space="preserve"> עונש פסילה מינימלי, בגין הרשעה בעבירה של נהיגה בשכרות.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r>
    </w:p>
    <w:p>
      <w:pPr>
        <w:jc w:val="both"/>
        <w:bidi/>
      </w:pPr>
      <w:r>
        <w:rPr>
          <w:rFonts w:ascii="Times" w:hAnsi="Times" w:cs="Times"/>
          <w:sz w:val="24"/>
          <w:sz-cs w:val="24"/>
          <w:spacing w:val="10"/>
        </w:rPr>
        <w:t xml:space="preserve">עוד אציין, כי לדידי, אין כל יסוד לטענת בא-כוח המבקשת בדבר קיומה של סתירה, לכאורה, בין הוראת </w:t>
      </w:r>
      <w:r>
        <w:rPr>
          <w:rFonts w:ascii="Times" w:hAnsi="Times" w:cs="Times"/>
          <w:sz w:val="24"/>
          <w:sz-cs w:val="24"/>
          <w:u w:val="single"/>
          <w:spacing w:val="10"/>
          <w:color w:val="0000FF"/>
        </w:rPr>
        <w:t xml:space="preserve"> HYPERLINK "http://www.nevo.co.il/law/5227/39a" סעיף 39א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לבין 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הגם שהמחוקק בחר להגביל את שיקול דעתו של בית-המשפט, בקובעו עונש פסילה מינימלי, הרי שהגבלת שיקול הדעת אינה מוחלטת ובהתקיים "</w:t>
      </w:r>
      <w:r>
        <w:rPr>
          <w:rFonts w:ascii="Times New Roman" w:hAnsi="Times New Roman" w:cs="Times New Roman"/>
          <w:sz w:val="28"/>
          <w:sz-cs w:val="28"/>
        </w:rPr>
        <w:t xml:space="preserve">נסיבות מיוחדות</w:t>
      </w:r>
      <w:r>
        <w:rPr>
          <w:rFonts w:ascii="Times" w:hAnsi="Times" w:cs="Times"/>
          <w:sz w:val="24"/>
          <w:sz-cs w:val="24"/>
          <w:spacing w:val="10"/>
        </w:rPr>
        <w:t xml:space="preserve">", מתאפשרת סטייה, לקולא, מעונש המינימום אותו קבע המחוקק, כאמור. </w:t>
      </w:r>
      <w:r>
        <w:rPr>
          <w:rFonts w:ascii="Times New Roman" w:hAnsi="Times New Roman" w:cs="Times New Roman"/>
          <w:sz w:val="22"/>
          <w:sz-cs w:val="22"/>
        </w:rPr>
        <w:t xml:space="preserve">עם זאת, ו</w:t>
      </w:r>
      <w:r>
        <w:rPr>
          <w:rFonts w:ascii="Times" w:hAnsi="Times" w:cs="Times"/>
          <w:sz w:val="24"/>
          <w:sz-cs w:val="24"/>
          <w:spacing w:val="10"/>
        </w:rPr>
        <w:t xml:space="preserve">כפי שקבע השופט </w:t>
      </w:r>
      <w:r>
        <w:rPr>
          <w:rFonts w:ascii="Times New Roman" w:hAnsi="Times New Roman" w:cs="Times New Roman"/>
          <w:sz w:val="28"/>
          <w:sz-cs w:val="28"/>
        </w:rPr>
        <w:t xml:space="preserve">א' רובינשטיין</w:t>
      </w:r>
      <w:r>
        <w:rPr>
          <w:rFonts w:ascii="Times" w:hAnsi="Times" w:cs="Times"/>
          <w:sz w:val="24"/>
          <w:sz-cs w:val="24"/>
          <w:spacing w:val="10"/>
        </w:rPr>
        <w:t xml:space="preserve"> ב</w:t>
      </w:r>
      <w:r>
        <w:rPr>
          <w:rFonts w:ascii="Times" w:hAnsi="Times" w:cs="Times"/>
          <w:sz w:val="24"/>
          <w:sz-cs w:val="24"/>
          <w:u w:val="single"/>
          <w:spacing w:val="10"/>
          <w:color w:val="0000FF"/>
        </w:rPr>
        <w:t xml:space="preserve">HYPERLINK "http://www.nevo.co.il/case/5594599"רע"פ 6443/12</w:t>
      </w:r>
      <w:r>
        <w:rPr>
          <w:rFonts w:ascii="Times" w:hAnsi="Times" w:cs="Times"/>
          <w:sz w:val="24"/>
          <w:sz-cs w:val="24"/>
          <w:spacing w:val="10"/>
        </w:rPr>
        <w:t xml:space="preserve"> </w:t>
      </w:r>
      <w:r>
        <w:rPr>
          <w:rFonts w:ascii="Times New Roman" w:hAnsi="Times New Roman" w:cs="Times New Roman"/>
          <w:sz w:val="28"/>
          <w:sz-cs w:val="28"/>
        </w:rPr>
        <w:t xml:space="preserve">לידסקי נ' מדינת ישראל</w:t>
      </w:r>
      <w:r>
        <w:rPr>
          <w:rFonts w:ascii="Times" w:hAnsi="Times" w:cs="Times"/>
          <w:sz w:val="24"/>
          <w:sz-cs w:val="24"/>
          <w:spacing w:val="10"/>
        </w:rPr>
        <w:t xml:space="preserve">, פסקה ו' </w:t>
      </w:r>
      <w:r>
        <w:rPr>
          <w:rFonts w:ascii="Times New Roman" w:hAnsi="Times New Roman" w:cs="Times New Roman"/>
          <w:sz w:val="22"/>
          <w:sz-cs w:val="22"/>
        </w:rPr>
        <w:t xml:space="preserve">[פורסם בנבו] </w:t>
      </w:r>
      <w:r>
        <w:rPr>
          <w:rFonts w:ascii="Times" w:hAnsi="Times" w:cs="Times"/>
          <w:sz w:val="24"/>
          <w:sz-cs w:val="24"/>
          <w:spacing w:val="10"/>
        </w:rPr>
        <w:t xml:space="preserve">(9.9.2012), הרי שאותן "</w:t>
      </w:r>
      <w:r>
        <w:rPr>
          <w:rFonts w:ascii="Times New Roman" w:hAnsi="Times New Roman" w:cs="Times New Roman"/>
          <w:sz w:val="28"/>
          <w:sz-cs w:val="28"/>
        </w:rPr>
        <w:t xml:space="preserve">נסיבות מיוחדות</w:t>
      </w:r>
      <w:r>
        <w:rPr>
          <w:rFonts w:ascii="Times" w:hAnsi="Times" w:cs="Times"/>
          <w:sz w:val="24"/>
          <w:sz-cs w:val="24"/>
          <w:spacing w:val="10"/>
        </w:rPr>
        <w:t xml:space="preserve">" אין משמען ניהולם של חיים נורמטיביים גרידא, דבר המצופה מכל אדם ואדם, אלא שנדרש דבר מה מעבר לכך. לפיכך, אין בידי לקבל את עמדתה של הערכאה הדיונית, אשר מצאה לסטות מרף הענישה המינימלי, אותו הכתיב המחוקק </w:t>
      </w:r>
      <w:r>
        <w:rPr>
          <w:rFonts w:ascii="Times" w:hAnsi="Times" w:cs="Times"/>
          <w:sz w:val="24"/>
          <w:sz-cs w:val="24"/>
          <w:u w:val="single"/>
          <w:spacing w:val="10"/>
          <w:color w:val="0000FF"/>
        </w:rPr>
        <w:t xml:space="preserve"> HYPERLINK "http://www.nevo.co.il/law/5227/39a" בסעיף 39א</w:t>
      </w:r>
      <w:r>
        <w:rPr>
          <w:rFonts w:ascii="Times" w:hAnsi="Times" w:cs="Times"/>
          <w:sz w:val="24"/>
          <w:sz-cs w:val="24"/>
          <w:spacing w:val="10"/>
        </w:rPr>
        <w:t xml:space="preserve"> לפקודה, בקובעה, כי המבקשת "</w:t>
      </w:r>
      <w:r>
        <w:rPr>
          <w:rFonts w:ascii="Times New Roman" w:hAnsi="Times New Roman" w:cs="Times New Roman"/>
          <w:sz w:val="28"/>
          <w:sz-cs w:val="28"/>
        </w:rPr>
        <w:t xml:space="preserve">מנהלת אורח חיים תקין ונורמטיבי".</w:t>
      </w:r>
      <w:r>
        <w:rPr>
          <w:rFonts w:ascii="Times" w:hAnsi="Times" w:cs="Times"/>
          <w:sz w:val="24"/>
          <w:sz-cs w:val="24"/>
          <w:spacing w:val="10"/>
        </w:rPr>
        <w:t xml:space="preserve"> קביעה זו סותרת, כאמור, את פסיקתו של בית-משפט זה וחוטאת לכוונתו הברורה של המחוקק, כפי שזו משתקפת מהוראת </w:t>
      </w:r>
      <w:r>
        <w:rPr>
          <w:rFonts w:ascii="Times" w:hAnsi="Times" w:cs="Times"/>
          <w:sz w:val="24"/>
          <w:sz-cs w:val="24"/>
          <w:u w:val="single"/>
          <w:spacing w:val="10"/>
          <w:color w:val="0000FF"/>
        </w:rPr>
        <w:t xml:space="preserve"> HYPERLINK "http://www.nevo.co.il/law/5227/39a" סעיף 39א</w:t>
      </w:r>
      <w:r>
        <w:rPr>
          <w:rFonts w:ascii="Times" w:hAnsi="Times" w:cs="Times"/>
          <w:sz w:val="24"/>
          <w:sz-cs w:val="24"/>
          <w:spacing w:val="10"/>
        </w:rPr>
        <w:t xml:space="preserve"> לפקודה. לפיכך, בדין קיבלה ערכאת הערעור את טענותיה של המשיבה והחמירה בעונשה של המבקשת, כמפורט לעיל.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לסיום אדגיש, כי דברים אלה מקבלים משנה תוקף לנוכח העובדה, כי תיקון 106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אשר נכנס לתוקפו ב-1.1.2012, שונה מהנוסח הנזכר בתזכיר הצעת החוק (אליו הפנה כב' השופט </w:t>
      </w:r>
      <w:r>
        <w:rPr>
          <w:rFonts w:ascii="Times New Roman" w:hAnsi="Times New Roman" w:cs="Times New Roman"/>
          <w:sz w:val="28"/>
          <w:sz-cs w:val="28"/>
        </w:rPr>
        <w:t xml:space="preserve">א' טננבוים</w:t>
      </w:r>
      <w:r>
        <w:rPr>
          <w:rFonts w:ascii="Times" w:hAnsi="Times" w:cs="Times"/>
          <w:sz w:val="24"/>
          <w:sz-cs w:val="24"/>
          <w:spacing w:val="10"/>
        </w:rPr>
        <w:t xml:space="preserve"> בבית-המשפט לתעבורה), והוא אינו כולל כל הוראה או התייחסות לעונשי המינימום הקבועים בפקודה (ראו, </w:t>
      </w:r>
      <w:r>
        <w:rPr>
          <w:rFonts w:ascii="Times New Roman" w:hAnsi="Times New Roman" w:cs="Times New Roman"/>
          <w:sz w:val="28"/>
          <w:sz-cs w:val="28"/>
        </w:rPr>
        <w:t xml:space="preserve">חוק לתיקון פקודת התעבורה</w:t>
      </w:r>
      <w:r>
        <w:rPr>
          <w:rFonts w:ascii="Times" w:hAnsi="Times" w:cs="Times"/>
          <w:sz w:val="24"/>
          <w:sz-cs w:val="24"/>
          <w:spacing w:val="10"/>
        </w:rPr>
        <w:t xml:space="preserve"> (מס' 106), התשע"ב-2012, ס"ח 2363). מכך ניתן להסיק, כי המחוקק נתן דעתו לאפשרות של קביעת עונשי מינימום דיפרנציאליים, בהינתן רמות אלכוהול שונות בגופם של נהגים המורשעים בעבירה של נהיגה בשכרות, אך פסל אפשרות זו. אשר על כן, דין הבקשה להידחות, אף לגופה.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סיכומם של דברים, משלא מצאתי כי קיימת הצדקה לדון בעניינה של המבקשת במסגרתו של הליך שיפוטי נוסף, הנני דוחה את  הבקשה למתן רשות 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‏י"ט באייר התשע"ג (‏29.4.2013).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שהם 54678313-2829/13</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13028290_I01.doc   נמ</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2829/13 </w:t>
        <w:tab/>
        <w:t xml:space="preserve"> מור מוריאל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2829/13 </w:t>
        <w:tab/>
        <w:t xml:space="preserve"> מור מוריאל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2016-02-14T14:05:00Z</dcterms:created>
  <dcterms:modified>2016-02-14T14:05:00Z</dcterms:modified>
</cp:coreProperties>
</file>

<file path=docProps/meta.xml><?xml version="1.0" encoding="utf-8"?>
<meta xmlns="http://schemas.apple.com/cocoa/2006/metadata">
  <generator>CocoaOOXMLWriter/2575.7</generator>
</meta>
</file>