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73"/>
        <w:gridCol w:w="1068"/>
        <w:gridCol w:w="3679"/>
      </w:tblGrid>
      <w:tr>
        <w:trPr>
          <w:trHeight w:val="418" w:hRule="exact"/>
        </w:trPr>
        <w:tc>
          <w:tcPr>
            <w:tcW w:w="8720" w:type="dxa"/>
            <w:gridSpan w:val="3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center"/>
              <w:rPr>
                <w:rFonts w:ascii="Tahoma" w:hAnsi="Tahoma" w:cs="Tahoma"/>
                <w:b/>
                <w:bCs/>
                <w:color w:val="000080"/>
                <w:sz w:val="20"/>
                <w:szCs w:val="20"/>
              </w:rPr>
            </w:pPr>
            <w:bookmarkStart w:id="0" w:name="FirstLawyer"/>
            <w:bookmarkEnd w:id="0"/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בית המשפט המחוזי מרכז</w:t>
            </w:r>
            <w:r>
              <w:rPr>
                <w:rFonts w:cs="Tahoma" w:ascii="Tahoma" w:hAnsi="Tahoma"/>
                <w:b/>
                <w:bCs/>
                <w:color w:val="000080"/>
                <w:sz w:val="20"/>
                <w:szCs w:val="20"/>
                <w:rtl w:val="true"/>
              </w:rPr>
              <w:t>-</w:t>
            </w:r>
            <w:r>
              <w:rPr>
                <w:rFonts w:ascii="Tahoma" w:hAnsi="Tahoma" w:cs="Tahoma"/>
                <w:b/>
                <w:b/>
                <w:bCs/>
                <w:color w:val="000080"/>
                <w:sz w:val="20"/>
                <w:sz w:val="20"/>
                <w:szCs w:val="20"/>
                <w:rtl w:val="true"/>
              </w:rPr>
              <w:t>לוד</w:t>
            </w:r>
          </w:p>
        </w:tc>
      </w:tr>
      <w:tr>
        <w:trPr>
          <w:trHeight w:val="337" w:hRule="atLeast"/>
        </w:trPr>
        <w:tc>
          <w:tcPr>
            <w:tcW w:w="3973" w:type="dxa"/>
            <w:tcBorders/>
          </w:tcPr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ע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Cs/>
                <w:sz w:val="26"/>
                <w:szCs w:val="26"/>
              </w:rPr>
              <w:t>28435-02-13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אל עביד</w:t>
            </w:r>
            <w:r>
              <w:rPr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אסיר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)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נ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מ</w:t>
            </w:r>
            <w:r>
              <w:rPr>
                <w:b/>
                <w:bCs/>
                <w:sz w:val="26"/>
                <w:szCs w:val="26"/>
                <w:rtl w:val="true"/>
              </w:rPr>
              <w:t>.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לשכת תביעות מרחב שפלה 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-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פלילי</w:t>
            </w:r>
          </w:p>
          <w:p>
            <w:pPr>
              <w:pStyle w:val="Normal"/>
              <w:ind w:end="0"/>
              <w:jc w:val="start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1068" w:type="dxa"/>
            <w:tcBorders/>
          </w:tcPr>
          <w:p>
            <w:pPr>
              <w:pStyle w:val="Header"/>
              <w:snapToGrid w:val="false"/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79" w:type="dxa"/>
            <w:tcBorders/>
          </w:tcPr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26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מאי </w:t>
            </w:r>
            <w:r>
              <w:rPr>
                <w:b/>
                <w:bCs/>
                <w:sz w:val="26"/>
                <w:szCs w:val="26"/>
              </w:rPr>
              <w:t>2013</w:t>
            </w:r>
          </w:p>
          <w:p>
            <w:pPr>
              <w:pStyle w:val="Header"/>
              <w:tabs>
                <w:tab w:val="clear" w:pos="720"/>
              </w:tabs>
              <w:ind w:end="0"/>
              <w:jc w:val="end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</w:tbl>
    <w:p>
      <w:pPr>
        <w:pStyle w:val="Header"/>
        <w:ind w:end="0"/>
        <w:jc w:val="center"/>
        <w:rPr>
          <w:rFonts w:ascii="Tahoma" w:hAnsi="Tahoma" w:cs="Tahoma"/>
          <w:b/>
          <w:bCs/>
          <w:color w:val="000080"/>
          <w:sz w:val="20"/>
          <w:szCs w:val="20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p>
      <w:pPr>
        <w:pStyle w:val="Normal"/>
        <w:ind w:end="0"/>
        <w:jc w:val="start"/>
        <w:rPr>
          <w:rStyle w:val="LineNumber"/>
          <w:rFonts w:ascii="Arial" w:hAnsi="Arial" w:cs="Arial"/>
          <w:sz w:val="6"/>
          <w:szCs w:val="6"/>
        </w:rPr>
      </w:pPr>
      <w:r>
        <w:rPr>
          <w:rFonts w:cs="Tahoma" w:ascii="Tahoma" w:hAnsi="Tahoma"/>
          <w:b/>
          <w:bCs/>
          <w:color w:val="000080"/>
          <w:sz w:val="20"/>
          <w:szCs w:val="20"/>
          <w:rtl w:val="true"/>
        </w:rPr>
      </w:r>
    </w:p>
    <w:tbl>
      <w:tblPr>
        <w:bidiVisual w:val="true"/>
        <w:tblW w:w="872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14"/>
        <w:gridCol w:w="725"/>
        <w:gridCol w:w="1062"/>
        <w:gridCol w:w="3638"/>
        <w:gridCol w:w="81"/>
      </w:tblGrid>
      <w:tr>
        <w:trPr>
          <w:trHeight w:val="337" w:hRule="atLeast"/>
        </w:trPr>
        <w:tc>
          <w:tcPr>
            <w:tcW w:w="3939" w:type="dxa"/>
            <w:gridSpan w:val="2"/>
            <w:tcBorders/>
          </w:tcPr>
          <w:p>
            <w:pPr>
              <w:pStyle w:val="Normal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לפני</w:t>
            </w:r>
            <w:r>
              <w:rPr>
                <w:b/>
                <w:bCs/>
                <w:sz w:val="26"/>
                <w:szCs w:val="26"/>
                <w:rtl w:val="true"/>
              </w:rPr>
              <w:t>:</w:t>
            </w:r>
          </w:p>
          <w:p>
            <w:pPr>
              <w:pStyle w:val="Normal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שופטת ורדה מרוז</w:t>
            </w:r>
            <w:r>
              <w:rPr>
                <w:b/>
                <w:bCs/>
                <w:sz w:val="26"/>
                <w:szCs w:val="26"/>
                <w:rtl w:val="true"/>
              </w:rPr>
              <w:t>,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אב</w:t>
            </w:r>
            <w:r>
              <w:rPr>
                <w:b/>
                <w:bCs/>
                <w:sz w:val="26"/>
                <w:szCs w:val="26"/>
                <w:rtl w:val="true"/>
              </w:rPr>
              <w:t>"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ד</w:t>
            </w:r>
          </w:p>
          <w:p>
            <w:pPr>
              <w:pStyle w:val="Normal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'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שופטת קלרה רג</w:t>
            </w:r>
            <w:r>
              <w:rPr>
                <w:b/>
                <w:bCs/>
                <w:sz w:val="26"/>
                <w:szCs w:val="26"/>
                <w:rtl w:val="true"/>
              </w:rPr>
              <w:t>'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יניאנו</w:t>
            </w:r>
          </w:p>
          <w:p>
            <w:pPr>
              <w:pStyle w:val="Normal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כב</w:t>
            </w:r>
            <w:r>
              <w:rPr>
                <w:b/>
                <w:bCs/>
                <w:sz w:val="26"/>
                <w:szCs w:val="26"/>
                <w:rtl w:val="true"/>
              </w:rPr>
              <w:t>'</w:t>
            </w:r>
            <w:r>
              <w:rPr>
                <w:b/>
                <w:bCs/>
                <w:sz w:val="26"/>
                <w:szCs w:val="26"/>
                <w:rtl w:val="true"/>
              </w:rPr>
              <w:t xml:space="preserve">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שופט </w:t>
            </w:r>
            <w:r>
              <w:rPr>
                <w:b/>
                <w:b/>
                <w:bCs/>
                <w:sz w:val="26"/>
                <w:sz w:val="26"/>
                <w:szCs w:val="26"/>
                <w:rtl w:val="true"/>
              </w:rPr>
              <w:t>אהרון מקובר</w:t>
            </w:r>
          </w:p>
        </w:tc>
        <w:tc>
          <w:tcPr>
            <w:tcW w:w="1062" w:type="dxa"/>
            <w:tcBorders/>
          </w:tcPr>
          <w:p>
            <w:pPr>
              <w:pStyle w:val="Header"/>
              <w:snapToGrid w:val="false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3638" w:type="dxa"/>
            <w:tcBorders/>
          </w:tcPr>
          <w:p>
            <w:pPr>
              <w:pStyle w:val="Header"/>
              <w:snapToGrid w:val="false"/>
              <w:ind w:end="0"/>
              <w:jc w:val="both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  <w:tc>
          <w:tcPr>
            <w:tcW w:w="81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bookmarkStart w:id="1" w:name="LastJudge"/>
            <w:bookmarkStart w:id="2" w:name="FirstAppellant"/>
            <w:bookmarkEnd w:id="1"/>
            <w:bookmarkEnd w:id="2"/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מערער</w:t>
            </w:r>
          </w:p>
        </w:tc>
        <w:tc>
          <w:tcPr>
            <w:tcW w:w="5506" w:type="dxa"/>
            <w:gridSpan w:val="4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אחמד אל עביד 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>(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אסיר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>)</w:t>
            </w:r>
          </w:p>
        </w:tc>
      </w:tr>
      <w:tr>
        <w:trPr/>
        <w:tc>
          <w:tcPr>
            <w:tcW w:w="8720" w:type="dxa"/>
            <w:gridSpan w:val="5"/>
            <w:tcBorders/>
          </w:tcPr>
          <w:p>
            <w:pPr>
              <w:pStyle w:val="Normal"/>
              <w:snapToGrid w:val="false"/>
              <w:ind w:end="0"/>
              <w:jc w:val="both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b/>
                <w:b/>
                <w:bCs/>
                <w:sz w:val="26"/>
                <w:sz w:val="26"/>
                <w:szCs w:val="26"/>
                <w:rtl w:val="true"/>
              </w:rPr>
              <w:t>נגד</w:t>
            </w:r>
          </w:p>
          <w:p>
            <w:pPr>
              <w:pStyle w:val="Normal"/>
              <w:ind w:end="0"/>
              <w:jc w:val="center"/>
              <w:rPr>
                <w:rFonts w:ascii="Arial" w:hAnsi="Arial" w:eastAsia="Times New Roman" w:cs="Arial"/>
                <w:b/>
                <w:bCs/>
                <w:sz w:val="26"/>
                <w:szCs w:val="26"/>
              </w:rPr>
            </w:pPr>
            <w:r>
              <w:rPr>
                <w:rFonts w:eastAsia="Times New Roman" w:cs="Arial" w:ascii="Arial" w:hAnsi="Arial"/>
                <w:b/>
                <w:bCs/>
                <w:sz w:val="26"/>
                <w:szCs w:val="26"/>
                <w:rtl w:val="true"/>
              </w:rPr>
            </w:r>
          </w:p>
        </w:tc>
      </w:tr>
      <w:tr>
        <w:trPr/>
        <w:tc>
          <w:tcPr>
            <w:tcW w:w="3214" w:type="dxa"/>
            <w:tcBorders/>
          </w:tcPr>
          <w:p>
            <w:pPr>
              <w:pStyle w:val="Normal"/>
              <w:ind w:start="26"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ה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משיב</w:t>
            </w:r>
          </w:p>
        </w:tc>
        <w:tc>
          <w:tcPr>
            <w:tcW w:w="5506" w:type="dxa"/>
            <w:gridSpan w:val="4"/>
            <w:tcBorders/>
          </w:tcPr>
          <w:p>
            <w:pPr>
              <w:pStyle w:val="Normal"/>
              <w:ind w:end="0"/>
              <w:jc w:val="start"/>
              <w:rPr>
                <w:rFonts w:ascii="Times New Roman" w:hAnsi="Times New Roman" w:eastAsia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מ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>.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י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. 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 xml:space="preserve">לשכת תביעות מרחב שפלה </w:t>
            </w:r>
            <w:r>
              <w:rPr>
                <w:rFonts w:eastAsia="Times New Roman" w:cs="Times New Roman" w:ascii="Times New Roman" w:hAnsi="Times New Roman"/>
                <w:b/>
                <w:bCs/>
                <w:sz w:val="26"/>
                <w:szCs w:val="26"/>
                <w:rtl w:val="true"/>
              </w:rPr>
              <w:t xml:space="preserve">- </w:t>
            </w:r>
            <w:r>
              <w:rPr>
                <w:rFonts w:ascii="Times New Roman" w:hAnsi="Times New Roman" w:eastAsia="Times New Roman" w:cs="Times New Roman"/>
                <w:b/>
                <w:b/>
                <w:bCs/>
                <w:sz w:val="26"/>
                <w:sz w:val="26"/>
                <w:szCs w:val="26"/>
                <w:rtl w:val="true"/>
              </w:rPr>
              <w:t>פלילי</w:t>
            </w:r>
          </w:p>
        </w:tc>
      </w:tr>
    </w:tbl>
    <w:p>
      <w:pPr>
        <w:pStyle w:val="Normal"/>
        <w:ind w:end="0"/>
        <w:jc w:val="start"/>
        <w:rPr>
          <w:rStyle w:val="LineNumber"/>
          <w:rFonts w:ascii="Arial" w:hAnsi="Arial" w:cs="Arial"/>
          <w:sz w:val="6"/>
          <w:szCs w:val="6"/>
        </w:rPr>
      </w:pPr>
      <w:r>
        <w:rPr>
          <w:rStyle w:val="LineNumber"/>
          <w:rFonts w:cs="Arial" w:ascii="Arial" w:hAnsi="Arial"/>
          <w:sz w:val="6"/>
          <w:szCs w:val="6"/>
          <w:rtl w:val="true"/>
        </w:rPr>
        <w:t>&lt;</w:t>
      </w:r>
      <w:r>
        <w:rPr>
          <w:rStyle w:val="LineNumber"/>
          <w:rFonts w:cs="Arial" w:ascii="Arial" w:hAnsi="Arial"/>
          <w:sz w:val="6"/>
          <w:szCs w:val="6"/>
        </w:rPr>
        <w:t>#2#</w:t>
      </w:r>
      <w:r>
        <w:rPr>
          <w:rStyle w:val="LineNumber"/>
          <w:rFonts w:cs="Arial" w:ascii="Arial" w:hAnsi="Arial"/>
          <w:sz w:val="6"/>
          <w:szCs w:val="6"/>
          <w:rtl w:val="true"/>
        </w:rPr>
        <w:t>&gt;</w:t>
      </w:r>
    </w:p>
    <w:p>
      <w:pPr>
        <w:pStyle w:val="12"/>
        <w:ind w:end="0"/>
        <w:jc w:val="start"/>
        <w:rPr>
          <w:u w:val="none"/>
        </w:rPr>
      </w:pPr>
      <w:r>
        <w:rPr>
          <w:u w:val="none"/>
          <w:rtl w:val="true"/>
        </w:rPr>
        <w:t>נוכחים</w:t>
      </w:r>
      <w:r>
        <w:rPr>
          <w:u w:val="none"/>
          <w:rtl w:val="true"/>
        </w:rPr>
        <w:t>: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אבו עאמר 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כ המערער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המערער הובא ע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י שב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ס</w:t>
      </w:r>
    </w:p>
    <w:p>
      <w:pPr>
        <w:pStyle w:val="12"/>
        <w:ind w:end="0"/>
        <w:jc w:val="start"/>
        <w:rPr>
          <w:b w:val="false"/>
          <w:bCs w:val="false"/>
          <w:u w:val="none"/>
        </w:rPr>
      </w:pPr>
      <w:r>
        <w:rPr>
          <w:b w:val="false"/>
          <w:b w:val="false"/>
          <w:bCs w:val="false"/>
          <w:u w:val="none"/>
          <w:rtl w:val="true"/>
        </w:rPr>
        <w:t>עו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>ד ליאת גלבוע ב</w:t>
      </w:r>
      <w:r>
        <w:rPr>
          <w:b w:val="false"/>
          <w:bCs w:val="false"/>
          <w:u w:val="none"/>
          <w:rtl w:val="true"/>
        </w:rPr>
        <w:t>"</w:t>
      </w:r>
      <w:r>
        <w:rPr>
          <w:b w:val="false"/>
          <w:b w:val="false"/>
          <w:bCs w:val="false"/>
          <w:u w:val="none"/>
          <w:rtl w:val="true"/>
        </w:rPr>
        <w:t xml:space="preserve">כ המשיבה 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/>
          <w:color w:val="FF0000"/>
          <w:sz w:val="28"/>
          <w:sz w:val="28"/>
          <w:rtl w:val="true"/>
        </w:rPr>
        <w:t>במסמך זה הושמטו פרוטוקולים</w:t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rtl w:val="true"/>
        </w:rPr>
      </w:r>
    </w:p>
    <w:p>
      <w:pPr>
        <w:pStyle w:val="Normal"/>
        <w:spacing w:lineRule="auto" w:line="360"/>
        <w:ind w:end="0"/>
        <w:jc w:val="center"/>
        <w:rPr>
          <w:rFonts w:ascii="Arial" w:hAnsi="Arial" w:cs="Arial"/>
          <w:b/>
          <w:bCs/>
          <w:sz w:val="28"/>
          <w:szCs w:val="28"/>
          <w:u w:val="single"/>
        </w:rPr>
      </w:pPr>
      <w:bookmarkStart w:id="3" w:name="PsakDin"/>
      <w:bookmarkEnd w:id="3"/>
      <w:r>
        <w:rPr>
          <w:rFonts w:ascii="Arial" w:hAnsi="Arial" w:cs="Arial"/>
          <w:b/>
          <w:b/>
          <w:bCs/>
          <w:sz w:val="28"/>
          <w:sz w:val="28"/>
          <w:szCs w:val="28"/>
          <w:u w:val="single"/>
          <w:rtl w:val="true"/>
        </w:rPr>
        <w:t>פסק דין</w:t>
      </w:r>
    </w:p>
    <w:p>
      <w:pPr>
        <w:pStyle w:val="Normal"/>
        <w:spacing w:lineRule="auto" w:line="360"/>
        <w:ind w:end="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cs="Arial" w:ascii="Arial" w:hAnsi="Arial"/>
          <w:b/>
          <w:bCs/>
          <w:sz w:val="28"/>
          <w:szCs w:val="28"/>
          <w:u w:val="single"/>
          <w:rtl w:val="true"/>
        </w:rPr>
      </w:r>
      <w:bookmarkStart w:id="4" w:name="PsakDin"/>
      <w:bookmarkStart w:id="5" w:name="PsakDin"/>
      <w:bookmarkEnd w:id="5"/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המערער הורשע בתום שמיעת ראיות בעבירה של החזקת סם מסוכן מסוג הירואין בכמות של </w:t>
      </w:r>
      <w:r>
        <w:rPr/>
        <w:t>33.10</w:t>
      </w:r>
      <w:r>
        <w:rPr>
          <w:rtl w:val="true"/>
        </w:rPr>
        <w:t xml:space="preserve"> </w:t>
      </w:r>
      <w:r>
        <w:rPr>
          <w:rtl w:val="true"/>
        </w:rPr>
        <w:t>גרם שלא לצריכה עצמית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מעובדות כתב האישום עולה כי בתאריך </w:t>
      </w:r>
      <w:r>
        <w:rPr/>
        <w:t>6.7.05</w:t>
      </w:r>
      <w:r>
        <w:rPr>
          <w:rtl w:val="true"/>
        </w:rPr>
        <w:t xml:space="preserve"> - </w:t>
      </w:r>
      <w:r>
        <w:rPr>
          <w:rtl w:val="true"/>
        </w:rPr>
        <w:t>לפני כ</w:t>
      </w:r>
      <w:r>
        <w:rPr>
          <w:rtl w:val="true"/>
        </w:rPr>
        <w:t>-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שנים</w:t>
      </w:r>
      <w:r>
        <w:rPr>
          <w:rtl w:val="true"/>
        </w:rPr>
        <w:t xml:space="preserve">, </w:t>
      </w:r>
      <w:r>
        <w:rPr>
          <w:rtl w:val="true"/>
        </w:rPr>
        <w:t>בחיפוש שנעשה בבית המערער</w:t>
      </w:r>
      <w:r>
        <w:rPr>
          <w:rtl w:val="true"/>
        </w:rPr>
        <w:t xml:space="preserve">, </w:t>
      </w:r>
      <w:r>
        <w:rPr>
          <w:rtl w:val="true"/>
        </w:rPr>
        <w:t>נתפסה כמות של סם האמורה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 xml:space="preserve">בית משפט קמא </w:t>
      </w:r>
      <w:r>
        <w:rPr>
          <w:rtl w:val="true"/>
        </w:rPr>
        <w:t>(</w:t>
      </w:r>
      <w:r>
        <w:rPr>
          <w:rtl w:val="true"/>
        </w:rPr>
        <w:t xml:space="preserve">בית משפט השלום רמלה </w:t>
      </w:r>
      <w:r>
        <w:rPr>
          <w:rtl w:val="true"/>
        </w:rPr>
        <w:t xml:space="preserve">- </w:t>
      </w:r>
      <w:r>
        <w:rPr>
          <w:rtl w:val="true"/>
        </w:rPr>
        <w:t>כב</w:t>
      </w:r>
      <w:r>
        <w:rPr>
          <w:rtl w:val="true"/>
        </w:rPr>
        <w:t xml:space="preserve">' </w:t>
      </w:r>
      <w:r>
        <w:rPr>
          <w:rtl w:val="true"/>
        </w:rPr>
        <w:t>השופט ד</w:t>
      </w:r>
      <w:r>
        <w:rPr>
          <w:rtl w:val="true"/>
        </w:rPr>
        <w:t>"</w:t>
      </w:r>
      <w:r>
        <w:rPr>
          <w:rtl w:val="true"/>
        </w:rPr>
        <w:t>ר עמי קובו</w:t>
      </w:r>
      <w:r>
        <w:rPr>
          <w:rtl w:val="true"/>
        </w:rPr>
        <w:t xml:space="preserve">), </w:t>
      </w:r>
      <w:r>
        <w:rPr>
          <w:rtl w:val="true"/>
        </w:rPr>
        <w:t xml:space="preserve">גזר על המערער </w:t>
      </w:r>
      <w:r>
        <w:rPr/>
        <w:t>12</w:t>
      </w:r>
      <w:r>
        <w:rPr>
          <w:rtl w:val="true"/>
        </w:rPr>
        <w:t xml:space="preserve"> </w:t>
      </w:r>
      <w:r>
        <w:rPr>
          <w:rtl w:val="true"/>
        </w:rPr>
        <w:t>חודשי מאסר בפועל וכן מאסרים מותנים ופסילת רישיון נהיגה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בערעור זה משיג המערער הן על הרשעתו והן על חומרת העונש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באשר להרשעתו</w:t>
      </w:r>
      <w:r>
        <w:rPr>
          <w:rtl w:val="true"/>
        </w:rPr>
        <w:t xml:space="preserve">, </w:t>
      </w:r>
      <w:r>
        <w:rPr>
          <w:rtl w:val="true"/>
        </w:rPr>
        <w:t>טוען המערער</w:t>
      </w:r>
      <w:r>
        <w:rPr>
          <w:rtl w:val="true"/>
        </w:rPr>
        <w:t xml:space="preserve">, </w:t>
      </w:r>
      <w:r>
        <w:rPr>
          <w:rtl w:val="true"/>
        </w:rPr>
        <w:t xml:space="preserve">כי בהינתן העובדה המוסכמת לפיה הסם שנתפס אצלו היה סם </w:t>
      </w:r>
      <w:r>
        <w:rPr>
          <w:rtl w:val="true"/>
        </w:rPr>
        <w:t>"</w:t>
      </w:r>
      <w:r>
        <w:rPr>
          <w:rtl w:val="true"/>
        </w:rPr>
        <w:t>מעורבב</w:t>
      </w:r>
      <w:r>
        <w:rPr>
          <w:rtl w:val="true"/>
        </w:rPr>
        <w:t xml:space="preserve">", </w:t>
      </w:r>
      <w:r>
        <w:rPr>
          <w:rtl w:val="true"/>
        </w:rPr>
        <w:t>וכי לא ניתן לקבל נתון מדויק באשר לריכוז הסם</w:t>
      </w:r>
      <w:r>
        <w:rPr>
          <w:rtl w:val="true"/>
        </w:rPr>
        <w:t xml:space="preserve">, </w:t>
      </w:r>
      <w:r>
        <w:rPr>
          <w:rtl w:val="true"/>
        </w:rPr>
        <w:t>לא היה מקום לקביעה כי מדובר בכמות שלא לצריכה עצמית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באשר לחומרת העונש</w:t>
      </w:r>
      <w:r>
        <w:rPr>
          <w:rtl w:val="true"/>
        </w:rPr>
        <w:t xml:space="preserve">, </w:t>
      </w:r>
      <w:r>
        <w:rPr>
          <w:rtl w:val="true"/>
        </w:rPr>
        <w:t>טוען המערער</w:t>
      </w:r>
      <w:r>
        <w:rPr>
          <w:rtl w:val="true"/>
        </w:rPr>
        <w:t xml:space="preserve">, </w:t>
      </w:r>
      <w:r>
        <w:rPr>
          <w:rtl w:val="true"/>
        </w:rPr>
        <w:t>כי שומה היה על בית המשפט להתחשב בעובדה דלעיל</w:t>
      </w:r>
      <w:r>
        <w:rPr>
          <w:rtl w:val="true"/>
        </w:rPr>
        <w:t xml:space="preserve">, </w:t>
      </w:r>
      <w:r>
        <w:rPr>
          <w:rtl w:val="true"/>
        </w:rPr>
        <w:t>לרבות בשאלת חלוף הזמן ממועד ביצוע העבירה ועד למועד גזר הדין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בהכרעת דין מנומקת התייחס בית המשפט לכל טענותיו של המערער</w:t>
      </w:r>
      <w:r>
        <w:rPr>
          <w:rtl w:val="true"/>
        </w:rPr>
        <w:t xml:space="preserve">, </w:t>
      </w:r>
      <w:r>
        <w:rPr>
          <w:rtl w:val="true"/>
        </w:rPr>
        <w:t>לרבות שאלת הסם המעורבב וקבע</w:t>
      </w:r>
      <w:r>
        <w:rPr>
          <w:rtl w:val="true"/>
        </w:rPr>
        <w:t xml:space="preserve">, </w:t>
      </w:r>
      <w:r>
        <w:rPr>
          <w:rtl w:val="true"/>
        </w:rPr>
        <w:t>ובצדק</w:t>
      </w:r>
      <w:r>
        <w:rPr>
          <w:rtl w:val="true"/>
        </w:rPr>
        <w:t xml:space="preserve">, </w:t>
      </w:r>
      <w:r>
        <w:rPr>
          <w:rtl w:val="true"/>
        </w:rPr>
        <w:t>כי עפ</w:t>
      </w:r>
      <w:r>
        <w:rPr>
          <w:rtl w:val="true"/>
        </w:rPr>
        <w:t>"</w:t>
      </w:r>
      <w:r>
        <w:rPr>
          <w:rtl w:val="true"/>
        </w:rPr>
        <w:t>י ההלכה הפסוקה חומר מעורבב דינו כדין סם לכל עניין ודבר</w:t>
      </w:r>
      <w:r>
        <w:rPr>
          <w:rtl w:val="true"/>
        </w:rPr>
        <w:t xml:space="preserve">, </w:t>
      </w:r>
      <w:r>
        <w:rPr>
          <w:rtl w:val="true"/>
        </w:rPr>
        <w:t>ואין נפקא מינא אם חלקו אינו סם טהור</w:t>
      </w:r>
      <w:r>
        <w:rPr>
          <w:rtl w:val="true"/>
        </w:rPr>
        <w:t xml:space="preserve">. </w:t>
      </w:r>
      <w:r>
        <w:rPr>
          <w:rtl w:val="true"/>
        </w:rPr>
        <w:t>סוגיית ריכוז הסם והכמות היחסית נטו מתוך הכמות הכללית אינה בעלת נפקות ביחס להרשעת המערער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בהתייחס לסוגיה של החזקת הסם לצריכה עצמית</w:t>
      </w:r>
      <w:r>
        <w:rPr>
          <w:rtl w:val="true"/>
        </w:rPr>
        <w:t xml:space="preserve">, </w:t>
      </w:r>
      <w:r>
        <w:rPr>
          <w:rtl w:val="true"/>
        </w:rPr>
        <w:t>קבע בית משפט קמא</w:t>
      </w:r>
      <w:r>
        <w:rPr>
          <w:rtl w:val="true"/>
        </w:rPr>
        <w:t xml:space="preserve">, </w:t>
      </w:r>
      <w:r>
        <w:rPr>
          <w:rtl w:val="true"/>
        </w:rPr>
        <w:t>כי לא היה בידי המערער לסתור את החזקה כי מדובר בהחזקה שלא לשימוש עצמי וכי העובדה שהמערער צרך חלק מהסם אין בה כדי להפריך את החזקה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בנסיבות אלו</w:t>
      </w:r>
      <w:r>
        <w:rPr>
          <w:rtl w:val="true"/>
        </w:rPr>
        <w:t xml:space="preserve">, </w:t>
      </w:r>
      <w:r>
        <w:rPr>
          <w:rtl w:val="true"/>
        </w:rPr>
        <w:t>הערעור ככל שהוא נוגע להרשעת המערער</w:t>
      </w:r>
      <w:r>
        <w:rPr>
          <w:rtl w:val="true"/>
        </w:rPr>
        <w:t xml:space="preserve">, </w:t>
      </w:r>
      <w:r>
        <w:rPr>
          <w:rtl w:val="true"/>
        </w:rPr>
        <w:t>נדחה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ביחס להוראות העונש</w:t>
      </w:r>
      <w:r>
        <w:rPr>
          <w:rtl w:val="true"/>
        </w:rPr>
        <w:t xml:space="preserve">, </w:t>
      </w:r>
      <w:r>
        <w:rPr>
          <w:rtl w:val="true"/>
        </w:rPr>
        <w:t>בהינתן מתחם הענישה שנקבע ע</w:t>
      </w:r>
      <w:r>
        <w:rPr>
          <w:rtl w:val="true"/>
        </w:rPr>
        <w:t>"</w:t>
      </w:r>
      <w:r>
        <w:rPr>
          <w:rtl w:val="true"/>
        </w:rPr>
        <w:t>י בית משפט קמא</w:t>
      </w:r>
      <w:r>
        <w:rPr>
          <w:rtl w:val="true"/>
        </w:rPr>
        <w:t xml:space="preserve">, </w:t>
      </w:r>
      <w:r>
        <w:rPr>
          <w:rtl w:val="true"/>
        </w:rPr>
        <w:t xml:space="preserve">בין </w:t>
      </w:r>
      <w:r>
        <w:rPr/>
        <w:t>10</w:t>
      </w:r>
      <w:r>
        <w:rPr>
          <w:rtl w:val="true"/>
        </w:rPr>
        <w:t xml:space="preserve"> </w:t>
      </w:r>
      <w:r>
        <w:rPr>
          <w:rtl w:val="true"/>
        </w:rPr>
        <w:t>חודשים ל</w:t>
      </w:r>
      <w:r>
        <w:rPr>
          <w:rtl w:val="true"/>
        </w:rPr>
        <w:t>-</w:t>
      </w:r>
      <w:r>
        <w:rPr/>
        <w:t>24</w:t>
      </w:r>
      <w:r>
        <w:rPr>
          <w:rtl w:val="true"/>
        </w:rPr>
        <w:t xml:space="preserve"> </w:t>
      </w:r>
      <w:r>
        <w:rPr>
          <w:rtl w:val="true"/>
        </w:rPr>
        <w:t>חודשים</w:t>
      </w:r>
      <w:r>
        <w:rPr>
          <w:rtl w:val="true"/>
        </w:rPr>
        <w:t xml:space="preserve">, </w:t>
      </w:r>
      <w:r>
        <w:rPr>
          <w:rtl w:val="true"/>
        </w:rPr>
        <w:t>עונשו של המערער נקבע ברף הנמוך וזאת בשל העובדה שבית משפט קמא לקח בחשבון את כל הטיעונים כפי שהעלה הסנגור בפנינו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לעניין חלוף הזמן</w:t>
      </w:r>
      <w:r>
        <w:rPr>
          <w:rtl w:val="true"/>
        </w:rPr>
        <w:t xml:space="preserve">, </w:t>
      </w:r>
      <w:r>
        <w:rPr>
          <w:rtl w:val="true"/>
        </w:rPr>
        <w:t>אף נתון זה נלקח בחשבון</w:t>
      </w:r>
      <w:r>
        <w:rPr>
          <w:rtl w:val="true"/>
        </w:rPr>
        <w:t xml:space="preserve">. </w:t>
      </w:r>
      <w:r>
        <w:rPr>
          <w:rtl w:val="true"/>
        </w:rPr>
        <w:t xml:space="preserve">מה גם שאין להתעלם מהעובדה שלאורך </w:t>
      </w:r>
      <w:r>
        <w:rPr/>
        <w:t>8</w:t>
      </w:r>
      <w:r>
        <w:rPr>
          <w:rtl w:val="true"/>
        </w:rPr>
        <w:t xml:space="preserve"> </w:t>
      </w:r>
      <w:r>
        <w:rPr>
          <w:rtl w:val="true"/>
        </w:rPr>
        <w:t>השנים שחלפו ביצע המערער אין ספור עבירות נוספות</w:t>
      </w:r>
      <w:r>
        <w:rPr>
          <w:rtl w:val="true"/>
        </w:rPr>
        <w:t xml:space="preserve">, </w:t>
      </w:r>
      <w:r>
        <w:rPr>
          <w:rtl w:val="true"/>
        </w:rPr>
        <w:t>ריצה תקופות מאסרים ובנסיבות אלו אין לזקוף את חלוף הזמן לזכותו</w:t>
      </w:r>
      <w:r>
        <w:rPr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  <w:t>אשר על כן</w:t>
      </w:r>
      <w:r>
        <w:rPr>
          <w:rtl w:val="true"/>
        </w:rPr>
        <w:t xml:space="preserve">, </w:t>
      </w:r>
      <w:r>
        <w:rPr>
          <w:rtl w:val="true"/>
        </w:rPr>
        <w:t>לא נפלה שגגה בפסק הדין של בית משפט קמא והערעור על שתי חלקיו נדחה</w:t>
      </w:r>
      <w:r>
        <w:rPr>
          <w:rtl w:val="true"/>
        </w:rPr>
        <w:t xml:space="preserve">. </w:t>
      </w:r>
    </w:p>
    <w:p>
      <w:pPr>
        <w:pStyle w:val="Normal"/>
        <w:spacing w:lineRule="auto" w:line="360"/>
        <w:ind w:end="0"/>
        <w:jc w:val="both"/>
        <w:rPr/>
      </w:pPr>
      <w:r>
        <w:rPr>
          <w:rtl w:val="true"/>
        </w:rPr>
      </w:r>
    </w:p>
    <w:p>
      <w:pPr>
        <w:pStyle w:val="David"/>
        <w:ind w:end="0"/>
        <w:jc w:val="both"/>
        <w:rPr>
          <w:sz w:val="6"/>
          <w:szCs w:val="6"/>
        </w:rPr>
      </w:pPr>
      <w:r>
        <w:rPr>
          <w:sz w:val="6"/>
          <w:szCs w:val="6"/>
          <w:rtl w:val="true"/>
        </w:rPr>
        <w:t>&lt;</w:t>
      </w:r>
      <w:r>
        <w:rPr>
          <w:sz w:val="6"/>
          <w:szCs w:val="6"/>
        </w:rPr>
        <w:t>#3#</w:t>
      </w:r>
      <w:r>
        <w:rPr>
          <w:sz w:val="6"/>
          <w:szCs w:val="6"/>
          <w:rtl w:val="true"/>
        </w:rPr>
        <w:t>&gt;</w:t>
      </w:r>
    </w:p>
    <w:p>
      <w:pPr>
        <w:pStyle w:val="Normal"/>
        <w:spacing w:lineRule="auto" w:line="360"/>
        <w:ind w:end="0"/>
        <w:jc w:val="both"/>
        <w:rPr/>
      </w:pPr>
      <w:bookmarkStart w:id="6" w:name="_GoBack"/>
      <w:bookmarkEnd w:id="6"/>
      <w:r>
        <w:rPr>
          <w:rStyle w:val="LineNumber"/>
          <w:b/>
          <w:bCs/>
          <w:color w:val="FFFFFF"/>
          <w:sz w:val="2"/>
        </w:rPr>
        <w:t>5129371</w:t>
      </w:r>
      <w:r>
        <w:rPr>
          <w:rStyle w:val="LineNumber"/>
          <w:b/>
          <w:b/>
          <w:bCs/>
          <w:sz w:val="28"/>
          <w:sz w:val="28"/>
          <w:rtl w:val="true"/>
        </w:rPr>
        <w:t>ניתן והודע היום י</w:t>
      </w:r>
      <w:r>
        <w:rPr>
          <w:rStyle w:val="LineNumber"/>
          <w:b/>
          <w:bCs/>
          <w:sz w:val="28"/>
          <w:rtl w:val="true"/>
        </w:rPr>
        <w:t>"</w:t>
      </w:r>
      <w:r>
        <w:rPr>
          <w:rStyle w:val="LineNumber"/>
          <w:b/>
          <w:b/>
          <w:bCs/>
          <w:sz w:val="28"/>
          <w:sz w:val="28"/>
          <w:rtl w:val="true"/>
        </w:rPr>
        <w:t>ז סיון תשע</w:t>
      </w:r>
      <w:r>
        <w:rPr>
          <w:rStyle w:val="LineNumber"/>
          <w:b/>
          <w:bCs/>
          <w:sz w:val="28"/>
          <w:rtl w:val="true"/>
        </w:rPr>
        <w:t>"</w:t>
      </w:r>
      <w:r>
        <w:rPr>
          <w:rStyle w:val="LineNumber"/>
          <w:b/>
          <w:b/>
          <w:bCs/>
          <w:sz w:val="28"/>
          <w:sz w:val="28"/>
          <w:rtl w:val="true"/>
        </w:rPr>
        <w:t>ג</w:t>
      </w:r>
      <w:r>
        <w:rPr>
          <w:rStyle w:val="LineNumber"/>
          <w:b/>
          <w:bCs/>
          <w:sz w:val="28"/>
          <w:rtl w:val="true"/>
        </w:rPr>
        <w:t xml:space="preserve">, </w:t>
      </w:r>
      <w:r>
        <w:rPr>
          <w:rStyle w:val="LineNumber"/>
          <w:b/>
          <w:bCs/>
          <w:sz w:val="28"/>
        </w:rPr>
        <w:t>26/05/2013</w:t>
      </w:r>
      <w:r>
        <w:rPr>
          <w:rStyle w:val="LineNumber"/>
          <w:b/>
          <w:bCs/>
          <w:sz w:val="28"/>
          <w:rtl w:val="true"/>
        </w:rPr>
        <w:t xml:space="preserve"> </w:t>
      </w:r>
      <w:r>
        <w:rPr>
          <w:rStyle w:val="LineNumber"/>
          <w:b/>
          <w:b/>
          <w:bCs/>
          <w:sz w:val="28"/>
          <w:sz w:val="28"/>
          <w:rtl w:val="true"/>
        </w:rPr>
        <w:t>במעמד הנוכחים</w:t>
      </w:r>
      <w:r>
        <w:rPr>
          <w:rStyle w:val="LineNumber"/>
          <w:b/>
          <w:bCs/>
          <w:sz w:val="28"/>
          <w:rtl w:val="true"/>
        </w:rPr>
        <w:t xml:space="preserve">.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18"/>
        <w:gridCol w:w="239"/>
        <w:gridCol w:w="2682"/>
        <w:gridCol w:w="281"/>
        <w:gridCol w:w="2902"/>
      </w:tblGrid>
      <w:tr>
        <w:trPr/>
        <w:tc>
          <w:tcPr>
            <w:tcW w:w="2418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  <w:color w:val="FFFFFF"/>
                <w:sz w:val="2"/>
                <w:szCs w:val="2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FFFFFF"/>
                <w:sz w:val="2"/>
                <w:szCs w:val="2"/>
              </w:rPr>
              <w:t>54678313</w:t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  <w:color w:val="FFFFFF"/>
                <w:sz w:val="2"/>
                <w:szCs w:val="2"/>
              </w:rPr>
            </w:pPr>
            <w:r>
              <w:rPr>
                <w:rFonts w:eastAsia="Times New Roman" w:cs="Courier New" w:ascii="Courier New" w:hAnsi="Courier New"/>
                <w:b/>
                <w:bCs/>
                <w:color w:val="FFFFFF"/>
                <w:sz w:val="2"/>
                <w:szCs w:val="2"/>
                <w:rtl w:val="true"/>
              </w:rPr>
            </w:r>
          </w:p>
        </w:tc>
        <w:tc>
          <w:tcPr>
            <w:tcW w:w="268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81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902" w:type="dxa"/>
            <w:tcBorders>
              <w:bottom w:val="single" w:sz="4" w:space="0" w:color="000000"/>
            </w:tcBorders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  <w:sz w:val="20"/>
                <w:szCs w:val="20"/>
              </w:rPr>
            </w:pPr>
            <w:r>
              <w:rPr>
                <w:rFonts w:eastAsia="Times New Roman" w:cs="Courier New" w:ascii="Courier New" w:hAnsi="Courier New"/>
                <w:b/>
                <w:bCs/>
                <w:sz w:val="20"/>
                <w:szCs w:val="20"/>
                <w:rtl w:val="true"/>
              </w:rPr>
            </w:r>
          </w:p>
        </w:tc>
      </w:tr>
      <w:tr>
        <w:trPr/>
        <w:tc>
          <w:tcPr>
            <w:tcW w:w="2418" w:type="dxa"/>
            <w:tcBorders>
              <w:top w:val="single" w:sz="4" w:space="0" w:color="000000"/>
            </w:tcBorders>
            <w:vAlign w:val="bottom"/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ורדה מרוז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 xml:space="preserve">שופטת 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אב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"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ד</w:t>
            </w:r>
          </w:p>
        </w:tc>
        <w:tc>
          <w:tcPr>
            <w:tcW w:w="239" w:type="dxa"/>
            <w:tcBorders/>
            <w:vAlign w:val="bottom"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682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קלרה רג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>'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יניאנו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שופטת</w:t>
            </w:r>
          </w:p>
        </w:tc>
        <w:tc>
          <w:tcPr>
            <w:tcW w:w="281" w:type="dxa"/>
            <w:tcBorders/>
          </w:tcPr>
          <w:p>
            <w:pPr>
              <w:pStyle w:val="Normal"/>
              <w:snapToGrid w:val="false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  <w:tc>
          <w:tcPr>
            <w:tcW w:w="2902" w:type="dxa"/>
            <w:tcBorders>
              <w:top w:val="single" w:sz="4" w:space="0" w:color="000000"/>
            </w:tcBorders>
          </w:tcPr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אהרון מקובר</w:t>
            </w: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  <w:t xml:space="preserve">, </w:t>
            </w:r>
            <w:r>
              <w:rPr>
                <w:rFonts w:ascii="Courier New" w:hAnsi="Courier New" w:eastAsia="Times New Roman" w:cs="Courier New"/>
                <w:b/>
                <w:b/>
                <w:bCs/>
                <w:rtl w:val="true"/>
              </w:rPr>
              <w:t>שופט</w:t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  <w:p>
            <w:pPr>
              <w:pStyle w:val="Normal"/>
              <w:ind w:end="0"/>
              <w:jc w:val="center"/>
              <w:rPr>
                <w:rFonts w:ascii="Courier New" w:hAnsi="Courier New" w:eastAsia="Times New Roman" w:cs="Courier New"/>
                <w:b/>
                <w:bCs/>
              </w:rPr>
            </w:pPr>
            <w:r>
              <w:rPr>
                <w:rFonts w:eastAsia="Times New Roman" w:cs="Courier New" w:ascii="Courier New" w:hAnsi="Courier New"/>
                <w:b/>
                <w:bCs/>
                <w:rtl w:val="true"/>
              </w:rPr>
            </w:r>
          </w:p>
        </w:tc>
      </w:tr>
    </w:tbl>
    <w:p>
      <w:pPr>
        <w:pStyle w:val="Normal"/>
        <w:keepNext w:val="true"/>
        <w:spacing w:lineRule="auto" w:line="360"/>
        <w:ind w:end="0"/>
        <w:jc w:val="start"/>
        <w:rPr>
          <w:rStyle w:val="LineNumber"/>
          <w:rFonts w:cs="David"/>
          <w:color w:val="000000"/>
          <w:sz w:val="22"/>
          <w:szCs w:val="22"/>
        </w:rPr>
      </w:pPr>
      <w:r>
        <w:rPr>
          <w:rtl w:val="true"/>
        </w:rPr>
      </w:r>
    </w:p>
    <w:p>
      <w:pPr>
        <w:pStyle w:val="Normal"/>
        <w:keepNext w:val="true"/>
        <w:spacing w:lineRule="auto" w:line="360"/>
        <w:ind w:end="0"/>
        <w:jc w:val="start"/>
        <w:rPr>
          <w:rStyle w:val="LineNumber"/>
          <w:rFonts w:cs="David"/>
          <w:color w:val="FFFFFF"/>
          <w:sz w:val="2"/>
          <w:szCs w:val="2"/>
        </w:rPr>
      </w:pPr>
      <w:r>
        <w:rPr>
          <w:rStyle w:val="LineNumber"/>
          <w:rFonts w:cs="David"/>
          <w:color w:val="FFFFFF"/>
          <w:sz w:val="2"/>
          <w:szCs w:val="2"/>
        </w:rPr>
        <w:t>5129371</w:t>
      </w:r>
    </w:p>
    <w:p>
      <w:pPr>
        <w:pStyle w:val="Normal"/>
        <w:keepNext w:val="true"/>
        <w:spacing w:lineRule="auto" w:line="360"/>
        <w:ind w:end="0"/>
        <w:jc w:val="start"/>
        <w:rPr/>
      </w:pPr>
      <w:r>
        <w:rPr>
          <w:rStyle w:val="LineNumber"/>
          <w:rFonts w:cs="David"/>
          <w:color w:val="FFFFFF"/>
          <w:sz w:val="2"/>
          <w:szCs w:val="2"/>
        </w:rPr>
        <w:t>54678313</w:t>
      </w:r>
      <w:r>
        <w:rPr>
          <w:rStyle w:val="LineNumber"/>
          <w:color w:val="000000"/>
          <w:sz w:val="22"/>
          <w:sz w:val="22"/>
          <w:szCs w:val="22"/>
          <w:rtl w:val="true"/>
        </w:rPr>
        <w:t xml:space="preserve">ורדה מרוז </w:t>
      </w:r>
      <w:r>
        <w:rPr>
          <w:rStyle w:val="LineNumber"/>
          <w:rFonts w:cs="David"/>
          <w:color w:val="000000"/>
          <w:sz w:val="22"/>
          <w:szCs w:val="22"/>
        </w:rPr>
        <w:t>54678313</w:t>
      </w:r>
    </w:p>
    <w:p>
      <w:pPr>
        <w:pStyle w:val="Normal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Normal"/>
        <w:ind w:end="0"/>
        <w:jc w:val="start"/>
        <w:rPr/>
      </w:pPr>
      <w:r>
        <w:rPr>
          <w:rtl w:val="true"/>
        </w:rPr>
      </w:r>
    </w:p>
    <w:p>
      <w:pPr>
        <w:pStyle w:val="Normal"/>
        <w:ind w:end="0"/>
        <w:jc w:val="center"/>
        <w:rPr/>
      </w:pPr>
      <w:hyperlink r:id="rId2">
        <w:r>
          <w:rPr>
            <w:rStyle w:val="Hyperlink"/>
            <w:color w:val="0000FF"/>
            <w:u w:val="single"/>
            <w:rtl w:val="true"/>
          </w:rPr>
          <w:t>בעניין עריכה ושינויים במסמכי פסיקה</w:t>
        </w:r>
        <w:r>
          <w:rPr>
            <w:rStyle w:val="Hyperlink"/>
            <w:color w:val="0000FF"/>
            <w:u w:val="single"/>
            <w:rtl w:val="true"/>
          </w:rPr>
          <w:t xml:space="preserve">, </w:t>
        </w:r>
        <w:r>
          <w:rPr>
            <w:rStyle w:val="Hyperlink"/>
            <w:color w:val="0000FF"/>
            <w:u w:val="single"/>
            <w:rtl w:val="true"/>
          </w:rPr>
          <w:t>חקיקה ועוד באתר נבו – הקש כאן</w:t>
        </w:r>
      </w:hyperlink>
    </w:p>
    <w:sectPr>
      <w:headerReference w:type="default" r:id="rId3"/>
      <w:footerReference w:type="default" r:id="rId4"/>
      <w:type w:val="nextPage"/>
      <w:pgSz w:w="11906" w:h="16838"/>
      <w:pgMar w:left="1701" w:right="1701" w:gutter="0" w:header="1077" w:top="1701" w:footer="1157" w:bottom="1440"/>
      <w:pgNumType w:start="1" w:fmt="decimal"/>
      <w:formProt w:val="false"/>
      <w:textDirection w:val="lrTb"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David">
    <w:charset w:val="b1" w:characterSet="windows-1255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FrankRuehl">
    <w:charset w:val="b1" w:characterSet="windows-1255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</w:rPr>
    </w:pPr>
    <w:r>
      <w:rPr>
        <w:rFonts w:cs="FrankRuehl" w:ascii="FrankRuehl" w:hAnsi="FrankRuehl"/>
        <w:rtl w:val="true"/>
      </w:rPr>
      <w:fldChar w:fldCharType="begin"/>
    </w:r>
    <w:r>
      <w:rPr>
        <w:rtl w:val="true"/>
        <w:rFonts w:cs="FrankRuehl" w:ascii="FrankRuehl" w:hAnsi="FrankRuehl"/>
      </w:rPr>
      <w:instrText xml:space="preserve"> PAGE </w:instrText>
    </w:r>
    <w:r>
      <w:rPr>
        <w:rtl w:val="true"/>
        <w:rFonts w:cs="FrankRuehl" w:ascii="FrankRuehl" w:hAnsi="FrankRuehl"/>
      </w:rPr>
      <w:fldChar w:fldCharType="separate"/>
    </w:r>
    <w:r>
      <w:rPr>
        <w:rtl w:val="true"/>
        <w:rFonts w:cs="FrankRuehl" w:ascii="FrankRuehl" w:hAnsi="FrankRuehl"/>
      </w:rPr>
      <w:t>3</w:t>
    </w:r>
    <w:r>
      <w:rPr>
        <w:rtl w:val="true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</w:rPr>
    </w:pPr>
    <w:r>
      <w:rPr>
        <w:rFonts w:cs="FrankRuehl" w:ascii="FrankRuehl" w:hAnsi="FrankRuehl"/>
        <w:color w:val="000000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color w:val="000000"/>
        <w:sz w:val="22"/>
        <w:szCs w:val="22"/>
      </w:rPr>
    </w:pPr>
    <w:r>
      <w:rPr>
        <w:color w:val="000000"/>
        <w:sz w:val="22"/>
        <w:sz w:val="22"/>
        <w:szCs w:val="22"/>
        <w:rtl w:val="true"/>
      </w:rPr>
      <w:t xml:space="preserve">עפ </w:t>
    </w:r>
    <w:r>
      <w:rPr>
        <w:color w:val="000000"/>
        <w:sz w:val="22"/>
        <w:szCs w:val="22"/>
        <w:rtl w:val="true"/>
      </w:rPr>
      <w:t>(</w:t>
    </w:r>
    <w:r>
      <w:rPr>
        <w:color w:val="000000"/>
        <w:sz w:val="22"/>
        <w:sz w:val="22"/>
        <w:szCs w:val="22"/>
        <w:rtl w:val="true"/>
      </w:rPr>
      <w:t>מרכז</w:t>
    </w:r>
    <w:r>
      <w:rPr>
        <w:color w:val="000000"/>
        <w:sz w:val="22"/>
        <w:szCs w:val="22"/>
        <w:rtl w:val="true"/>
      </w:rPr>
      <w:t xml:space="preserve">) </w:t>
    </w:r>
    <w:r>
      <w:rPr>
        <w:color w:val="000000"/>
        <w:sz w:val="22"/>
        <w:szCs w:val="22"/>
      </w:rPr>
      <w:t>28435-02-13</w:t>
    </w:r>
    <w:r>
      <w:rPr>
        <w:color w:val="000000"/>
        <w:sz w:val="22"/>
        <w:szCs w:val="22"/>
        <w:rtl w:val="true"/>
      </w:rPr>
      <w:tab/>
      <w:t xml:space="preserve"> </w:t>
    </w:r>
    <w:r>
      <w:rPr>
        <w:color w:val="000000"/>
        <w:sz w:val="22"/>
        <w:sz w:val="22"/>
        <w:szCs w:val="22"/>
        <w:rtl w:val="true"/>
      </w:rPr>
      <w:t>אחמד אל עביד  נ</w:t>
    </w:r>
    <w:r>
      <w:rPr>
        <w:color w:val="000000"/>
        <w:sz w:val="22"/>
        <w:szCs w:val="22"/>
        <w:rtl w:val="true"/>
      </w:rPr>
      <w:t xml:space="preserve">' </w:t>
    </w:r>
    <w:r>
      <w:rPr>
        <w:color w:val="000000"/>
        <w:sz w:val="22"/>
        <w:sz w:val="22"/>
        <w:szCs w:val="22"/>
        <w:rtl w:val="true"/>
      </w:rPr>
      <w:t>מ</w:t>
    </w:r>
    <w:r>
      <w:rPr>
        <w:color w:val="000000"/>
        <w:sz w:val="22"/>
        <w:szCs w:val="22"/>
        <w:rtl w:val="true"/>
      </w:rPr>
      <w:t>.</w:t>
    </w:r>
    <w:r>
      <w:rPr>
        <w:color w:val="000000"/>
        <w:sz w:val="22"/>
        <w:sz w:val="22"/>
        <w:szCs w:val="22"/>
        <w:rtl w:val="true"/>
      </w:rPr>
      <w:t>י</w:t>
    </w:r>
    <w:r>
      <w:rPr>
        <w:color w:val="000000"/>
        <w:sz w:val="22"/>
        <w:szCs w:val="22"/>
        <w:rtl w:val="true"/>
      </w:rPr>
      <w:t xml:space="preserve">. </w:t>
    </w:r>
    <w:r>
      <w:rPr>
        <w:color w:val="000000"/>
        <w:sz w:val="22"/>
        <w:sz w:val="22"/>
        <w:szCs w:val="22"/>
        <w:rtl w:val="true"/>
      </w:rPr>
      <w:t xml:space="preserve">לשכת תביעות מרחב שפלה </w:t>
    </w:r>
    <w:r>
      <w:rPr>
        <w:color w:val="000000"/>
        <w:sz w:val="22"/>
        <w:szCs w:val="22"/>
        <w:rtl w:val="true"/>
      </w:rPr>
      <w:t xml:space="preserve">- </w:t>
    </w:r>
    <w:r>
      <w:rPr>
        <w:color w:val="000000"/>
        <w:sz w:val="22"/>
        <w:sz w:val="22"/>
        <w:szCs w:val="22"/>
        <w:rtl w:val="true"/>
      </w:rPr>
      <w:t>פלילי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</w:pPr>
    <w:rPr>
      <w:rFonts w:ascii="David" w:hAnsi="David" w:eastAsia="David" w:cs="David"/>
      <w:color w:val="auto"/>
      <w:sz w:val="24"/>
      <w:szCs w:val="24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LineNumber">
    <w:name w:val="line number"/>
    <w:basedOn w:val="DefaultParagraphFont"/>
    <w:rPr>
      <w:rFonts w:cs="Arial"/>
      <w:szCs w:val="20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/>
    <w:rPr/>
  </w:style>
  <w:style w:type="paragraph" w:styleId="Footer">
    <w:name w:val="footer"/>
    <w:basedOn w:val="Normal"/>
    <w:pPr/>
    <w:rPr/>
  </w:style>
  <w:style w:type="paragraph" w:styleId="12">
    <w:name w:val="רגיל + ‏12 נק'"/>
    <w:basedOn w:val="Normal"/>
    <w:qFormat/>
    <w:pPr/>
    <w:rPr>
      <w:rFonts w:ascii="Times New Roman" w:hAnsi="Times New Roman" w:eastAsia="Times New Roman" w:cs="Times New Roman"/>
      <w:b/>
      <w:bCs/>
      <w:u w:val="single"/>
    </w:rPr>
  </w:style>
  <w:style w:type="paragraph" w:styleId="David">
    <w:name w:val="סגנון (עברית ושפות אחרות) David מיושר לשני הצדדים מרווח בין שורות..."/>
    <w:basedOn w:val="Normal"/>
    <w:qFormat/>
    <w:pPr>
      <w:spacing w:lineRule="auto" w:line="360"/>
      <w:jc w:val="both"/>
    </w:pPr>
    <w:rPr>
      <w:rFonts w:ascii="Times New Roman" w:hAnsi="Times New Roman" w:eastAsia="Times New Roman" w:cs="Times New Roma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advertisements/nevo-100.doc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LibreOffice/25.2.2.2$MacOSX_AARCH64 LibreOffice_project/7370d4be9e3cf6031a51beef54ff3bda878e3fac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2013-05-30T11:18:00Z</dcterms:created>
  <dc:creator> </dc:creator>
  <dc:description/>
  <cp:keywords/>
  <dc:language>en-IL</dc:language>
  <cp:lastModifiedBy>hofit</cp:lastModifiedBy>
  <dcterms:modified xsi:type="dcterms:W3CDTF">2013-05-30T11:18:00Z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אחמד אל עביד 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מ.י. לשכת תביעות מרחב שפלה - פלילי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ITY">
    <vt:lpwstr>מרכז</vt:lpwstr>
  </property>
  <property fmtid="{D5CDD505-2E9C-101B-9397-08002B2CF9AE}" pid="9" name="DATE">
    <vt:lpwstr>20130526</vt:lpwstr>
  </property>
  <property fmtid="{D5CDD505-2E9C-101B-9397-08002B2CF9AE}" pid="10" name="DELEMATA">
    <vt:lpwstr/>
  </property>
  <property fmtid="{D5CDD505-2E9C-101B-9397-08002B2CF9AE}" pid="11" name="JUDGE">
    <vt:lpwstr>ורדה מרוז;קלרה רג'יניאנו;אהרון מקובר</vt:lpwstr>
  </property>
  <property fmtid="{D5CDD505-2E9C-101B-9397-08002B2CF9AE}" pid="12" name="LAWYER">
    <vt:lpwstr>אבו עאמר;ליאת גלבוע;</vt:lpwstr>
  </property>
  <property fmtid="{D5CDD505-2E9C-101B-9397-08002B2CF9AE}" pid="13" name="LINKK1">
    <vt:lpwstr/>
  </property>
  <property fmtid="{D5CDD505-2E9C-101B-9397-08002B2CF9AE}" pid="14" name="LINKK2">
    <vt:lpwstr/>
  </property>
  <property fmtid="{D5CDD505-2E9C-101B-9397-08002B2CF9AE}" pid="15" name="LINKK3">
    <vt:lpwstr/>
  </property>
  <property fmtid="{D5CDD505-2E9C-101B-9397-08002B2CF9AE}" pid="16" name="LINKK4">
    <vt:lpwstr/>
  </property>
  <property fmtid="{D5CDD505-2E9C-101B-9397-08002B2CF9AE}" pid="17" name="LINKK5">
    <vt:lpwstr/>
  </property>
  <property fmtid="{D5CDD505-2E9C-101B-9397-08002B2CF9AE}" pid="18" name="NEWPARTA">
    <vt:lpwstr>28435</vt:lpwstr>
  </property>
  <property fmtid="{D5CDD505-2E9C-101B-9397-08002B2CF9AE}" pid="19" name="NEWPARTB">
    <vt:lpwstr>02</vt:lpwstr>
  </property>
  <property fmtid="{D5CDD505-2E9C-101B-9397-08002B2CF9AE}" pid="20" name="NEWPARTC">
    <vt:lpwstr>13</vt:lpwstr>
  </property>
  <property fmtid="{D5CDD505-2E9C-101B-9397-08002B2CF9AE}" pid="21" name="NEWPROC">
    <vt:lpwstr>עפ</vt:lpwstr>
  </property>
  <property fmtid="{D5CDD505-2E9C-101B-9397-08002B2CF9AE}" pid="22" name="PADIMAIL">
    <vt:lpwstr/>
  </property>
  <property fmtid="{D5CDD505-2E9C-101B-9397-08002B2CF9AE}" pid="23" name="PAGE">
    <vt:lpwstr/>
  </property>
  <property fmtid="{D5CDD505-2E9C-101B-9397-08002B2CF9AE}" pid="24" name="PART">
    <vt:lpwstr/>
  </property>
  <property fmtid="{D5CDD505-2E9C-101B-9397-08002B2CF9AE}" pid="25" name="PROCESS">
    <vt:lpwstr/>
  </property>
  <property fmtid="{D5CDD505-2E9C-101B-9397-08002B2CF9AE}" pid="26" name="PROCNUM">
    <vt:lpwstr/>
  </property>
  <property fmtid="{D5CDD505-2E9C-101B-9397-08002B2CF9AE}" pid="27" name="PROCYEAR">
    <vt:lpwstr/>
  </property>
  <property fmtid="{D5CDD505-2E9C-101B-9397-08002B2CF9AE}" pid="28" name="PSAKDIN">
    <vt:lpwstr>פסק-דין</vt:lpwstr>
  </property>
  <property fmtid="{D5CDD505-2E9C-101B-9397-08002B2CF9AE}" pid="29" name="TYPE">
    <vt:lpwstr>2</vt:lpwstr>
  </property>
  <property fmtid="{D5CDD505-2E9C-101B-9397-08002B2CF9AE}" pid="30" name="TYPE_ABS_DATE">
    <vt:lpwstr>390020130526</vt:lpwstr>
  </property>
  <property fmtid="{D5CDD505-2E9C-101B-9397-08002B2CF9AE}" pid="31" name="TYPE_N_DATE">
    <vt:lpwstr>39020130526</vt:lpwstr>
  </property>
  <property fmtid="{D5CDD505-2E9C-101B-9397-08002B2CF9AE}" pid="32" name="VOLUME">
    <vt:lpwstr/>
  </property>
  <property fmtid="{D5CDD505-2E9C-101B-9397-08002B2CF9AE}" pid="33" name="WORDNUMPAGES">
    <vt:lpwstr>2</vt:lpwstr>
  </property>
</Properties>
</file>