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 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2944/09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לוי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אכרם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מועמר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ביתה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משפט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b/>
                <w:bCs/>
                <w:sz w:val="24"/>
                <w:szCs w:val="24"/>
                <w:rtl w:val="true"/>
              </w:rPr>
              <w:t>-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22.2.09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  <w:rtl w:val="true"/>
                </w:rPr>
                <w:t>.</w:t>
              </w:r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  <w:rtl w:val="true"/>
                </w:rPr>
                <w:t xml:space="preserve">. 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</w:rPr>
                <w:t>8374/06</w:t>
              </w:r>
            </w:hyperlink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חני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סלוטקי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09.12.09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דרבאשי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שפיק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עדי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שגב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8" w:name="LawTable"/>
      <w:bookmarkStart w:id="9" w:name="LawTable"/>
      <w:bookmarkEnd w:id="9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.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0" w:name="LawTable_End"/>
      <w:bookmarkStart w:id="11" w:name="LawTable_End"/>
      <w:bookmarkEnd w:id="11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2" w:name="PsakDin"/>
            <w:bookmarkStart w:id="13" w:name="secretary"/>
            <w:bookmarkStart w:id="14" w:name="BeginProtocol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5" w:name="Writer_Name"/>
      <w:bookmarkEnd w:id="15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לוי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6" w:name="Start_Write"/>
      <w:bookmarkStart w:id="17" w:name="Start_Write"/>
      <w:bookmarkEnd w:id="17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בבאר</w:t>
      </w:r>
      <w:r>
        <w:rPr>
          <w:rtl w:val="true"/>
        </w:rPr>
        <w:t>-</w:t>
      </w:r>
      <w:r>
        <w:rPr>
          <w:rtl w:val="true"/>
        </w:rPr>
        <w:t>שבע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42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שהרשיעו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הובלת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499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)(</w:t>
        </w:r>
        <w:r>
          <w:rPr>
            <w:rStyle w:val="Hyperlink"/>
            <w:color w:val="0000FF"/>
            <w:u w:val="single"/>
          </w:rPr>
          <w:t>1</w:t>
        </w:r>
        <w:r>
          <w:rPr>
            <w:rStyle w:val="Hyperlink"/>
            <w:color w:val="0000FF"/>
            <w:u w:val="single"/>
            <w:rtl w:val="true"/>
          </w:rPr>
          <w:t xml:space="preserve">),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  <w:rtl w:val="true"/>
          </w:rPr>
          <w:t>ו</w:t>
        </w:r>
        <w:r>
          <w:rPr>
            <w:rStyle w:val="Hyperlink"/>
            <w:color w:val="0000FF"/>
            <w:u w:val="single"/>
            <w:rtl w:val="true"/>
          </w:rPr>
          <w:t>-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בכתב</w:t>
      </w:r>
      <w:r>
        <w:rPr>
          <w:rtl w:val="true"/>
        </w:rPr>
        <w:t>-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בחודש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ינואר</w:t>
      </w:r>
      <w:r>
        <w:rPr>
          <w:rFonts w:eastAsia="Arial TUR" w:cs="Arial TUR"/>
          <w:rtl w:val="true"/>
        </w:rPr>
        <w:t xml:space="preserve"> </w:t>
      </w:r>
      <w:r>
        <w:rPr/>
        <w:t>2006</w:t>
      </w:r>
      <w:r>
        <w:rPr>
          <w:rtl w:val="true"/>
        </w:rPr>
        <w:t xml:space="preserve"> </w:t>
      </w:r>
      <w:r>
        <w:rPr>
          <w:rtl w:val="true"/>
        </w:rPr>
        <w:t>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חמאדה</w:t>
      </w:r>
      <w:r>
        <w:rPr>
          <w:rtl w:val="true"/>
        </w:rPr>
        <w:t xml:space="preserve">", </w:t>
      </w:r>
      <w:r>
        <w:rPr>
          <w:rtl w:val="true"/>
        </w:rPr>
        <w:t>וסיפר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מאג</w:t>
      </w:r>
      <w:r>
        <w:rPr>
          <w:rtl w:val="true"/>
        </w:rPr>
        <w:t xml:space="preserve">" </w:t>
      </w:r>
      <w:r>
        <w:rPr>
          <w:rtl w:val="true"/>
        </w:rPr>
        <w:t>וכדורים</w:t>
      </w:r>
      <w:r>
        <w:rPr>
          <w:rtl w:val="true"/>
        </w:rPr>
        <w:t xml:space="preserve">, </w:t>
      </w:r>
      <w:r>
        <w:rPr>
          <w:rtl w:val="true"/>
        </w:rPr>
        <w:t>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למכור</w:t>
      </w:r>
      <w:r>
        <w:rPr>
          <w:rtl w:val="true"/>
        </w:rPr>
        <w:t xml:space="preserve">.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tl w:val="true"/>
        </w:rPr>
        <w:t>נעים</w:t>
      </w:r>
      <w:r>
        <w:rPr>
          <w:rtl w:val="true"/>
        </w:rPr>
        <w:t xml:space="preserve">) </w:t>
      </w:r>
      <w:r>
        <w:rPr>
          <w:rtl w:val="true"/>
        </w:rPr>
        <w:t>לסייע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לחמאדה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לנשק</w:t>
      </w:r>
      <w:r>
        <w:rPr>
          <w:rtl w:val="true"/>
        </w:rPr>
        <w:t xml:space="preserve">, </w:t>
      </w:r>
      <w:r>
        <w:rPr>
          <w:rtl w:val="true"/>
        </w:rPr>
        <w:t>וזה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נעלין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אבו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עווד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שהביע נכונות לשלם בתמורה </w:t>
      </w:r>
      <w:r>
        <w:rPr>
          <w:rFonts w:cs="Times New Roman" w:ascii="Times New Roman" w:hAnsi="Times New Roman"/>
        </w:rPr>
        <w:t>20,000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ח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בהמשך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הביא חמאדה את הנשק לביתו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ומשם נסעו חמאדה ונעים לנעלין ומסרו את הנשק לאבו עווד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לאחר יומיים הודיע זה האחרון כי הנשק אינו תקין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ובעקבות הגיעו לביתו המערער ונעים ונטלו את 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מאג</w:t>
      </w:r>
      <w:r>
        <w:rPr>
          <w:rFonts w:cs="Times New Roman" w:ascii="Times New Roman" w:hAnsi="Times New Roman"/>
          <w:rtl w:val="true"/>
        </w:rPr>
        <w:t xml:space="preserve">", </w:t>
      </w:r>
      <w:r>
        <w:rPr>
          <w:rFonts w:ascii="Times New Roman" w:hAnsi="Times New Roman" w:cs="Times New Roman"/>
          <w:rtl w:val="true"/>
        </w:rPr>
        <w:t>ועל פי בקשתו של חמאדה העבירו אותו לתושב שכונת ג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וואריש ברמלה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הסבור כי בית המשפט המחוזי החמיר עמו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ביקש כי נקל בעונשו ולהלן טעמיו</w:t>
      </w:r>
      <w:r>
        <w:rPr>
          <w:rFonts w:cs="Times New Roman" w:ascii="Times New Roman" w:hAnsi="Times New Roman"/>
          <w:rtl w:val="true"/>
        </w:rPr>
        <w:t xml:space="preserve">: </w:t>
      </w:r>
      <w:r>
        <w:rPr>
          <w:rFonts w:ascii="Times New Roman" w:hAnsi="Times New Roman" w:cs="Times New Roman"/>
          <w:rtl w:val="true"/>
        </w:rPr>
        <w:t>הוא אדם צעיר שבריאותו לקויה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במשך חודשים רבים שהה במעצר בית מבלי יכולת לפרנס את משפחתו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 xml:space="preserve">בחלקו בפרשה הוא הודה כבר בשנת </w:t>
      </w:r>
      <w:r>
        <w:rPr>
          <w:rFonts w:cs="Times New Roman" w:ascii="Times New Roman" w:hAnsi="Times New Roman"/>
        </w:rPr>
        <w:t>2006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תוך שהוא נוטל אחריות מלאה על מעשיו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לא ניתן בגזר הדין משקל נאות לנסיבותיו האישיות ולאמור בתסקירו של שרות המבחן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לבסוף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נטען כי העונש אותו גזרה הערכאה הדיונית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חורג מרמת הענישה הנוהגת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לא מצאנו בכל אלה עילה לשנות מן העונש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נפסק לא אחת כי לעבירות בנשק נודעת חומרה רבה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באשר כלים אלה עוברים מיד ליד כדי לשמש מטרה לא חוקית</w:t>
      </w:r>
      <w:r>
        <w:rPr>
          <w:rFonts w:cs="Times New Roman" w:ascii="Times New Roman" w:hAnsi="Times New Roman"/>
          <w:rtl w:val="true"/>
        </w:rPr>
        <w:t xml:space="preserve">,  </w:t>
      </w:r>
      <w:r>
        <w:rPr>
          <w:rFonts w:ascii="Times New Roman" w:hAnsi="Times New Roman" w:cs="Times New Roman"/>
          <w:rtl w:val="true"/>
        </w:rPr>
        <w:t>והדברים נכונים בין אם הנשק מגיע לידיים עוינות ובין אם אלו פליליות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למרבה הדאבה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שימוש בנשק על ידי עבריינים למיניהם הפך לתופעה בה אנו נתקלים בתדירות גוברת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ועל כן ראויים העוסקים בכך לענישה מחמירה במטרה להרתיע את הרבים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 xml:space="preserve">ראו </w:t>
      </w:r>
      <w:hyperlink r:id="rId9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4034/05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פופוטקין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,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לא פורסם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2006</w:t>
      </w:r>
      <w:r>
        <w:rPr>
          <w:rFonts w:cs="Times New Roman" w:ascii="Times New Roman" w:hAnsi="Times New Roman"/>
          <w:rtl w:val="true"/>
        </w:rPr>
        <w:t xml:space="preserve">); ; </w:t>
      </w:r>
      <w:hyperlink r:id="rId10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431/05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ידגרוב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לא פורסם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2005</w:t>
      </w:r>
      <w:r>
        <w:rPr>
          <w:rFonts w:cs="Times New Roman" w:ascii="Times New Roman" w:hAnsi="Times New Roman"/>
          <w:rtl w:val="true"/>
        </w:rPr>
        <w:t xml:space="preserve">); </w:t>
      </w:r>
      <w:hyperlink r:id="rId11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11448/03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גרבאן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לא פורסם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2004</w:t>
      </w:r>
      <w:r>
        <w:rPr>
          <w:rFonts w:cs="Times New Roman" w:ascii="Times New Roman" w:hAnsi="Times New Roman"/>
          <w:rtl w:val="true"/>
        </w:rPr>
        <w:t xml:space="preserve">); </w:t>
      </w:r>
      <w:hyperlink r:id="rId12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5318/03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עמר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לא פורסם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2004</w:t>
      </w:r>
      <w:r>
        <w:rPr>
          <w:rFonts w:cs="Times New Roman" w:ascii="Times New Roman" w:hAnsi="Times New Roman"/>
          <w:rtl w:val="true"/>
        </w:rPr>
        <w:t xml:space="preserve">)). </w:t>
      </w:r>
      <w:r>
        <w:rPr>
          <w:rFonts w:ascii="Times New Roman" w:hAnsi="Times New Roman" w:cs="Times New Roman"/>
          <w:rtl w:val="true"/>
        </w:rPr>
        <w:t>נוכח האמור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ולאחר שנתנו את דעתנו לכלל נסיבותיו של מקרה זה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לא מצאנו בעונש שהושת על המערער רכיב כלשהו של חומרה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ומכאן החלטתנו לדחות את הערעור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ניתן היום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ב בכסלו התש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ע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09.12.09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color w:val="FFFFFF"/>
          <w:sz w:val="2"/>
          <w:szCs w:val="2"/>
        </w:rPr>
        <w:t>5129371</w:t>
      </w: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8" w:name="FileName"/>
      <w:r>
        <w:rPr>
          <w:sz w:val="16"/>
        </w:rPr>
        <w:t>09029440</w:t>
      </w:r>
      <w:r>
        <w:rPr>
          <w:sz w:val="16"/>
          <w:rtl w:val="true"/>
        </w:rPr>
        <w:t>_</w:t>
      </w:r>
      <w:r>
        <w:rPr>
          <w:sz w:val="16"/>
        </w:rPr>
        <w:t>O02.doc</w:t>
      </w:r>
      <w:r>
        <w:rPr>
          <w:sz w:val="16"/>
          <w:rtl w:val="true"/>
        </w:rPr>
        <w:t xml:space="preserve">   </w:t>
      </w:r>
      <w:bookmarkEnd w:id="18"/>
      <w:r>
        <w:rPr>
          <w:sz w:val="16"/>
          <w:sz w:val="16"/>
          <w:rtl w:val="true"/>
        </w:rPr>
        <w:t>אז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color w:val="FFFFFF"/>
          <w:sz w:val="2"/>
          <w:szCs w:val="2"/>
        </w:rPr>
        <w:t>54678313</w:t>
      </w: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02-6593666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3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לוי </w:t>
      </w:r>
      <w:r>
        <w:rPr>
          <w:rFonts w:cs="David" w:ascii="David" w:hAnsi="David"/>
          <w:color w:val="000000"/>
          <w:szCs w:val="22"/>
        </w:rPr>
        <w:t>54678313-2944/09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4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  <w:u w:val="single"/>
        </w:rPr>
      </w:pPr>
      <w:r>
        <w:rPr>
          <w:rFonts w:cs="David" w:ascii="David" w:hAnsi="David"/>
          <w:color w:val="000000"/>
          <w:szCs w:val="22"/>
          <w:u w:val="single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לוי </w:t>
      </w:r>
      <w:r>
        <w:rPr>
          <w:rFonts w:cs="David" w:ascii="David" w:hAnsi="David"/>
          <w:color w:val="000000"/>
          <w:szCs w:val="22"/>
        </w:rPr>
        <w:t>54678313-2944/09</w:t>
      </w:r>
    </w:p>
    <w:p>
      <w:pPr>
        <w:pStyle w:val="Ruller381"/>
        <w:ind w:end="0"/>
        <w:jc w:val="start"/>
        <w:rPr>
          <w:color w:val="000000"/>
          <w:szCs w:val="24"/>
          <w:u w:val="single"/>
        </w:rPr>
      </w:pPr>
      <w:r>
        <w:rPr>
          <w:color w:val="000000"/>
          <w:szCs w:val="24"/>
          <w:u w:val="single"/>
          <w:rtl w:val="true"/>
        </w:rPr>
        <w:t>נוסח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מסמך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זה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כפוף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לשינויי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ניסוח</w:t>
      </w:r>
      <w:r>
        <w:rPr>
          <w:rFonts w:cs="Times New Roman"/>
          <w:color w:val="000000"/>
          <w:szCs w:val="24"/>
          <w:u w:val="single"/>
          <w:rtl w:val="true"/>
        </w:rPr>
        <w:t xml:space="preserve"> </w:t>
      </w:r>
      <w:r>
        <w:rPr>
          <w:color w:val="000000"/>
          <w:szCs w:val="24"/>
          <w:u w:val="single"/>
          <w:rtl w:val="true"/>
        </w:rPr>
        <w:t>ועריכה</w:t>
      </w:r>
    </w:p>
    <w:sectPr>
      <w:headerReference w:type="default" r:id="rId15"/>
      <w:footerReference w:type="default" r:id="rId16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3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2944/09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אכרם אבו מועמר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rPr/>
  </w:style>
  <w:style w:type="character" w:styleId="Style14">
    <w:name w:val="הזכר"/>
    <w:qFormat/>
    <w:rPr>
      <w:color w:val="2B579A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239191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144.b2." TargetMode="External"/><Relationship Id="rId6" Type="http://schemas.openxmlformats.org/officeDocument/2006/relationships/hyperlink" Target="http://www.nevo.co.il/law/70301/499.a.1." TargetMode="External"/><Relationship Id="rId7" Type="http://schemas.openxmlformats.org/officeDocument/2006/relationships/hyperlink" Target="http://www.nevo.co.il/law/70301/499.a.1.;144.b2.;144.b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case/5932240" TargetMode="External"/><Relationship Id="rId10" Type="http://schemas.openxmlformats.org/officeDocument/2006/relationships/hyperlink" Target="http://www.nevo.co.il/case/5701450" TargetMode="External"/><Relationship Id="rId11" Type="http://schemas.openxmlformats.org/officeDocument/2006/relationships/hyperlink" Target="http://www.nevo.co.il/case/6180713" TargetMode="External"/><Relationship Id="rId12" Type="http://schemas.openxmlformats.org/officeDocument/2006/relationships/hyperlink" Target="http://www.nevo.co.il/case/6006233" TargetMode="External"/><Relationship Id="rId13" Type="http://schemas.openxmlformats.org/officeDocument/2006/relationships/hyperlink" Target="http://www.court.gov.il/" TargetMode="External"/><Relationship Id="rId14" Type="http://schemas.openxmlformats.org/officeDocument/2006/relationships/hyperlink" Target="http://www.nevo.co.il/advertisements/nevo-100.doc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09029440.O02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2017-07-16T08:29:00Z</dcterms:created>
  <dc:creator> </dc:creator>
  <dc:description/>
  <cp:keywords/>
  <dc:language>en-IL</dc:language>
  <cp:lastModifiedBy>run</cp:lastModifiedBy>
  <cp:lastPrinted>2009-12-09T17:18:00Z</cp:lastPrinted>
  <dcterms:modified xsi:type="dcterms:W3CDTF">2017-07-16T08:29:00Z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אכרם אבו מועמר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2239191;5932240;5701450;6180713;6006233</vt:lpwstr>
  </property>
  <property fmtid="{D5CDD505-2E9C-101B-9397-08002B2CF9AE}" pid="9" name="CITY">
    <vt:lpwstr/>
  </property>
  <property fmtid="{D5CDD505-2E9C-101B-9397-08002B2CF9AE}" pid="10" name="DATE">
    <vt:lpwstr>20091209</vt:lpwstr>
  </property>
  <property fmtid="{D5CDD505-2E9C-101B-9397-08002B2CF9AE}" pid="11" name="DELEMATA">
    <vt:lpwstr/>
  </property>
  <property fmtid="{D5CDD505-2E9C-101B-9397-08002B2CF9AE}" pid="12" name="JUDGE">
    <vt:lpwstr>א' א' לוי;ע' ארבל;נ' הנדל</vt:lpwstr>
  </property>
  <property fmtid="{D5CDD505-2E9C-101B-9397-08002B2CF9AE}" pid="13" name="LAWLISTTMP1">
    <vt:lpwstr>70301/499.a.1;144.b2;144.b</vt:lpwstr>
  </property>
  <property fmtid="{D5CDD505-2E9C-101B-9397-08002B2CF9AE}" pid="14" name="LAWYER">
    <vt:lpwstr>עדי שגב ;דרבאשי שפיק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NEWPARTA">
    <vt:lpwstr/>
  </property>
  <property fmtid="{D5CDD505-2E9C-101B-9397-08002B2CF9AE}" pid="21" name="NEWPARTB">
    <vt:lpwstr/>
  </property>
  <property fmtid="{D5CDD505-2E9C-101B-9397-08002B2CF9AE}" pid="22" name="NEWPARTC">
    <vt:lpwstr/>
  </property>
  <property fmtid="{D5CDD505-2E9C-101B-9397-08002B2CF9AE}" pid="23" name="NEWPROC">
    <vt:lpwstr/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>עפ</vt:lpwstr>
  </property>
  <property fmtid="{D5CDD505-2E9C-101B-9397-08002B2CF9AE}" pid="28" name="PROCNUM">
    <vt:lpwstr>2944</vt:lpwstr>
  </property>
  <property fmtid="{D5CDD505-2E9C-101B-9397-08002B2CF9AE}" pid="29" name="PROCYEAR">
    <vt:lpwstr>09</vt:lpwstr>
  </property>
  <property fmtid="{D5CDD505-2E9C-101B-9397-08002B2CF9AE}" pid="30" name="PSAKDIN">
    <vt:lpwstr>פסק-דין</vt:lpwstr>
  </property>
  <property fmtid="{D5CDD505-2E9C-101B-9397-08002B2CF9AE}" pid="31" name="TYPE">
    <vt:lpwstr>1</vt:lpwstr>
  </property>
  <property fmtid="{D5CDD505-2E9C-101B-9397-08002B2CF9AE}" pid="32" name="TYPE_ABS_DATE">
    <vt:lpwstr>410020091209</vt:lpwstr>
  </property>
  <property fmtid="{D5CDD505-2E9C-101B-9397-08002B2CF9AE}" pid="33" name="TYPE_N_DATE">
    <vt:lpwstr>41020091209</vt:lpwstr>
  </property>
  <property fmtid="{D5CDD505-2E9C-101B-9397-08002B2CF9AE}" pid="34" name="VOLUME">
    <vt:lpwstr/>
  </property>
  <property fmtid="{D5CDD505-2E9C-101B-9397-08002B2CF9AE}" pid="35" name="WORDNUMPAGES">
    <vt:lpwstr>3</vt:lpwstr>
  </property>
</Properties>
</file>